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242"/>
      </w:tblGrid>
      <w:tr w:rsidR="001E552E" w:rsidRPr="001E552E" w:rsidTr="001E552E">
        <w:trPr>
          <w:trHeight w:val="825"/>
        </w:trPr>
        <w:tc>
          <w:tcPr>
            <w:tcW w:w="9242" w:type="dxa"/>
            <w:hideMark/>
          </w:tcPr>
          <w:p w:rsidR="001E552E" w:rsidRPr="00665A62" w:rsidRDefault="001E552E" w:rsidP="001E552E">
            <w:pPr>
              <w:rPr>
                <w:b/>
                <w:bCs/>
                <w:sz w:val="24"/>
                <w:szCs w:val="24"/>
              </w:rPr>
            </w:pPr>
            <w:bookmarkStart w:id="0" w:name="_GoBack"/>
            <w:bookmarkEnd w:id="0"/>
            <w:r w:rsidRPr="00665A62">
              <w:rPr>
                <w:b/>
                <w:bCs/>
                <w:sz w:val="24"/>
                <w:szCs w:val="24"/>
              </w:rPr>
              <w:t xml:space="preserve">Primary Care Medicines </w:t>
            </w:r>
            <w:r w:rsidR="00665A62" w:rsidRPr="00665A62">
              <w:rPr>
                <w:b/>
                <w:bCs/>
                <w:sz w:val="24"/>
                <w:szCs w:val="24"/>
              </w:rPr>
              <w:t xml:space="preserve">Optimisation Support Service- Provider </w:t>
            </w:r>
            <w:r w:rsidRPr="00665A62">
              <w:rPr>
                <w:b/>
                <w:bCs/>
                <w:sz w:val="24"/>
                <w:szCs w:val="24"/>
              </w:rPr>
              <w:t xml:space="preserve"> SLA </w:t>
            </w:r>
            <w:r w:rsidR="00061CAC" w:rsidRPr="00665A62">
              <w:rPr>
                <w:b/>
                <w:bCs/>
                <w:sz w:val="24"/>
                <w:szCs w:val="24"/>
              </w:rPr>
              <w:t>2018/21</w:t>
            </w:r>
          </w:p>
          <w:p w:rsidR="00C8407F" w:rsidRPr="00665A62" w:rsidRDefault="00C8407F" w:rsidP="007D6D02">
            <w:pPr>
              <w:rPr>
                <w:b/>
                <w:bCs/>
                <w:i/>
              </w:rPr>
            </w:pPr>
            <w:r w:rsidRPr="00665A62">
              <w:rPr>
                <w:b/>
                <w:bCs/>
                <w:i/>
              </w:rPr>
              <w:t>Proposed service specification</w:t>
            </w:r>
            <w:r w:rsidR="007D6D02" w:rsidRPr="00665A62">
              <w:rPr>
                <w:b/>
                <w:bCs/>
                <w:i/>
              </w:rPr>
              <w:t>- on approval this will be incorporated within the standard NHS contract</w:t>
            </w:r>
          </w:p>
        </w:tc>
      </w:tr>
      <w:tr w:rsidR="001A1B26" w:rsidRPr="001E552E" w:rsidTr="001E552E">
        <w:trPr>
          <w:trHeight w:val="540"/>
        </w:trPr>
        <w:tc>
          <w:tcPr>
            <w:tcW w:w="9242" w:type="dxa"/>
          </w:tcPr>
          <w:p w:rsidR="001A1B26" w:rsidRPr="001A1B26" w:rsidRDefault="00BB336A">
            <w:pPr>
              <w:rPr>
                <w:b/>
              </w:rPr>
            </w:pPr>
            <w:r>
              <w:rPr>
                <w:b/>
              </w:rPr>
              <w:t>Medicines Optimisation</w:t>
            </w:r>
          </w:p>
        </w:tc>
      </w:tr>
      <w:tr w:rsidR="001E552E" w:rsidRPr="001E552E" w:rsidTr="001E552E">
        <w:trPr>
          <w:trHeight w:val="540"/>
        </w:trPr>
        <w:tc>
          <w:tcPr>
            <w:tcW w:w="9242" w:type="dxa"/>
            <w:hideMark/>
          </w:tcPr>
          <w:p w:rsidR="001E552E" w:rsidRPr="001E552E" w:rsidRDefault="00C53240">
            <w:r>
              <w:t>The P</w:t>
            </w:r>
            <w:r w:rsidRPr="001E552E">
              <w:t>rovider shall make available at its own expense all staff, travel expenses, equipment, tools, appliances, materials, training or items required for the provision of the specified services.</w:t>
            </w:r>
          </w:p>
        </w:tc>
      </w:tr>
      <w:tr w:rsidR="001E552E" w:rsidRPr="001E552E" w:rsidTr="00F045B8">
        <w:trPr>
          <w:trHeight w:val="360"/>
        </w:trPr>
        <w:tc>
          <w:tcPr>
            <w:tcW w:w="9242" w:type="dxa"/>
            <w:shd w:val="clear" w:color="auto" w:fill="DBE5F1" w:themeFill="accent1" w:themeFillTint="33"/>
            <w:hideMark/>
          </w:tcPr>
          <w:p w:rsidR="001E552E" w:rsidRPr="001E552E" w:rsidRDefault="001E552E">
            <w:r w:rsidRPr="001E552E">
              <w:t> </w:t>
            </w:r>
          </w:p>
        </w:tc>
      </w:tr>
      <w:tr w:rsidR="001E552E" w:rsidRPr="001E552E" w:rsidTr="001E552E">
        <w:trPr>
          <w:trHeight w:val="510"/>
        </w:trPr>
        <w:tc>
          <w:tcPr>
            <w:tcW w:w="9242" w:type="dxa"/>
            <w:hideMark/>
          </w:tcPr>
          <w:p w:rsidR="001E552E" w:rsidRPr="001E552E" w:rsidRDefault="001E552E" w:rsidP="001A1B26">
            <w:r w:rsidRPr="001E552E">
              <w:t>The Provider w</w:t>
            </w:r>
            <w:r w:rsidR="00600F2B">
              <w:t xml:space="preserve">ill be highly responsive to the </w:t>
            </w:r>
            <w:r w:rsidRPr="001E552E">
              <w:t>strategic medicines o</w:t>
            </w:r>
            <w:r w:rsidR="001A1B26">
              <w:t>ptimisation requirements of T</w:t>
            </w:r>
            <w:r w:rsidRPr="001E552E">
              <w:t xml:space="preserve">he </w:t>
            </w:r>
            <w:r w:rsidR="001A1B26">
              <w:t>Commissioner</w:t>
            </w:r>
            <w:r w:rsidRPr="001E552E">
              <w:t xml:space="preserve"> and both parties will work together to agree priorities.</w:t>
            </w:r>
          </w:p>
        </w:tc>
      </w:tr>
      <w:tr w:rsidR="001E552E" w:rsidRPr="001E552E" w:rsidTr="00F045B8">
        <w:trPr>
          <w:trHeight w:val="255"/>
        </w:trPr>
        <w:tc>
          <w:tcPr>
            <w:tcW w:w="9242" w:type="dxa"/>
            <w:shd w:val="clear" w:color="auto" w:fill="DBE5F1" w:themeFill="accent1" w:themeFillTint="33"/>
            <w:hideMark/>
          </w:tcPr>
          <w:p w:rsidR="001E552E" w:rsidRPr="001E552E" w:rsidRDefault="001E552E">
            <w:r w:rsidRPr="001E552E">
              <w:t> </w:t>
            </w:r>
          </w:p>
        </w:tc>
      </w:tr>
      <w:tr w:rsidR="001E552E" w:rsidRPr="001E552E" w:rsidTr="001E552E">
        <w:trPr>
          <w:trHeight w:val="405"/>
        </w:trPr>
        <w:tc>
          <w:tcPr>
            <w:tcW w:w="9242" w:type="dxa"/>
            <w:hideMark/>
          </w:tcPr>
          <w:p w:rsidR="001E552E" w:rsidRPr="001E552E" w:rsidRDefault="00F045B8" w:rsidP="00F045B8">
            <w:r>
              <w:t>The Provider will develop an i</w:t>
            </w:r>
            <w:r w:rsidR="001E552E" w:rsidRPr="001E552E">
              <w:t>ntegrated medicines management team across the health economy.</w:t>
            </w:r>
          </w:p>
        </w:tc>
      </w:tr>
      <w:tr w:rsidR="00F045B8" w:rsidRPr="001E552E" w:rsidTr="00F045B8">
        <w:trPr>
          <w:trHeight w:val="405"/>
        </w:trPr>
        <w:tc>
          <w:tcPr>
            <w:tcW w:w="9242" w:type="dxa"/>
            <w:shd w:val="clear" w:color="auto" w:fill="DBE5F1" w:themeFill="accent1" w:themeFillTint="33"/>
          </w:tcPr>
          <w:p w:rsidR="00F045B8" w:rsidRPr="001E552E" w:rsidRDefault="00F045B8"/>
        </w:tc>
      </w:tr>
      <w:tr w:rsidR="001E552E" w:rsidRPr="001E552E" w:rsidTr="001E552E">
        <w:trPr>
          <w:trHeight w:val="300"/>
        </w:trPr>
        <w:tc>
          <w:tcPr>
            <w:tcW w:w="9242" w:type="dxa"/>
            <w:hideMark/>
          </w:tcPr>
          <w:p w:rsidR="001E552E" w:rsidRPr="001E552E" w:rsidRDefault="00600F2B" w:rsidP="00F045B8">
            <w:r>
              <w:t xml:space="preserve">The </w:t>
            </w:r>
            <w:r w:rsidR="003345F1">
              <w:t>Provider</w:t>
            </w:r>
            <w:r w:rsidR="003345F1" w:rsidRPr="001E552E">
              <w:t xml:space="preserve"> </w:t>
            </w:r>
            <w:r w:rsidR="003345F1">
              <w:t>will</w:t>
            </w:r>
            <w:r>
              <w:t xml:space="preserve"> </w:t>
            </w:r>
            <w:r w:rsidR="00C53240" w:rsidRPr="001E552E">
              <w:t>have an on-going obligation throughout the term of the agreement to</w:t>
            </w:r>
            <w:r w:rsidR="00C960E0">
              <w:t xml:space="preserve"> innovate by identifying</w:t>
            </w:r>
            <w:r w:rsidR="00C53240" w:rsidRPr="001E552E">
              <w:t xml:space="preserve"> new or potential improvements to the services.</w:t>
            </w:r>
          </w:p>
        </w:tc>
      </w:tr>
      <w:tr w:rsidR="001E552E" w:rsidRPr="001E552E" w:rsidTr="00F045B8">
        <w:trPr>
          <w:trHeight w:val="135"/>
        </w:trPr>
        <w:tc>
          <w:tcPr>
            <w:tcW w:w="9242" w:type="dxa"/>
            <w:shd w:val="clear" w:color="auto" w:fill="DBE5F1" w:themeFill="accent1" w:themeFillTint="33"/>
            <w:hideMark/>
          </w:tcPr>
          <w:p w:rsidR="001E552E" w:rsidRPr="001E552E" w:rsidRDefault="001E552E">
            <w:r w:rsidRPr="001E552E">
              <w:t> </w:t>
            </w:r>
          </w:p>
        </w:tc>
      </w:tr>
      <w:tr w:rsidR="001E552E" w:rsidRPr="001E552E" w:rsidTr="001E552E">
        <w:trPr>
          <w:trHeight w:val="300"/>
        </w:trPr>
        <w:tc>
          <w:tcPr>
            <w:tcW w:w="9242" w:type="dxa"/>
            <w:noWrap/>
            <w:hideMark/>
          </w:tcPr>
          <w:p w:rsidR="001E552E" w:rsidRPr="001E552E" w:rsidRDefault="00F045B8" w:rsidP="00F045B8">
            <w:r>
              <w:t>The Provider will d</w:t>
            </w:r>
            <w:r w:rsidR="001E552E" w:rsidRPr="001E552E">
              <w:t>emonstrate use of</w:t>
            </w:r>
            <w:r w:rsidR="00BB336A">
              <w:t xml:space="preserve"> independent  </w:t>
            </w:r>
            <w:r w:rsidR="001E552E" w:rsidRPr="001E552E">
              <w:t xml:space="preserve"> prescribing </w:t>
            </w:r>
            <w:r w:rsidR="00BB336A" w:rsidRPr="001E552E">
              <w:t>skills</w:t>
            </w:r>
            <w:r w:rsidR="00BB336A">
              <w:t xml:space="preserve"> </w:t>
            </w:r>
            <w:r w:rsidR="00BB336A" w:rsidRPr="001E552E">
              <w:t>via</w:t>
            </w:r>
            <w:r w:rsidR="001E552E" w:rsidRPr="001E552E">
              <w:t xml:space="preserve"> </w:t>
            </w:r>
            <w:proofErr w:type="spellStart"/>
            <w:r w:rsidR="001E552E" w:rsidRPr="001E552E">
              <w:t>ePACT</w:t>
            </w:r>
            <w:proofErr w:type="spellEnd"/>
            <w:r w:rsidR="001E552E" w:rsidRPr="001E552E">
              <w:t xml:space="preserve"> </w:t>
            </w:r>
            <w:r w:rsidR="00955C2B" w:rsidRPr="001E552E">
              <w:t>analysis</w:t>
            </w:r>
            <w:r w:rsidR="00BB336A">
              <w:t xml:space="preserve"> and reports</w:t>
            </w:r>
            <w:r w:rsidR="001E552E" w:rsidRPr="001E552E">
              <w:t>.</w:t>
            </w:r>
            <w:r>
              <w:t xml:space="preserve"> </w:t>
            </w:r>
          </w:p>
        </w:tc>
      </w:tr>
      <w:tr w:rsidR="001E552E" w:rsidRPr="001E552E" w:rsidTr="001A1B26">
        <w:trPr>
          <w:trHeight w:val="180"/>
        </w:trPr>
        <w:tc>
          <w:tcPr>
            <w:tcW w:w="9242" w:type="dxa"/>
            <w:shd w:val="clear" w:color="auto" w:fill="DBE5F1" w:themeFill="accent1" w:themeFillTint="33"/>
            <w:hideMark/>
          </w:tcPr>
          <w:p w:rsidR="001E552E" w:rsidRPr="001E552E" w:rsidRDefault="001E552E">
            <w:r w:rsidRPr="001E552E">
              <w:t> </w:t>
            </w:r>
          </w:p>
        </w:tc>
      </w:tr>
      <w:tr w:rsidR="001E552E" w:rsidRPr="001E552E" w:rsidTr="001E552E">
        <w:trPr>
          <w:trHeight w:val="600"/>
        </w:trPr>
        <w:tc>
          <w:tcPr>
            <w:tcW w:w="9242" w:type="dxa"/>
            <w:hideMark/>
          </w:tcPr>
          <w:p w:rsidR="001E552E" w:rsidRPr="001E552E" w:rsidRDefault="00600F2B">
            <w:r>
              <w:t>The C</w:t>
            </w:r>
            <w:r w:rsidR="00C53240">
              <w:t>ommissioner will</w:t>
            </w:r>
            <w:r w:rsidR="00C53240" w:rsidRPr="001E552E">
              <w:t xml:space="preserve"> provide access to additional training in response to identified needs. </w:t>
            </w:r>
            <w:r w:rsidR="00C53240">
              <w:t xml:space="preserve">The Provider </w:t>
            </w:r>
            <w:r w:rsidR="00C53240" w:rsidRPr="001E552E">
              <w:t>will release staff to access this training.</w:t>
            </w:r>
          </w:p>
        </w:tc>
      </w:tr>
      <w:tr w:rsidR="00F045B8" w:rsidRPr="001E552E" w:rsidTr="00F045B8">
        <w:trPr>
          <w:trHeight w:val="600"/>
        </w:trPr>
        <w:tc>
          <w:tcPr>
            <w:tcW w:w="9242" w:type="dxa"/>
            <w:shd w:val="clear" w:color="auto" w:fill="DBE5F1" w:themeFill="accent1" w:themeFillTint="33"/>
          </w:tcPr>
          <w:p w:rsidR="00F045B8" w:rsidRPr="001E552E" w:rsidRDefault="00F045B8"/>
        </w:tc>
      </w:tr>
      <w:tr w:rsidR="001E552E" w:rsidRPr="001E552E" w:rsidTr="001E552E">
        <w:trPr>
          <w:trHeight w:val="300"/>
        </w:trPr>
        <w:tc>
          <w:tcPr>
            <w:tcW w:w="9242" w:type="dxa"/>
            <w:noWrap/>
            <w:hideMark/>
          </w:tcPr>
          <w:p w:rsidR="001E552E" w:rsidRPr="001E552E" w:rsidRDefault="00C960E0" w:rsidP="00600F2B">
            <w:r>
              <w:t xml:space="preserve">The </w:t>
            </w:r>
            <w:r w:rsidR="00C53240">
              <w:t xml:space="preserve">Annual </w:t>
            </w:r>
            <w:r w:rsidR="00600F2B">
              <w:t>Medicines Optimisation W</w:t>
            </w:r>
            <w:r w:rsidR="00C53240">
              <w:t xml:space="preserve">ork </w:t>
            </w:r>
            <w:r w:rsidR="00600F2B">
              <w:t>P</w:t>
            </w:r>
            <w:r w:rsidR="00C53240">
              <w:t>lan</w:t>
            </w:r>
            <w:r w:rsidR="00C53240" w:rsidRPr="001E552E">
              <w:t xml:space="preserve"> will be developed jointly </w:t>
            </w:r>
            <w:r w:rsidR="00C53240">
              <w:t>between The Commissioner and The Provider with sign</w:t>
            </w:r>
            <w:r w:rsidR="00C53240" w:rsidRPr="001E552E">
              <w:t xml:space="preserve"> off by the </w:t>
            </w:r>
            <w:r w:rsidR="00C53240">
              <w:t>Commissioner</w:t>
            </w:r>
          </w:p>
        </w:tc>
      </w:tr>
      <w:tr w:rsidR="001E552E" w:rsidRPr="001E552E" w:rsidTr="005B18F6">
        <w:trPr>
          <w:trHeight w:val="180"/>
        </w:trPr>
        <w:tc>
          <w:tcPr>
            <w:tcW w:w="9242" w:type="dxa"/>
            <w:shd w:val="clear" w:color="auto" w:fill="DBE5F1" w:themeFill="accent1" w:themeFillTint="33"/>
            <w:hideMark/>
          </w:tcPr>
          <w:p w:rsidR="001E552E" w:rsidRPr="001E552E" w:rsidRDefault="001E552E">
            <w:r w:rsidRPr="001E552E">
              <w:t> </w:t>
            </w:r>
          </w:p>
        </w:tc>
      </w:tr>
      <w:tr w:rsidR="001E552E" w:rsidRPr="001E552E" w:rsidTr="001E552E">
        <w:trPr>
          <w:trHeight w:val="300"/>
        </w:trPr>
        <w:tc>
          <w:tcPr>
            <w:tcW w:w="9242" w:type="dxa"/>
            <w:noWrap/>
            <w:hideMark/>
          </w:tcPr>
          <w:p w:rsidR="001E552E" w:rsidRPr="001E552E" w:rsidRDefault="00600F2B" w:rsidP="00600F2B">
            <w:r>
              <w:t>The Provider will p</w:t>
            </w:r>
            <w:r w:rsidR="00C53240" w:rsidRPr="00C53240">
              <w:t xml:space="preserve">roduce a monthly work plan </w:t>
            </w:r>
            <w:r w:rsidR="00C53240">
              <w:t xml:space="preserve">report </w:t>
            </w:r>
            <w:r w:rsidR="00C53240" w:rsidRPr="00C53240">
              <w:t xml:space="preserve">in line with </w:t>
            </w:r>
            <w:r w:rsidR="00C53240">
              <w:t xml:space="preserve">commissioner </w:t>
            </w:r>
            <w:r w:rsidR="00C53240" w:rsidRPr="00C53240">
              <w:t>reporting requirements</w:t>
            </w:r>
          </w:p>
        </w:tc>
      </w:tr>
      <w:tr w:rsidR="005B18F6" w:rsidRPr="001E552E" w:rsidTr="005B18F6">
        <w:trPr>
          <w:trHeight w:val="300"/>
        </w:trPr>
        <w:tc>
          <w:tcPr>
            <w:tcW w:w="9242" w:type="dxa"/>
            <w:shd w:val="clear" w:color="auto" w:fill="DBE5F1" w:themeFill="accent1" w:themeFillTint="33"/>
            <w:noWrap/>
          </w:tcPr>
          <w:p w:rsidR="005B18F6" w:rsidRDefault="005B18F6" w:rsidP="005B18F6"/>
        </w:tc>
      </w:tr>
      <w:tr w:rsidR="005B18F6" w:rsidRPr="001E552E" w:rsidTr="001E552E">
        <w:trPr>
          <w:trHeight w:val="300"/>
        </w:trPr>
        <w:tc>
          <w:tcPr>
            <w:tcW w:w="9242" w:type="dxa"/>
            <w:noWrap/>
          </w:tcPr>
          <w:p w:rsidR="005B18F6" w:rsidRDefault="005B18F6" w:rsidP="005B18F6">
            <w:r>
              <w:t>The Provider will a</w:t>
            </w:r>
            <w:r w:rsidRPr="001E552E">
              <w:t xml:space="preserve">ssist </w:t>
            </w:r>
            <w:r>
              <w:t>The Commissioner</w:t>
            </w:r>
            <w:r w:rsidRPr="001E552E">
              <w:t xml:space="preserve"> in the development and implementation of prescribing incentives in GP practices to support QIPP targets as agreed. This will include gaining agreement to participate with GP practices. The </w:t>
            </w:r>
            <w:r>
              <w:t>Provider</w:t>
            </w:r>
            <w:r w:rsidRPr="001E552E">
              <w:t xml:space="preserve"> will monitor prescribing incentive schemes and produce monthly progress reports to feedback and motivate constituent practices.</w:t>
            </w:r>
          </w:p>
        </w:tc>
      </w:tr>
      <w:tr w:rsidR="00F36A82" w:rsidRPr="001E552E" w:rsidTr="00F36A82">
        <w:trPr>
          <w:trHeight w:val="300"/>
        </w:trPr>
        <w:tc>
          <w:tcPr>
            <w:tcW w:w="9242" w:type="dxa"/>
            <w:shd w:val="clear" w:color="auto" w:fill="DBE5F1" w:themeFill="accent1" w:themeFillTint="33"/>
            <w:noWrap/>
          </w:tcPr>
          <w:p w:rsidR="00F36A82" w:rsidRDefault="00F36A82" w:rsidP="005B18F6"/>
        </w:tc>
      </w:tr>
      <w:tr w:rsidR="00F36A82" w:rsidRPr="001E552E" w:rsidTr="00F36A82">
        <w:trPr>
          <w:trHeight w:val="300"/>
        </w:trPr>
        <w:tc>
          <w:tcPr>
            <w:tcW w:w="9242" w:type="dxa"/>
            <w:shd w:val="clear" w:color="auto" w:fill="auto"/>
            <w:noWrap/>
          </w:tcPr>
          <w:p w:rsidR="00F36A82" w:rsidRDefault="00F36A82" w:rsidP="005B18F6">
            <w:r>
              <w:t>The Provider will allocate a named pharmacist to each GP practice who will visit on a regular basis.</w:t>
            </w:r>
          </w:p>
        </w:tc>
      </w:tr>
      <w:tr w:rsidR="005B18F6" w:rsidRPr="001E552E" w:rsidTr="005B18F6">
        <w:trPr>
          <w:trHeight w:val="300"/>
        </w:trPr>
        <w:tc>
          <w:tcPr>
            <w:tcW w:w="9242" w:type="dxa"/>
            <w:shd w:val="clear" w:color="auto" w:fill="DBE5F1" w:themeFill="accent1" w:themeFillTint="33"/>
            <w:noWrap/>
          </w:tcPr>
          <w:p w:rsidR="005B18F6" w:rsidRDefault="005B18F6" w:rsidP="005B18F6"/>
        </w:tc>
      </w:tr>
      <w:tr w:rsidR="005B18F6" w:rsidRPr="001E552E" w:rsidTr="001E552E">
        <w:trPr>
          <w:trHeight w:val="300"/>
        </w:trPr>
        <w:tc>
          <w:tcPr>
            <w:tcW w:w="9242" w:type="dxa"/>
            <w:noWrap/>
          </w:tcPr>
          <w:p w:rsidR="005B18F6" w:rsidRDefault="005B18F6" w:rsidP="005B18F6">
            <w:r>
              <w:t>The Provider will give</w:t>
            </w:r>
            <w:r w:rsidRPr="001E552E">
              <w:t xml:space="preserve"> prescribing advice during</w:t>
            </w:r>
            <w:r>
              <w:t xml:space="preserve"> GP</w:t>
            </w:r>
            <w:r w:rsidRPr="001E552E">
              <w:t xml:space="preserve"> practice visits as agreed by both parties including implementation of agreed prescribing changes using standard operating procedures.</w:t>
            </w:r>
          </w:p>
        </w:tc>
      </w:tr>
      <w:tr w:rsidR="005B18F6" w:rsidRPr="001E552E" w:rsidTr="005B18F6">
        <w:trPr>
          <w:trHeight w:val="300"/>
        </w:trPr>
        <w:tc>
          <w:tcPr>
            <w:tcW w:w="9242" w:type="dxa"/>
            <w:shd w:val="clear" w:color="auto" w:fill="DBE5F1" w:themeFill="accent1" w:themeFillTint="33"/>
            <w:noWrap/>
          </w:tcPr>
          <w:p w:rsidR="005B18F6" w:rsidRDefault="005B18F6" w:rsidP="005B18F6"/>
        </w:tc>
      </w:tr>
      <w:tr w:rsidR="005B18F6" w:rsidRPr="001E552E" w:rsidTr="001E552E">
        <w:trPr>
          <w:trHeight w:val="300"/>
        </w:trPr>
        <w:tc>
          <w:tcPr>
            <w:tcW w:w="9242" w:type="dxa"/>
            <w:noWrap/>
          </w:tcPr>
          <w:p w:rsidR="005B18F6" w:rsidRDefault="00600F2B" w:rsidP="00600F2B">
            <w:r>
              <w:t>The Provider will r</w:t>
            </w:r>
            <w:r w:rsidR="005B18F6" w:rsidRPr="005B18F6">
              <w:t>esolve GP queries and problems associated with prescribing in a timely manner (e.g. appliance companies, community pharmacy supply issues, secondary care queries, discontinued products)</w:t>
            </w:r>
          </w:p>
        </w:tc>
      </w:tr>
      <w:tr w:rsidR="00BB336A" w:rsidRPr="001E552E" w:rsidTr="00BB336A">
        <w:trPr>
          <w:trHeight w:val="300"/>
        </w:trPr>
        <w:tc>
          <w:tcPr>
            <w:tcW w:w="9242" w:type="dxa"/>
            <w:shd w:val="clear" w:color="auto" w:fill="DBE5F1" w:themeFill="accent1" w:themeFillTint="33"/>
            <w:noWrap/>
          </w:tcPr>
          <w:p w:rsidR="00BB336A" w:rsidRPr="005B18F6" w:rsidRDefault="00BB336A" w:rsidP="005B18F6"/>
        </w:tc>
      </w:tr>
      <w:tr w:rsidR="00BB336A" w:rsidRPr="001E552E" w:rsidTr="001E552E">
        <w:trPr>
          <w:trHeight w:val="300"/>
        </w:trPr>
        <w:tc>
          <w:tcPr>
            <w:tcW w:w="9242" w:type="dxa"/>
            <w:noWrap/>
          </w:tcPr>
          <w:p w:rsidR="00BB336A" w:rsidRPr="005B18F6" w:rsidRDefault="00600F2B" w:rsidP="00600F2B">
            <w:r>
              <w:t>The Provider will m</w:t>
            </w:r>
            <w:r w:rsidR="00BB336A" w:rsidRPr="001E552E">
              <w:t xml:space="preserve">onitor and provide prescribing data to </w:t>
            </w:r>
            <w:r w:rsidR="00BB336A">
              <w:t xml:space="preserve">all </w:t>
            </w:r>
            <w:r w:rsidR="00BB336A" w:rsidRPr="001E552E">
              <w:t xml:space="preserve">non-medical </w:t>
            </w:r>
            <w:proofErr w:type="gramStart"/>
            <w:r w:rsidR="00BB336A" w:rsidRPr="001E552E">
              <w:t>prescribers</w:t>
            </w:r>
            <w:r w:rsidR="00C960E0">
              <w:t>(</w:t>
            </w:r>
            <w:proofErr w:type="gramEnd"/>
            <w:r w:rsidR="00C960E0">
              <w:t xml:space="preserve"> including nurses and pharmacists)</w:t>
            </w:r>
            <w:r w:rsidR="00BB336A" w:rsidRPr="001E552E">
              <w:t xml:space="preserve"> working for constituent GP practices.</w:t>
            </w:r>
          </w:p>
        </w:tc>
      </w:tr>
      <w:tr w:rsidR="00BB336A" w:rsidRPr="001E552E" w:rsidTr="00BB336A">
        <w:trPr>
          <w:trHeight w:val="300"/>
        </w:trPr>
        <w:tc>
          <w:tcPr>
            <w:tcW w:w="9242" w:type="dxa"/>
            <w:shd w:val="clear" w:color="auto" w:fill="DBE5F1" w:themeFill="accent1" w:themeFillTint="33"/>
            <w:noWrap/>
          </w:tcPr>
          <w:p w:rsidR="00BB336A" w:rsidRPr="001E552E" w:rsidRDefault="00BB336A" w:rsidP="005B18F6"/>
        </w:tc>
      </w:tr>
      <w:tr w:rsidR="00BB336A" w:rsidRPr="001E552E" w:rsidTr="001E552E">
        <w:trPr>
          <w:trHeight w:val="300"/>
        </w:trPr>
        <w:tc>
          <w:tcPr>
            <w:tcW w:w="9242" w:type="dxa"/>
            <w:noWrap/>
          </w:tcPr>
          <w:p w:rsidR="00BB336A" w:rsidRPr="001E552E" w:rsidRDefault="00600F2B" w:rsidP="00600F2B">
            <w:r>
              <w:t>The Provider will support</w:t>
            </w:r>
            <w:r w:rsidR="00BB336A" w:rsidRPr="00BB336A">
              <w:t xml:space="preserve"> the CCG with prescribing analysis (including benchmarking where possible) using primary care and hospital </w:t>
            </w:r>
            <w:proofErr w:type="spellStart"/>
            <w:r w:rsidR="00BB336A" w:rsidRPr="00BB336A">
              <w:t>ePACT</w:t>
            </w:r>
            <w:proofErr w:type="spellEnd"/>
            <w:r w:rsidR="00BB336A" w:rsidRPr="00BB336A">
              <w:t xml:space="preserve"> systems, Define and/or Eclipse to cover all prescribers and </w:t>
            </w:r>
            <w:r w:rsidR="00BB336A" w:rsidRPr="00BB336A">
              <w:lastRenderedPageBreak/>
              <w:t>contractors with access to the Commissioning Prescribing budget.</w:t>
            </w:r>
          </w:p>
        </w:tc>
      </w:tr>
      <w:tr w:rsidR="00BB336A" w:rsidRPr="001E552E" w:rsidTr="00BB336A">
        <w:trPr>
          <w:trHeight w:val="300"/>
        </w:trPr>
        <w:tc>
          <w:tcPr>
            <w:tcW w:w="9242" w:type="dxa"/>
            <w:shd w:val="clear" w:color="auto" w:fill="DBE5F1" w:themeFill="accent1" w:themeFillTint="33"/>
            <w:noWrap/>
          </w:tcPr>
          <w:p w:rsidR="00BB336A" w:rsidRPr="00BB336A" w:rsidRDefault="00BB336A" w:rsidP="005B18F6"/>
        </w:tc>
      </w:tr>
      <w:tr w:rsidR="00BB336A" w:rsidRPr="001E552E" w:rsidTr="001E552E">
        <w:trPr>
          <w:trHeight w:val="300"/>
        </w:trPr>
        <w:tc>
          <w:tcPr>
            <w:tcW w:w="9242" w:type="dxa"/>
            <w:noWrap/>
          </w:tcPr>
          <w:p w:rsidR="00BB336A" w:rsidRPr="00BB336A" w:rsidRDefault="00600F2B" w:rsidP="00600F2B">
            <w:r>
              <w:t>The Provider will m</w:t>
            </w:r>
            <w:r w:rsidR="00BB336A" w:rsidRPr="00BB336A">
              <w:t>onitor use of medicines in line with local formularies/guidance and shared care arrangements as agreed by both parties.</w:t>
            </w:r>
          </w:p>
        </w:tc>
      </w:tr>
      <w:tr w:rsidR="00BB336A" w:rsidRPr="001E552E" w:rsidTr="00BB336A">
        <w:trPr>
          <w:trHeight w:val="300"/>
        </w:trPr>
        <w:tc>
          <w:tcPr>
            <w:tcW w:w="9242" w:type="dxa"/>
            <w:shd w:val="clear" w:color="auto" w:fill="DBE5F1" w:themeFill="accent1" w:themeFillTint="33"/>
            <w:noWrap/>
          </w:tcPr>
          <w:p w:rsidR="00BB336A" w:rsidRPr="00BB336A" w:rsidRDefault="00BB336A" w:rsidP="005B18F6"/>
        </w:tc>
      </w:tr>
      <w:tr w:rsidR="00BB336A" w:rsidRPr="001E552E" w:rsidTr="001E552E">
        <w:trPr>
          <w:trHeight w:val="300"/>
        </w:trPr>
        <w:tc>
          <w:tcPr>
            <w:tcW w:w="9242" w:type="dxa"/>
            <w:noWrap/>
          </w:tcPr>
          <w:p w:rsidR="00BB336A" w:rsidRPr="00BB336A" w:rsidRDefault="00600F2B" w:rsidP="00600F2B">
            <w:r>
              <w:t>The Provider will m</w:t>
            </w:r>
            <w:r w:rsidR="00BB336A" w:rsidRPr="00BB336A">
              <w:t>aintain</w:t>
            </w:r>
            <w:r w:rsidR="00BB336A">
              <w:t xml:space="preserve"> an up to date formulary </w:t>
            </w:r>
            <w:r w:rsidR="00BB336A" w:rsidRPr="00BB336A">
              <w:t xml:space="preserve">and publish </w:t>
            </w:r>
            <w:r w:rsidR="00BB336A">
              <w:t xml:space="preserve">on </w:t>
            </w:r>
            <w:r w:rsidR="00BB336A" w:rsidRPr="00BB336A">
              <w:t>a medicines website on behalf of the Wolverhampton Health Economy.</w:t>
            </w:r>
          </w:p>
        </w:tc>
      </w:tr>
      <w:tr w:rsidR="006B2757" w:rsidRPr="001E552E" w:rsidTr="006B2757">
        <w:trPr>
          <w:trHeight w:val="300"/>
        </w:trPr>
        <w:tc>
          <w:tcPr>
            <w:tcW w:w="9242" w:type="dxa"/>
            <w:shd w:val="clear" w:color="auto" w:fill="DBE5F1" w:themeFill="accent1" w:themeFillTint="33"/>
            <w:noWrap/>
          </w:tcPr>
          <w:p w:rsidR="006B2757" w:rsidRPr="00BB336A" w:rsidRDefault="006B2757" w:rsidP="005B18F6"/>
        </w:tc>
      </w:tr>
      <w:tr w:rsidR="006B2757" w:rsidRPr="001E552E" w:rsidTr="001E552E">
        <w:trPr>
          <w:trHeight w:val="300"/>
        </w:trPr>
        <w:tc>
          <w:tcPr>
            <w:tcW w:w="9242" w:type="dxa"/>
            <w:noWrap/>
          </w:tcPr>
          <w:p w:rsidR="006B2757" w:rsidRPr="00BB336A" w:rsidRDefault="006B2757" w:rsidP="005B18F6">
            <w:r>
              <w:t>The Provider will undertake an annual audit of each GP practices repeat prescribing system and put an action plan in place to improve quality if required.</w:t>
            </w:r>
          </w:p>
        </w:tc>
      </w:tr>
      <w:tr w:rsidR="00BB336A" w:rsidRPr="001E552E" w:rsidTr="00BB336A">
        <w:trPr>
          <w:trHeight w:val="300"/>
        </w:trPr>
        <w:tc>
          <w:tcPr>
            <w:tcW w:w="9242" w:type="dxa"/>
            <w:shd w:val="clear" w:color="auto" w:fill="DBE5F1" w:themeFill="accent1" w:themeFillTint="33"/>
            <w:noWrap/>
          </w:tcPr>
          <w:p w:rsidR="00BB336A" w:rsidRPr="00BB336A" w:rsidRDefault="00BB336A" w:rsidP="005B18F6"/>
        </w:tc>
      </w:tr>
      <w:tr w:rsidR="00BB336A" w:rsidRPr="001E552E" w:rsidTr="001E552E">
        <w:trPr>
          <w:trHeight w:val="300"/>
        </w:trPr>
        <w:tc>
          <w:tcPr>
            <w:tcW w:w="9242" w:type="dxa"/>
            <w:noWrap/>
          </w:tcPr>
          <w:p w:rsidR="00BB336A" w:rsidRPr="00BB336A" w:rsidRDefault="00600F2B" w:rsidP="00600F2B">
            <w:r>
              <w:t>The Provider will offer</w:t>
            </w:r>
            <w:r w:rsidR="00BB336A" w:rsidRPr="00BB336A">
              <w:t xml:space="preserve"> a single point of contact for medicines queries and prescribing advice in primary care within normal office hours.</w:t>
            </w:r>
          </w:p>
        </w:tc>
      </w:tr>
      <w:tr w:rsidR="003345F1" w:rsidRPr="001E552E" w:rsidTr="003345F1">
        <w:trPr>
          <w:trHeight w:val="300"/>
        </w:trPr>
        <w:tc>
          <w:tcPr>
            <w:tcW w:w="9242" w:type="dxa"/>
            <w:shd w:val="clear" w:color="auto" w:fill="DBE5F1" w:themeFill="accent1" w:themeFillTint="33"/>
            <w:noWrap/>
          </w:tcPr>
          <w:p w:rsidR="003345F1" w:rsidRDefault="003345F1" w:rsidP="00600F2B"/>
        </w:tc>
      </w:tr>
      <w:tr w:rsidR="003345F1" w:rsidRPr="001E552E" w:rsidTr="001E552E">
        <w:trPr>
          <w:trHeight w:val="300"/>
        </w:trPr>
        <w:tc>
          <w:tcPr>
            <w:tcW w:w="9242" w:type="dxa"/>
            <w:noWrap/>
          </w:tcPr>
          <w:p w:rsidR="003345F1" w:rsidRDefault="003345F1" w:rsidP="003345F1">
            <w:r>
              <w:t>The Provider will d</w:t>
            </w:r>
            <w:r w:rsidRPr="00C53240">
              <w:t xml:space="preserve">evelop and implement </w:t>
            </w:r>
            <w:r w:rsidR="00C960E0">
              <w:t xml:space="preserve">a </w:t>
            </w:r>
            <w:r w:rsidRPr="00C53240">
              <w:t>M</w:t>
            </w:r>
            <w:r w:rsidR="00C960E0">
              <w:t xml:space="preserve">edicines </w:t>
            </w:r>
            <w:r w:rsidR="00A16DBC" w:rsidRPr="00C53240">
              <w:t>O</w:t>
            </w:r>
            <w:r w:rsidR="00A16DBC">
              <w:t xml:space="preserve">ptimisation </w:t>
            </w:r>
            <w:r w:rsidR="00A16DBC" w:rsidRPr="00C53240">
              <w:t>training</w:t>
            </w:r>
            <w:r w:rsidRPr="00C53240">
              <w:t xml:space="preserve"> programme for local primary care health care professionals when requested to do so.</w:t>
            </w:r>
          </w:p>
        </w:tc>
      </w:tr>
      <w:tr w:rsidR="00C53240" w:rsidRPr="001E552E" w:rsidTr="00C53240">
        <w:trPr>
          <w:trHeight w:val="300"/>
        </w:trPr>
        <w:tc>
          <w:tcPr>
            <w:tcW w:w="9242" w:type="dxa"/>
            <w:shd w:val="clear" w:color="auto" w:fill="DBE5F1" w:themeFill="accent1" w:themeFillTint="33"/>
            <w:noWrap/>
          </w:tcPr>
          <w:p w:rsidR="00C53240" w:rsidRPr="00BB336A" w:rsidRDefault="00C53240" w:rsidP="00BB336A"/>
        </w:tc>
      </w:tr>
      <w:tr w:rsidR="00665A62" w:rsidRPr="001E552E" w:rsidTr="00665A62">
        <w:trPr>
          <w:trHeight w:val="300"/>
        </w:trPr>
        <w:tc>
          <w:tcPr>
            <w:tcW w:w="9242" w:type="dxa"/>
            <w:shd w:val="clear" w:color="auto" w:fill="auto"/>
            <w:noWrap/>
          </w:tcPr>
          <w:p w:rsidR="00665A62" w:rsidRPr="00BB336A" w:rsidRDefault="00665A62" w:rsidP="00665A62">
            <w:r>
              <w:t>The Provider will support staff working in GP Practices to manage the repeat prescribing process in order to keep patients safe and minimise medicines waste.</w:t>
            </w:r>
          </w:p>
        </w:tc>
      </w:tr>
      <w:tr w:rsidR="00665A62" w:rsidRPr="001E552E" w:rsidTr="00C53240">
        <w:trPr>
          <w:trHeight w:val="300"/>
        </w:trPr>
        <w:tc>
          <w:tcPr>
            <w:tcW w:w="9242" w:type="dxa"/>
            <w:shd w:val="clear" w:color="auto" w:fill="DBE5F1" w:themeFill="accent1" w:themeFillTint="33"/>
            <w:noWrap/>
          </w:tcPr>
          <w:p w:rsidR="00665A62" w:rsidRPr="00BB336A" w:rsidRDefault="00665A62" w:rsidP="00BB336A"/>
        </w:tc>
      </w:tr>
      <w:tr w:rsidR="00C53240" w:rsidRPr="001E552E" w:rsidTr="001E552E">
        <w:trPr>
          <w:trHeight w:val="300"/>
        </w:trPr>
        <w:tc>
          <w:tcPr>
            <w:tcW w:w="9242" w:type="dxa"/>
            <w:noWrap/>
          </w:tcPr>
          <w:p w:rsidR="00C53240" w:rsidRPr="00C53240" w:rsidRDefault="00C53240" w:rsidP="00BB336A">
            <w:pPr>
              <w:rPr>
                <w:b/>
              </w:rPr>
            </w:pPr>
            <w:r w:rsidRPr="00C53240">
              <w:rPr>
                <w:b/>
              </w:rPr>
              <w:t>Patient experience</w:t>
            </w:r>
          </w:p>
        </w:tc>
      </w:tr>
      <w:tr w:rsidR="00C53240" w:rsidRPr="001E552E" w:rsidTr="00C53240">
        <w:trPr>
          <w:trHeight w:val="300"/>
        </w:trPr>
        <w:tc>
          <w:tcPr>
            <w:tcW w:w="9242" w:type="dxa"/>
            <w:shd w:val="clear" w:color="auto" w:fill="DBE5F1" w:themeFill="accent1" w:themeFillTint="33"/>
            <w:noWrap/>
          </w:tcPr>
          <w:p w:rsidR="00C53240" w:rsidRDefault="00C53240" w:rsidP="00BB336A"/>
        </w:tc>
      </w:tr>
      <w:tr w:rsidR="00C53240" w:rsidRPr="001E552E" w:rsidTr="001E552E">
        <w:trPr>
          <w:trHeight w:val="300"/>
        </w:trPr>
        <w:tc>
          <w:tcPr>
            <w:tcW w:w="9242" w:type="dxa"/>
            <w:noWrap/>
          </w:tcPr>
          <w:p w:rsidR="00C53240" w:rsidRPr="00BB336A" w:rsidRDefault="00C53240" w:rsidP="00BB336A">
            <w:r>
              <w:t>The Provider will d</w:t>
            </w:r>
            <w:r w:rsidRPr="001E552E">
              <w:t xml:space="preserve">evelop a system to identify and report on number of high risk patients </w:t>
            </w:r>
            <w:r>
              <w:t>receiving medication reviews</w:t>
            </w:r>
            <w:r w:rsidR="00C43B8A">
              <w:t xml:space="preserve"> by the service</w:t>
            </w:r>
            <w:r>
              <w:t>.</w:t>
            </w:r>
          </w:p>
        </w:tc>
      </w:tr>
      <w:tr w:rsidR="00600F2B" w:rsidRPr="001E552E" w:rsidTr="00600F2B">
        <w:trPr>
          <w:trHeight w:val="300"/>
        </w:trPr>
        <w:tc>
          <w:tcPr>
            <w:tcW w:w="9242" w:type="dxa"/>
            <w:shd w:val="clear" w:color="auto" w:fill="DBE5F1" w:themeFill="accent1" w:themeFillTint="33"/>
            <w:noWrap/>
          </w:tcPr>
          <w:p w:rsidR="00600F2B" w:rsidRDefault="00600F2B" w:rsidP="00BB336A"/>
        </w:tc>
      </w:tr>
      <w:tr w:rsidR="00600F2B" w:rsidRPr="001E552E" w:rsidTr="001E552E">
        <w:trPr>
          <w:trHeight w:val="300"/>
        </w:trPr>
        <w:tc>
          <w:tcPr>
            <w:tcW w:w="9242" w:type="dxa"/>
            <w:noWrap/>
          </w:tcPr>
          <w:p w:rsidR="00600F2B" w:rsidRDefault="00600F2B" w:rsidP="00C960E0">
            <w:r>
              <w:t>The Provider will seek to make i</w:t>
            </w:r>
            <w:r w:rsidRPr="001E552E">
              <w:t xml:space="preserve">mprovements in patient adherence and knowledge of how to manage their condition </w:t>
            </w:r>
            <w:r w:rsidR="00C960E0">
              <w:t>in order to help reduce</w:t>
            </w:r>
            <w:r>
              <w:t xml:space="preserve"> demand on secondary care services.</w:t>
            </w:r>
          </w:p>
        </w:tc>
      </w:tr>
      <w:tr w:rsidR="00C53240" w:rsidRPr="001E552E" w:rsidTr="00C53240">
        <w:trPr>
          <w:trHeight w:val="300"/>
        </w:trPr>
        <w:tc>
          <w:tcPr>
            <w:tcW w:w="9242" w:type="dxa"/>
            <w:shd w:val="clear" w:color="auto" w:fill="DBE5F1" w:themeFill="accent1" w:themeFillTint="33"/>
            <w:noWrap/>
          </w:tcPr>
          <w:p w:rsidR="00C53240" w:rsidRDefault="00C53240" w:rsidP="00BB336A"/>
        </w:tc>
      </w:tr>
      <w:tr w:rsidR="00C53240" w:rsidRPr="001E552E" w:rsidTr="001E552E">
        <w:trPr>
          <w:trHeight w:val="300"/>
        </w:trPr>
        <w:tc>
          <w:tcPr>
            <w:tcW w:w="9242" w:type="dxa"/>
            <w:noWrap/>
          </w:tcPr>
          <w:p w:rsidR="00C53240" w:rsidRPr="00C53240" w:rsidRDefault="003345F1" w:rsidP="003345F1">
            <w:r>
              <w:t>The Provider will identify and r</w:t>
            </w:r>
            <w:r w:rsidR="00C53240" w:rsidRPr="00C53240">
              <w:t>eview patients on multiple medicines to address polypharmacy and issues with adherence by face to face review and implement deprescribing where appropriate.</w:t>
            </w:r>
          </w:p>
        </w:tc>
      </w:tr>
      <w:tr w:rsidR="001E552E" w:rsidRPr="001E552E" w:rsidTr="005B18F6">
        <w:trPr>
          <w:trHeight w:val="300"/>
        </w:trPr>
        <w:tc>
          <w:tcPr>
            <w:tcW w:w="9242" w:type="dxa"/>
            <w:shd w:val="clear" w:color="auto" w:fill="DBE5F1" w:themeFill="accent1" w:themeFillTint="33"/>
            <w:hideMark/>
          </w:tcPr>
          <w:p w:rsidR="001E552E" w:rsidRPr="001E552E" w:rsidRDefault="001E552E">
            <w:r w:rsidRPr="001E552E">
              <w:t> </w:t>
            </w:r>
          </w:p>
        </w:tc>
      </w:tr>
      <w:tr w:rsidR="00D52C77" w:rsidRPr="001E552E" w:rsidTr="00D52C77">
        <w:trPr>
          <w:trHeight w:val="300"/>
        </w:trPr>
        <w:tc>
          <w:tcPr>
            <w:tcW w:w="9242" w:type="dxa"/>
            <w:shd w:val="clear" w:color="auto" w:fill="auto"/>
          </w:tcPr>
          <w:p w:rsidR="00D52C77" w:rsidRPr="001E552E" w:rsidRDefault="00D52C77">
            <w:r>
              <w:t>The Provider will use Right Care data sources and methodology to identify and treat or provide advice to GPs on treatment for patients who are not receiving the best outcomes from their medicines.</w:t>
            </w:r>
          </w:p>
        </w:tc>
      </w:tr>
      <w:tr w:rsidR="00D52C77" w:rsidRPr="001E552E" w:rsidTr="00D52C77">
        <w:trPr>
          <w:trHeight w:val="300"/>
        </w:trPr>
        <w:tc>
          <w:tcPr>
            <w:tcW w:w="9242" w:type="dxa"/>
            <w:shd w:val="clear" w:color="auto" w:fill="DBE5F1" w:themeFill="accent1" w:themeFillTint="33"/>
          </w:tcPr>
          <w:p w:rsidR="00D52C77" w:rsidRDefault="00D52C77"/>
        </w:tc>
      </w:tr>
      <w:tr w:rsidR="001A1B26" w:rsidRPr="001E552E" w:rsidTr="001E552E">
        <w:trPr>
          <w:trHeight w:val="300"/>
        </w:trPr>
        <w:tc>
          <w:tcPr>
            <w:tcW w:w="9242" w:type="dxa"/>
          </w:tcPr>
          <w:p w:rsidR="001A1B26" w:rsidRPr="001A1B26" w:rsidRDefault="00BB336A">
            <w:pPr>
              <w:rPr>
                <w:b/>
              </w:rPr>
            </w:pPr>
            <w:r>
              <w:rPr>
                <w:b/>
              </w:rPr>
              <w:t>Medicines</w:t>
            </w:r>
            <w:r w:rsidR="001A1B26" w:rsidRPr="001A1B26">
              <w:rPr>
                <w:b/>
              </w:rPr>
              <w:t xml:space="preserve"> Safety</w:t>
            </w:r>
          </w:p>
        </w:tc>
      </w:tr>
      <w:tr w:rsidR="001E552E" w:rsidRPr="001E552E" w:rsidTr="001E552E">
        <w:trPr>
          <w:trHeight w:val="300"/>
        </w:trPr>
        <w:tc>
          <w:tcPr>
            <w:tcW w:w="9242" w:type="dxa"/>
            <w:vMerge w:val="restart"/>
            <w:hideMark/>
          </w:tcPr>
          <w:p w:rsidR="001E552E" w:rsidRPr="001E552E" w:rsidRDefault="00F045B8">
            <w:r>
              <w:t>The Provider will</w:t>
            </w:r>
            <w:r w:rsidRPr="00F045B8">
              <w:rPr>
                <w:b/>
                <w:bCs/>
              </w:rPr>
              <w:t xml:space="preserve"> </w:t>
            </w:r>
            <w:r>
              <w:rPr>
                <w:bCs/>
              </w:rPr>
              <w:t>c</w:t>
            </w:r>
            <w:r w:rsidRPr="00F045B8">
              <w:rPr>
                <w:bCs/>
              </w:rPr>
              <w:t xml:space="preserve">onduct medicines safety audits as required in line with priorities and agreed by </w:t>
            </w:r>
            <w:r w:rsidR="00D128FA" w:rsidRPr="00D128FA">
              <w:rPr>
                <w:bCs/>
              </w:rPr>
              <w:t>The Commissioner and The Provider</w:t>
            </w:r>
            <w:r w:rsidRPr="00F045B8">
              <w:rPr>
                <w:bCs/>
              </w:rPr>
              <w:t>.</w:t>
            </w:r>
          </w:p>
        </w:tc>
      </w:tr>
      <w:tr w:rsidR="001E552E" w:rsidRPr="001E552E" w:rsidTr="001E552E">
        <w:trPr>
          <w:trHeight w:val="285"/>
        </w:trPr>
        <w:tc>
          <w:tcPr>
            <w:tcW w:w="9242" w:type="dxa"/>
            <w:vMerge/>
            <w:hideMark/>
          </w:tcPr>
          <w:p w:rsidR="001E552E" w:rsidRPr="001E552E" w:rsidRDefault="001E552E"/>
        </w:tc>
      </w:tr>
      <w:tr w:rsidR="00F045B8" w:rsidRPr="001E552E" w:rsidTr="00F045B8">
        <w:trPr>
          <w:trHeight w:val="300"/>
        </w:trPr>
        <w:tc>
          <w:tcPr>
            <w:tcW w:w="9242" w:type="dxa"/>
            <w:shd w:val="clear" w:color="auto" w:fill="DBE5F1" w:themeFill="accent1" w:themeFillTint="33"/>
          </w:tcPr>
          <w:p w:rsidR="00F045B8" w:rsidRPr="001E552E" w:rsidRDefault="00F045B8" w:rsidP="00F045B8"/>
        </w:tc>
      </w:tr>
      <w:tr w:rsidR="001E552E" w:rsidRPr="001E552E" w:rsidTr="001E552E">
        <w:trPr>
          <w:trHeight w:val="300"/>
        </w:trPr>
        <w:tc>
          <w:tcPr>
            <w:tcW w:w="9242" w:type="dxa"/>
            <w:hideMark/>
          </w:tcPr>
          <w:p w:rsidR="001E552E" w:rsidRPr="00F045B8" w:rsidRDefault="001E552E" w:rsidP="00C960E0">
            <w:pPr>
              <w:rPr>
                <w:bCs/>
              </w:rPr>
            </w:pPr>
            <w:r w:rsidRPr="001E552E">
              <w:t> </w:t>
            </w:r>
            <w:r w:rsidR="00F045B8" w:rsidRPr="00F045B8">
              <w:rPr>
                <w:bCs/>
              </w:rPr>
              <w:t xml:space="preserve">The Provider will proactively support the </w:t>
            </w:r>
            <w:r w:rsidR="00C960E0">
              <w:rPr>
                <w:bCs/>
              </w:rPr>
              <w:t xml:space="preserve">GP practices with the </w:t>
            </w:r>
            <w:r w:rsidR="00F045B8" w:rsidRPr="00F045B8">
              <w:rPr>
                <w:bCs/>
              </w:rPr>
              <w:t>management of medicine withdrawals by identifying potentially affected patients.</w:t>
            </w:r>
          </w:p>
        </w:tc>
      </w:tr>
      <w:tr w:rsidR="00F045B8" w:rsidRPr="001E552E" w:rsidTr="00F045B8">
        <w:trPr>
          <w:trHeight w:val="300"/>
        </w:trPr>
        <w:tc>
          <w:tcPr>
            <w:tcW w:w="9242" w:type="dxa"/>
            <w:shd w:val="clear" w:color="auto" w:fill="DBE5F1" w:themeFill="accent1" w:themeFillTint="33"/>
          </w:tcPr>
          <w:p w:rsidR="00F045B8" w:rsidRPr="001E552E" w:rsidRDefault="00F045B8"/>
        </w:tc>
      </w:tr>
      <w:tr w:rsidR="001E552E" w:rsidRPr="001E552E" w:rsidTr="001E552E">
        <w:trPr>
          <w:trHeight w:val="600"/>
        </w:trPr>
        <w:tc>
          <w:tcPr>
            <w:tcW w:w="9242" w:type="dxa"/>
            <w:hideMark/>
          </w:tcPr>
          <w:p w:rsidR="001E552E" w:rsidRPr="001E552E" w:rsidRDefault="00F045B8" w:rsidP="001A1B26">
            <w:r>
              <w:t>The Provider will p</w:t>
            </w:r>
            <w:r w:rsidR="001E552E" w:rsidRPr="001E552E">
              <w:t xml:space="preserve">romote medicines incident reporting by GP practices by </w:t>
            </w:r>
            <w:r>
              <w:t xml:space="preserve">use of </w:t>
            </w:r>
            <w:r w:rsidR="001E552E" w:rsidRPr="001E552E">
              <w:t xml:space="preserve">approved NRLS tools. </w:t>
            </w:r>
          </w:p>
        </w:tc>
      </w:tr>
      <w:tr w:rsidR="001E552E" w:rsidRPr="001E552E" w:rsidTr="00F045B8">
        <w:trPr>
          <w:trHeight w:val="345"/>
        </w:trPr>
        <w:tc>
          <w:tcPr>
            <w:tcW w:w="9242" w:type="dxa"/>
            <w:shd w:val="clear" w:color="auto" w:fill="DBE5F1" w:themeFill="accent1" w:themeFillTint="33"/>
            <w:hideMark/>
          </w:tcPr>
          <w:p w:rsidR="001E552E" w:rsidRPr="001E552E" w:rsidRDefault="001E552E">
            <w:r w:rsidRPr="001E552E">
              <w:t> </w:t>
            </w:r>
          </w:p>
        </w:tc>
      </w:tr>
      <w:tr w:rsidR="001A1B26" w:rsidRPr="001E552E" w:rsidTr="001A1B26">
        <w:trPr>
          <w:trHeight w:val="345"/>
        </w:trPr>
        <w:tc>
          <w:tcPr>
            <w:tcW w:w="9242" w:type="dxa"/>
            <w:shd w:val="clear" w:color="auto" w:fill="auto"/>
          </w:tcPr>
          <w:p w:rsidR="001A1B26" w:rsidRPr="001E552E" w:rsidRDefault="001A1B26" w:rsidP="005B18F6">
            <w:r w:rsidRPr="001E552E">
              <w:t xml:space="preserve">The </w:t>
            </w:r>
            <w:r w:rsidR="005B18F6">
              <w:t>Provider</w:t>
            </w:r>
            <w:r w:rsidRPr="001E552E">
              <w:t xml:space="preserve"> will participate in root cause analysis and shared learning</w:t>
            </w:r>
            <w:r>
              <w:t xml:space="preserve"> including attendance at regional medicines safety events</w:t>
            </w:r>
            <w:r w:rsidRPr="001E552E">
              <w:t>.</w:t>
            </w:r>
          </w:p>
        </w:tc>
      </w:tr>
      <w:tr w:rsidR="001A1B26" w:rsidRPr="001E552E" w:rsidTr="005B18F6">
        <w:trPr>
          <w:trHeight w:val="345"/>
        </w:trPr>
        <w:tc>
          <w:tcPr>
            <w:tcW w:w="9242" w:type="dxa"/>
            <w:shd w:val="clear" w:color="auto" w:fill="DBE5F1" w:themeFill="accent1" w:themeFillTint="33"/>
          </w:tcPr>
          <w:p w:rsidR="001A1B26" w:rsidRPr="001E552E" w:rsidRDefault="001A1B26"/>
        </w:tc>
      </w:tr>
      <w:tr w:rsidR="001E552E" w:rsidRPr="001E552E" w:rsidTr="001E552E">
        <w:trPr>
          <w:trHeight w:val="300"/>
        </w:trPr>
        <w:tc>
          <w:tcPr>
            <w:tcW w:w="9242" w:type="dxa"/>
            <w:vMerge w:val="restart"/>
            <w:hideMark/>
          </w:tcPr>
          <w:p w:rsidR="001E552E" w:rsidRPr="001E552E" w:rsidRDefault="005B18F6" w:rsidP="005B18F6">
            <w:r>
              <w:t>The Provider will p</w:t>
            </w:r>
            <w:r w:rsidR="001E552E" w:rsidRPr="001E552E">
              <w:t>romote contractual breach reporting by</w:t>
            </w:r>
            <w:r>
              <w:t xml:space="preserve"> </w:t>
            </w:r>
            <w:r w:rsidR="00BB336A">
              <w:t xml:space="preserve">all </w:t>
            </w:r>
            <w:r w:rsidR="00BB336A" w:rsidRPr="001E552E">
              <w:t>service</w:t>
            </w:r>
            <w:r w:rsidR="001E552E" w:rsidRPr="001E552E">
              <w:t xml:space="preserve"> providers with respect to medicines use at point of transfer of care on discharge including</w:t>
            </w:r>
            <w:r>
              <w:t xml:space="preserve"> a</w:t>
            </w:r>
            <w:r w:rsidR="001E552E" w:rsidRPr="001E552E">
              <w:t xml:space="preserve"> </w:t>
            </w:r>
            <w:r w:rsidR="00C960E0">
              <w:t xml:space="preserve">CCG </w:t>
            </w:r>
            <w:r w:rsidR="001E552E" w:rsidRPr="001E552E">
              <w:t>Quality Matters</w:t>
            </w:r>
            <w:r>
              <w:t xml:space="preserve"> </w:t>
            </w:r>
            <w:r w:rsidR="003345F1">
              <w:t xml:space="preserve">submission </w:t>
            </w:r>
            <w:r w:rsidR="003345F1" w:rsidRPr="001E552E">
              <w:t>in</w:t>
            </w:r>
            <w:r w:rsidR="001E552E" w:rsidRPr="001E552E">
              <w:t xml:space="preserve"> all cases.</w:t>
            </w:r>
          </w:p>
        </w:tc>
      </w:tr>
      <w:tr w:rsidR="001E552E" w:rsidRPr="001E552E" w:rsidTr="001E552E">
        <w:trPr>
          <w:trHeight w:val="270"/>
        </w:trPr>
        <w:tc>
          <w:tcPr>
            <w:tcW w:w="9242" w:type="dxa"/>
            <w:vMerge/>
            <w:hideMark/>
          </w:tcPr>
          <w:p w:rsidR="001E552E" w:rsidRPr="001E552E" w:rsidRDefault="001E552E"/>
        </w:tc>
      </w:tr>
      <w:tr w:rsidR="001E552E" w:rsidRPr="001E552E" w:rsidTr="005B18F6">
        <w:trPr>
          <w:trHeight w:val="300"/>
        </w:trPr>
        <w:tc>
          <w:tcPr>
            <w:tcW w:w="9242" w:type="dxa"/>
            <w:shd w:val="clear" w:color="auto" w:fill="DBE5F1" w:themeFill="accent1" w:themeFillTint="33"/>
            <w:hideMark/>
          </w:tcPr>
          <w:p w:rsidR="001E552E" w:rsidRPr="001E552E" w:rsidRDefault="001E552E">
            <w:r w:rsidRPr="001E552E">
              <w:t> </w:t>
            </w:r>
          </w:p>
        </w:tc>
      </w:tr>
      <w:tr w:rsidR="001E552E" w:rsidRPr="001E552E" w:rsidTr="001E552E">
        <w:trPr>
          <w:trHeight w:val="300"/>
        </w:trPr>
        <w:tc>
          <w:tcPr>
            <w:tcW w:w="9242" w:type="dxa"/>
            <w:noWrap/>
            <w:hideMark/>
          </w:tcPr>
          <w:p w:rsidR="001E552E" w:rsidRPr="001E552E" w:rsidRDefault="003345F1" w:rsidP="003345F1">
            <w:r>
              <w:t>The Provider will conduct an annual a</w:t>
            </w:r>
            <w:r w:rsidR="001E552E" w:rsidRPr="001E552E">
              <w:t xml:space="preserve">udit </w:t>
            </w:r>
            <w:r>
              <w:t xml:space="preserve">of </w:t>
            </w:r>
            <w:r w:rsidR="001E552E" w:rsidRPr="001E552E">
              <w:t>the quality of discharge summaries and medicines use against the current NICE guidance on medicines optimisation.</w:t>
            </w:r>
          </w:p>
        </w:tc>
      </w:tr>
      <w:tr w:rsidR="005B18F6" w:rsidRPr="001E552E" w:rsidTr="005B18F6">
        <w:trPr>
          <w:trHeight w:val="300"/>
        </w:trPr>
        <w:tc>
          <w:tcPr>
            <w:tcW w:w="9242" w:type="dxa"/>
            <w:shd w:val="clear" w:color="auto" w:fill="DBE5F1" w:themeFill="accent1" w:themeFillTint="33"/>
            <w:noWrap/>
          </w:tcPr>
          <w:p w:rsidR="005B18F6" w:rsidRPr="001E552E" w:rsidRDefault="005B18F6"/>
        </w:tc>
      </w:tr>
      <w:tr w:rsidR="001E552E" w:rsidRPr="001E552E" w:rsidTr="001E552E">
        <w:trPr>
          <w:trHeight w:val="195"/>
        </w:trPr>
        <w:tc>
          <w:tcPr>
            <w:tcW w:w="9242" w:type="dxa"/>
            <w:hideMark/>
          </w:tcPr>
          <w:p w:rsidR="001E552E" w:rsidRPr="001E552E" w:rsidRDefault="001E552E" w:rsidP="00D128FA">
            <w:r w:rsidRPr="001E552E">
              <w:t> </w:t>
            </w:r>
            <w:r w:rsidR="003345F1">
              <w:t>The Provider will s</w:t>
            </w:r>
            <w:r w:rsidR="005B18F6" w:rsidRPr="001E552E">
              <w:t xml:space="preserve">upport </w:t>
            </w:r>
            <w:r w:rsidR="003345F1">
              <w:t>T</w:t>
            </w:r>
            <w:r w:rsidR="005B18F6" w:rsidRPr="001E552E">
              <w:t xml:space="preserve">he </w:t>
            </w:r>
            <w:r w:rsidR="005B18F6">
              <w:t xml:space="preserve">Commissioner </w:t>
            </w:r>
            <w:r w:rsidR="003345F1">
              <w:t>by</w:t>
            </w:r>
            <w:r w:rsidR="005B18F6" w:rsidRPr="001E552E">
              <w:t xml:space="preserve"> monitor</w:t>
            </w:r>
            <w:r w:rsidR="003345F1">
              <w:t>ing</w:t>
            </w:r>
            <w:r w:rsidR="005B18F6" w:rsidRPr="001E552E">
              <w:t xml:space="preserve"> </w:t>
            </w:r>
            <w:r w:rsidR="003345F1" w:rsidRPr="001E552E">
              <w:t>prescribing practice by out of hour’s service providers</w:t>
            </w:r>
            <w:r w:rsidR="005B18F6" w:rsidRPr="001E552E">
              <w:t xml:space="preserve">. </w:t>
            </w:r>
          </w:p>
        </w:tc>
      </w:tr>
      <w:tr w:rsidR="00C53240" w:rsidRPr="001E552E" w:rsidTr="00C53240">
        <w:trPr>
          <w:trHeight w:val="195"/>
        </w:trPr>
        <w:tc>
          <w:tcPr>
            <w:tcW w:w="9242" w:type="dxa"/>
            <w:shd w:val="clear" w:color="auto" w:fill="DBE5F1" w:themeFill="accent1" w:themeFillTint="33"/>
          </w:tcPr>
          <w:p w:rsidR="00C53240" w:rsidRPr="001E552E" w:rsidRDefault="00C53240"/>
        </w:tc>
      </w:tr>
      <w:tr w:rsidR="00C53240" w:rsidRPr="001E552E" w:rsidTr="001E552E">
        <w:trPr>
          <w:trHeight w:val="195"/>
        </w:trPr>
        <w:tc>
          <w:tcPr>
            <w:tcW w:w="9242" w:type="dxa"/>
          </w:tcPr>
          <w:p w:rsidR="00C53240" w:rsidRPr="001E552E" w:rsidRDefault="00D128FA" w:rsidP="00D128FA">
            <w:r>
              <w:t>The Provider will actively utilise</w:t>
            </w:r>
            <w:r w:rsidR="00C53240" w:rsidRPr="00C53240">
              <w:t xml:space="preserve"> </w:t>
            </w:r>
            <w:r>
              <w:t>Eclipse Live at</w:t>
            </w:r>
            <w:r w:rsidR="00C53240" w:rsidRPr="00C53240">
              <w:t xml:space="preserve"> GP practices</w:t>
            </w:r>
            <w:r>
              <w:t xml:space="preserve"> to ensure that patients who are at risk from their medicines</w:t>
            </w:r>
            <w:r w:rsidR="00C53240" w:rsidRPr="00C53240">
              <w:t xml:space="preserve"> </w:t>
            </w:r>
            <w:r>
              <w:t xml:space="preserve">are properly monitored </w:t>
            </w:r>
            <w:r w:rsidR="00C53240" w:rsidRPr="00C53240">
              <w:t xml:space="preserve">and use Eclipse </w:t>
            </w:r>
            <w:r w:rsidR="00C960E0" w:rsidRPr="00C53240">
              <w:t>Live (where</w:t>
            </w:r>
            <w:r w:rsidR="00C53240" w:rsidRPr="00C53240">
              <w:t xml:space="preserve"> installed) to deliver agreed projects</w:t>
            </w:r>
            <w:r w:rsidR="00C960E0">
              <w:t>.</w:t>
            </w:r>
          </w:p>
        </w:tc>
      </w:tr>
      <w:tr w:rsidR="00C53240" w:rsidRPr="001E552E" w:rsidTr="00C53240">
        <w:trPr>
          <w:trHeight w:val="195"/>
        </w:trPr>
        <w:tc>
          <w:tcPr>
            <w:tcW w:w="9242" w:type="dxa"/>
            <w:shd w:val="clear" w:color="auto" w:fill="DBE5F1" w:themeFill="accent1" w:themeFillTint="33"/>
          </w:tcPr>
          <w:p w:rsidR="00C53240" w:rsidRPr="00C53240" w:rsidRDefault="00C53240"/>
        </w:tc>
      </w:tr>
      <w:tr w:rsidR="00C53240" w:rsidRPr="001E552E" w:rsidTr="001E552E">
        <w:trPr>
          <w:trHeight w:val="195"/>
        </w:trPr>
        <w:tc>
          <w:tcPr>
            <w:tcW w:w="9242" w:type="dxa"/>
          </w:tcPr>
          <w:p w:rsidR="00C53240" w:rsidRPr="00C53240" w:rsidRDefault="00D128FA" w:rsidP="00D128FA">
            <w:r>
              <w:t xml:space="preserve">The </w:t>
            </w:r>
            <w:r w:rsidR="00C53240" w:rsidRPr="00C53240">
              <w:t>Provide</w:t>
            </w:r>
            <w:r>
              <w:t>r will give</w:t>
            </w:r>
            <w:r w:rsidR="00C53240" w:rsidRPr="00C53240">
              <w:t xml:space="preserve"> specialist advice to GP practices and individual prescribers with regard </w:t>
            </w:r>
            <w:r w:rsidRPr="00C53240">
              <w:t>to medicines</w:t>
            </w:r>
            <w:r w:rsidR="00C53240" w:rsidRPr="00C53240">
              <w:t xml:space="preserve"> policy </w:t>
            </w:r>
            <w:r>
              <w:t>and</w:t>
            </w:r>
            <w:r w:rsidR="00C53240" w:rsidRPr="00C53240">
              <w:t xml:space="preserve"> the safe and secure handling of medicines.</w:t>
            </w:r>
          </w:p>
        </w:tc>
      </w:tr>
      <w:tr w:rsidR="00C53240" w:rsidRPr="001E552E" w:rsidTr="00C53240">
        <w:trPr>
          <w:trHeight w:val="195"/>
        </w:trPr>
        <w:tc>
          <w:tcPr>
            <w:tcW w:w="9242" w:type="dxa"/>
            <w:shd w:val="clear" w:color="auto" w:fill="DBE5F1" w:themeFill="accent1" w:themeFillTint="33"/>
          </w:tcPr>
          <w:p w:rsidR="00C53240" w:rsidRPr="00C53240" w:rsidRDefault="00C53240"/>
        </w:tc>
      </w:tr>
      <w:tr w:rsidR="00C53240" w:rsidRPr="001E552E" w:rsidTr="001E552E">
        <w:trPr>
          <w:trHeight w:val="195"/>
        </w:trPr>
        <w:tc>
          <w:tcPr>
            <w:tcW w:w="9242" w:type="dxa"/>
          </w:tcPr>
          <w:p w:rsidR="00C53240" w:rsidRPr="00C53240" w:rsidRDefault="00D128FA" w:rsidP="00D128FA">
            <w:r>
              <w:t>The Provider will r</w:t>
            </w:r>
            <w:r w:rsidR="00C53240" w:rsidRPr="00C53240">
              <w:t>espond to other hospital trusts that identify patients at high risk of hospital admission/re-admission for medication review.</w:t>
            </w:r>
          </w:p>
        </w:tc>
      </w:tr>
      <w:tr w:rsidR="00C53240" w:rsidRPr="001E552E" w:rsidTr="00C53240">
        <w:trPr>
          <w:trHeight w:val="195"/>
        </w:trPr>
        <w:tc>
          <w:tcPr>
            <w:tcW w:w="9242" w:type="dxa"/>
            <w:shd w:val="clear" w:color="auto" w:fill="DBE5F1" w:themeFill="accent1" w:themeFillTint="33"/>
          </w:tcPr>
          <w:p w:rsidR="00C53240" w:rsidRPr="00C53240" w:rsidRDefault="00C53240"/>
        </w:tc>
      </w:tr>
      <w:tr w:rsidR="00C53240" w:rsidRPr="001E552E" w:rsidTr="001E552E">
        <w:trPr>
          <w:trHeight w:val="195"/>
        </w:trPr>
        <w:tc>
          <w:tcPr>
            <w:tcW w:w="9242" w:type="dxa"/>
          </w:tcPr>
          <w:p w:rsidR="00C53240" w:rsidRPr="00C53240" w:rsidRDefault="00D128FA" w:rsidP="00D128FA">
            <w:r>
              <w:t>The Provider will a</w:t>
            </w:r>
            <w:r w:rsidR="00C53240" w:rsidRPr="00C53240">
              <w:t>udit prescribing practice</w:t>
            </w:r>
            <w:r w:rsidR="00C53240">
              <w:t xml:space="preserve"> and feedback to </w:t>
            </w:r>
            <w:r w:rsidR="00061CAC">
              <w:t xml:space="preserve">prescribers </w:t>
            </w:r>
            <w:r w:rsidR="00061CAC" w:rsidRPr="00C53240">
              <w:t>in</w:t>
            </w:r>
            <w:r w:rsidR="00C53240" w:rsidRPr="00C53240">
              <w:t xml:space="preserve"> line with NICE and other relevant evidence based guidance as it emerges as agreed by</w:t>
            </w:r>
            <w:r w:rsidRPr="00D128FA">
              <w:t xml:space="preserve"> The Commissioner and The Provider</w:t>
            </w:r>
            <w:r>
              <w:t>.</w:t>
            </w:r>
            <w:r w:rsidR="00C53240">
              <w:t xml:space="preserve"> </w:t>
            </w:r>
          </w:p>
        </w:tc>
      </w:tr>
      <w:tr w:rsidR="005B18F6" w:rsidRPr="001E552E" w:rsidTr="005B18F6">
        <w:trPr>
          <w:trHeight w:val="195"/>
        </w:trPr>
        <w:tc>
          <w:tcPr>
            <w:tcW w:w="9242" w:type="dxa"/>
            <w:shd w:val="clear" w:color="auto" w:fill="DBE5F1" w:themeFill="accent1" w:themeFillTint="33"/>
          </w:tcPr>
          <w:p w:rsidR="005B18F6" w:rsidRPr="001E552E" w:rsidRDefault="005B18F6"/>
        </w:tc>
      </w:tr>
      <w:tr w:rsidR="00420C52" w:rsidRPr="001E552E" w:rsidTr="00420C52">
        <w:trPr>
          <w:trHeight w:val="195"/>
        </w:trPr>
        <w:tc>
          <w:tcPr>
            <w:tcW w:w="9242" w:type="dxa"/>
            <w:shd w:val="clear" w:color="auto" w:fill="auto"/>
          </w:tcPr>
          <w:p w:rsidR="00420C52" w:rsidRPr="001E552E" w:rsidRDefault="00420C52" w:rsidP="00420C52">
            <w:r>
              <w:t>The Provider will support The Commissioner by education of prescribers to ensure that national guidance on recommended prescribing quantities</w:t>
            </w:r>
            <w:r w:rsidR="00C960E0">
              <w:t xml:space="preserve"> for controlled drugs</w:t>
            </w:r>
            <w:r>
              <w:t xml:space="preserve"> are followed</w:t>
            </w:r>
            <w:r w:rsidR="00C960E0">
              <w:t xml:space="preserve"> and</w:t>
            </w:r>
            <w:r w:rsidR="00A16DBC">
              <w:t xml:space="preserve"> ensure the guidance is implemented</w:t>
            </w:r>
            <w:r>
              <w:t>.</w:t>
            </w:r>
          </w:p>
        </w:tc>
      </w:tr>
      <w:tr w:rsidR="00420C52" w:rsidRPr="001E552E" w:rsidTr="005B18F6">
        <w:trPr>
          <w:trHeight w:val="195"/>
        </w:trPr>
        <w:tc>
          <w:tcPr>
            <w:tcW w:w="9242" w:type="dxa"/>
            <w:shd w:val="clear" w:color="auto" w:fill="DBE5F1" w:themeFill="accent1" w:themeFillTint="33"/>
          </w:tcPr>
          <w:p w:rsidR="00420C52" w:rsidRPr="001E552E" w:rsidRDefault="00420C52" w:rsidP="00420C52">
            <w:pPr>
              <w:ind w:left="1224"/>
            </w:pPr>
          </w:p>
        </w:tc>
      </w:tr>
      <w:tr w:rsidR="00ED3C69" w:rsidRPr="001E552E" w:rsidTr="001E552E">
        <w:trPr>
          <w:trHeight w:val="195"/>
        </w:trPr>
        <w:tc>
          <w:tcPr>
            <w:tcW w:w="9242" w:type="dxa"/>
          </w:tcPr>
          <w:p w:rsidR="00ED3C69" w:rsidRPr="005B18F6" w:rsidRDefault="00ED3C69" w:rsidP="005B18F6">
            <w:pPr>
              <w:rPr>
                <w:b/>
              </w:rPr>
            </w:pPr>
            <w:r>
              <w:rPr>
                <w:b/>
              </w:rPr>
              <w:t>Collaborative working</w:t>
            </w:r>
          </w:p>
        </w:tc>
      </w:tr>
      <w:tr w:rsidR="00ED3C69" w:rsidRPr="001E552E" w:rsidTr="001E552E">
        <w:trPr>
          <w:trHeight w:val="195"/>
        </w:trPr>
        <w:tc>
          <w:tcPr>
            <w:tcW w:w="9242" w:type="dxa"/>
          </w:tcPr>
          <w:p w:rsidR="00ED3C69" w:rsidRPr="00ED3C69" w:rsidRDefault="00ED3C69" w:rsidP="005B18F6">
            <w:r w:rsidRPr="00ED3C69">
              <w:t xml:space="preserve">The provider will </w:t>
            </w:r>
            <w:r>
              <w:t xml:space="preserve">ensure that the service works collaboratively with other </w:t>
            </w:r>
            <w:r w:rsidR="00D128FA">
              <w:t xml:space="preserve">local </w:t>
            </w:r>
            <w:r>
              <w:t>services working on the medicines optimisation agenda. Area</w:t>
            </w:r>
            <w:r w:rsidR="00D128FA">
              <w:t>s</w:t>
            </w:r>
            <w:r>
              <w:t xml:space="preserve"> identifies include oral nutrition, wound care and appliances. Other areas may be considered which will be agreed by </w:t>
            </w:r>
            <w:r w:rsidR="00D128FA" w:rsidRPr="00D128FA">
              <w:t>The Commissioner and The Provider</w:t>
            </w:r>
            <w:r w:rsidR="00D128FA">
              <w:t>.</w:t>
            </w:r>
          </w:p>
        </w:tc>
      </w:tr>
      <w:tr w:rsidR="007D6D02" w:rsidRPr="001E552E" w:rsidTr="007D6D02">
        <w:trPr>
          <w:trHeight w:val="195"/>
        </w:trPr>
        <w:tc>
          <w:tcPr>
            <w:tcW w:w="9242" w:type="dxa"/>
            <w:shd w:val="clear" w:color="auto" w:fill="DBE5F1" w:themeFill="accent1" w:themeFillTint="33"/>
          </w:tcPr>
          <w:p w:rsidR="007D6D02" w:rsidRPr="00ED3C69" w:rsidRDefault="007D6D02" w:rsidP="005B18F6"/>
        </w:tc>
      </w:tr>
      <w:tr w:rsidR="007D6D02" w:rsidRPr="001E552E" w:rsidTr="001E552E">
        <w:trPr>
          <w:trHeight w:val="195"/>
        </w:trPr>
        <w:tc>
          <w:tcPr>
            <w:tcW w:w="9242" w:type="dxa"/>
          </w:tcPr>
          <w:p w:rsidR="007D6D02" w:rsidRPr="00ED3C69" w:rsidRDefault="007D6D02" w:rsidP="005B18F6">
            <w:r w:rsidRPr="007D6D02">
              <w:t>The Provider will ensure that the named practic</w:t>
            </w:r>
            <w:r w:rsidR="00A16DBC">
              <w:t>e pharmacist participates in</w:t>
            </w:r>
            <w:r w:rsidRPr="007D6D02">
              <w:t xml:space="preserve"> practice based multi-disciplinary patient meetings as needed.</w:t>
            </w:r>
          </w:p>
        </w:tc>
      </w:tr>
      <w:tr w:rsidR="00ED3C69" w:rsidRPr="001E552E" w:rsidTr="00ED3C69">
        <w:trPr>
          <w:trHeight w:val="195"/>
        </w:trPr>
        <w:tc>
          <w:tcPr>
            <w:tcW w:w="9242" w:type="dxa"/>
            <w:shd w:val="clear" w:color="auto" w:fill="DBE5F1" w:themeFill="accent1" w:themeFillTint="33"/>
          </w:tcPr>
          <w:p w:rsidR="00ED3C69" w:rsidRPr="005B18F6" w:rsidRDefault="00ED3C69" w:rsidP="005B18F6">
            <w:pPr>
              <w:rPr>
                <w:b/>
              </w:rPr>
            </w:pPr>
          </w:p>
        </w:tc>
      </w:tr>
      <w:tr w:rsidR="001A1B26" w:rsidRPr="001E552E" w:rsidTr="001E552E">
        <w:trPr>
          <w:trHeight w:val="195"/>
        </w:trPr>
        <w:tc>
          <w:tcPr>
            <w:tcW w:w="9242" w:type="dxa"/>
          </w:tcPr>
          <w:p w:rsidR="001A1B26" w:rsidRPr="005B18F6" w:rsidRDefault="001A1B26" w:rsidP="005B18F6">
            <w:pPr>
              <w:rPr>
                <w:b/>
              </w:rPr>
            </w:pPr>
            <w:r w:rsidRPr="005B18F6">
              <w:rPr>
                <w:b/>
              </w:rPr>
              <w:t>Specialist</w:t>
            </w:r>
            <w:r w:rsidR="005B18F6" w:rsidRPr="005B18F6">
              <w:rPr>
                <w:b/>
              </w:rPr>
              <w:t xml:space="preserve"> </w:t>
            </w:r>
            <w:r w:rsidR="00BB336A">
              <w:rPr>
                <w:b/>
              </w:rPr>
              <w:t xml:space="preserve">Medicines </w:t>
            </w:r>
            <w:r w:rsidR="005B18F6" w:rsidRPr="005B18F6">
              <w:rPr>
                <w:b/>
              </w:rPr>
              <w:t xml:space="preserve">Advisory </w:t>
            </w:r>
            <w:r w:rsidRPr="005B18F6">
              <w:rPr>
                <w:b/>
              </w:rPr>
              <w:t xml:space="preserve"> role: A</w:t>
            </w:r>
            <w:r w:rsidR="005B18F6">
              <w:rPr>
                <w:b/>
              </w:rPr>
              <w:t xml:space="preserve">ntimicrobial </w:t>
            </w:r>
            <w:r w:rsidR="00C53240" w:rsidRPr="005B18F6">
              <w:rPr>
                <w:b/>
              </w:rPr>
              <w:t>R</w:t>
            </w:r>
            <w:r w:rsidR="00C53240">
              <w:rPr>
                <w:b/>
              </w:rPr>
              <w:t>esistance</w:t>
            </w:r>
          </w:p>
        </w:tc>
      </w:tr>
      <w:tr w:rsidR="001E552E" w:rsidRPr="001E552E" w:rsidTr="001E552E">
        <w:trPr>
          <w:trHeight w:val="300"/>
        </w:trPr>
        <w:tc>
          <w:tcPr>
            <w:tcW w:w="9242" w:type="dxa"/>
            <w:vMerge w:val="restart"/>
            <w:hideMark/>
          </w:tcPr>
          <w:p w:rsidR="001E552E" w:rsidRPr="001E552E" w:rsidRDefault="00D128FA" w:rsidP="00D128FA">
            <w:r>
              <w:t>The Provider will p</w:t>
            </w:r>
            <w:r w:rsidR="001E552E" w:rsidRPr="001E552E">
              <w:t xml:space="preserve">roduce an annual report of primary care antibiotic prescribing in collaboration with Microbiology as part of </w:t>
            </w:r>
            <w:r w:rsidR="001A1B26">
              <w:t>health economy plans to tackle AMR</w:t>
            </w:r>
          </w:p>
        </w:tc>
      </w:tr>
      <w:tr w:rsidR="001E552E" w:rsidRPr="001E552E" w:rsidTr="001E552E">
        <w:trPr>
          <w:trHeight w:val="270"/>
        </w:trPr>
        <w:tc>
          <w:tcPr>
            <w:tcW w:w="9242" w:type="dxa"/>
            <w:vMerge/>
            <w:hideMark/>
          </w:tcPr>
          <w:p w:rsidR="001E552E" w:rsidRPr="001E552E" w:rsidRDefault="001E552E"/>
        </w:tc>
      </w:tr>
      <w:tr w:rsidR="001E552E" w:rsidRPr="001E552E" w:rsidTr="001A1B26">
        <w:trPr>
          <w:trHeight w:val="300"/>
        </w:trPr>
        <w:tc>
          <w:tcPr>
            <w:tcW w:w="9242" w:type="dxa"/>
            <w:shd w:val="clear" w:color="auto" w:fill="DBE5F1" w:themeFill="accent1" w:themeFillTint="33"/>
            <w:hideMark/>
          </w:tcPr>
          <w:p w:rsidR="001E552E" w:rsidRPr="001E552E" w:rsidRDefault="001E552E">
            <w:r w:rsidRPr="001E552E">
              <w:t> </w:t>
            </w:r>
          </w:p>
        </w:tc>
      </w:tr>
      <w:tr w:rsidR="001E552E" w:rsidRPr="001E552E" w:rsidTr="001E552E">
        <w:trPr>
          <w:trHeight w:val="300"/>
        </w:trPr>
        <w:tc>
          <w:tcPr>
            <w:tcW w:w="9242" w:type="dxa"/>
            <w:hideMark/>
          </w:tcPr>
          <w:p w:rsidR="001E552E" w:rsidRPr="001E552E" w:rsidRDefault="00D128FA" w:rsidP="00D128FA">
            <w:r>
              <w:t xml:space="preserve">The Provider will conduct </w:t>
            </w:r>
            <w:r w:rsidR="001E552E" w:rsidRPr="001E552E">
              <w:t xml:space="preserve">an annual review and update of primary care antibiotic guidelines in line with national and local guidance. </w:t>
            </w:r>
          </w:p>
        </w:tc>
      </w:tr>
      <w:tr w:rsidR="001E552E" w:rsidRPr="001E552E" w:rsidTr="001A1B26">
        <w:trPr>
          <w:trHeight w:val="300"/>
        </w:trPr>
        <w:tc>
          <w:tcPr>
            <w:tcW w:w="9242" w:type="dxa"/>
            <w:shd w:val="clear" w:color="auto" w:fill="DBE5F1" w:themeFill="accent1" w:themeFillTint="33"/>
          </w:tcPr>
          <w:p w:rsidR="001E552E" w:rsidRPr="001E552E" w:rsidRDefault="001E552E"/>
        </w:tc>
      </w:tr>
      <w:tr w:rsidR="001E552E" w:rsidRPr="001E552E" w:rsidTr="001E552E">
        <w:trPr>
          <w:trHeight w:val="300"/>
        </w:trPr>
        <w:tc>
          <w:tcPr>
            <w:tcW w:w="9242" w:type="dxa"/>
            <w:noWrap/>
            <w:hideMark/>
          </w:tcPr>
          <w:p w:rsidR="001E552E" w:rsidRDefault="00D128FA" w:rsidP="00D128FA">
            <w:r>
              <w:t>The Provider will undertake</w:t>
            </w:r>
            <w:r w:rsidR="001E552E" w:rsidRPr="001E552E">
              <w:t xml:space="preserve"> </w:t>
            </w:r>
            <w:r w:rsidR="001A1B26">
              <w:t xml:space="preserve">antibiotic </w:t>
            </w:r>
            <w:r w:rsidR="001E552E" w:rsidRPr="001E552E">
              <w:t xml:space="preserve">root cause analysis in conjunction with the infection control team where necessary. </w:t>
            </w:r>
          </w:p>
          <w:p w:rsidR="007D6D02" w:rsidRPr="001E552E" w:rsidRDefault="007D6D02" w:rsidP="00D128FA"/>
        </w:tc>
      </w:tr>
      <w:tr w:rsidR="001E552E" w:rsidRPr="001E552E" w:rsidTr="001A1B26">
        <w:trPr>
          <w:trHeight w:val="165"/>
        </w:trPr>
        <w:tc>
          <w:tcPr>
            <w:tcW w:w="9242" w:type="dxa"/>
            <w:shd w:val="clear" w:color="auto" w:fill="DBE5F1" w:themeFill="accent1" w:themeFillTint="33"/>
            <w:hideMark/>
          </w:tcPr>
          <w:p w:rsidR="001E552E" w:rsidRPr="001E552E" w:rsidRDefault="001E552E">
            <w:r w:rsidRPr="001E552E">
              <w:t> </w:t>
            </w:r>
          </w:p>
        </w:tc>
      </w:tr>
      <w:tr w:rsidR="001E552E" w:rsidRPr="001E552E" w:rsidTr="001A1B26">
        <w:trPr>
          <w:trHeight w:val="300"/>
        </w:trPr>
        <w:tc>
          <w:tcPr>
            <w:tcW w:w="9242" w:type="dxa"/>
            <w:vMerge w:val="restart"/>
            <w:shd w:val="clear" w:color="auto" w:fill="auto"/>
            <w:hideMark/>
          </w:tcPr>
          <w:p w:rsidR="001E552E" w:rsidRPr="001E552E" w:rsidRDefault="00D128FA" w:rsidP="00D128FA">
            <w:r>
              <w:t xml:space="preserve">The Provider will </w:t>
            </w:r>
            <w:r w:rsidRPr="001E552E">
              <w:t>audit</w:t>
            </w:r>
            <w:r w:rsidR="001E552E" w:rsidRPr="001E552E">
              <w:t xml:space="preserve"> of antibiotic prescribing within individual GP practices as requested by the </w:t>
            </w:r>
            <w:r w:rsidR="005B18F6">
              <w:lastRenderedPageBreak/>
              <w:t xml:space="preserve">Commissioner </w:t>
            </w:r>
            <w:r w:rsidR="005B18F6" w:rsidRPr="001E552E">
              <w:t>with</w:t>
            </w:r>
            <w:r w:rsidR="001E552E" w:rsidRPr="001E552E">
              <w:t xml:space="preserve"> the scale and size of audit dependent on the requirements of the practice as agreed by </w:t>
            </w:r>
            <w:r w:rsidRPr="00D128FA">
              <w:t>The Commissioner and The Provider</w:t>
            </w:r>
            <w:r w:rsidR="001E552E" w:rsidRPr="001E552E">
              <w:t>.</w:t>
            </w:r>
          </w:p>
        </w:tc>
      </w:tr>
      <w:tr w:rsidR="001A1B26" w:rsidRPr="001E552E" w:rsidTr="001A1B26">
        <w:trPr>
          <w:trHeight w:val="300"/>
        </w:trPr>
        <w:tc>
          <w:tcPr>
            <w:tcW w:w="9242" w:type="dxa"/>
            <w:vMerge/>
            <w:shd w:val="clear" w:color="auto" w:fill="auto"/>
          </w:tcPr>
          <w:p w:rsidR="001A1B26" w:rsidRPr="001E552E" w:rsidRDefault="001A1B26" w:rsidP="001A1B26"/>
        </w:tc>
      </w:tr>
      <w:tr w:rsidR="001E552E" w:rsidRPr="001E552E" w:rsidTr="001A1B26">
        <w:trPr>
          <w:trHeight w:val="300"/>
        </w:trPr>
        <w:tc>
          <w:tcPr>
            <w:tcW w:w="9242" w:type="dxa"/>
            <w:vMerge/>
            <w:shd w:val="clear" w:color="auto" w:fill="auto"/>
            <w:hideMark/>
          </w:tcPr>
          <w:p w:rsidR="001E552E" w:rsidRPr="001E552E" w:rsidRDefault="001E552E"/>
        </w:tc>
      </w:tr>
      <w:tr w:rsidR="001A1B26" w:rsidRPr="001E552E" w:rsidTr="00D52C77">
        <w:trPr>
          <w:trHeight w:val="308"/>
        </w:trPr>
        <w:tc>
          <w:tcPr>
            <w:tcW w:w="9242" w:type="dxa"/>
            <w:shd w:val="clear" w:color="auto" w:fill="DBE5F1" w:themeFill="accent1" w:themeFillTint="33"/>
          </w:tcPr>
          <w:p w:rsidR="001A1B26" w:rsidRPr="001E552E" w:rsidRDefault="001A1B26"/>
        </w:tc>
      </w:tr>
      <w:tr w:rsidR="001E552E" w:rsidRPr="001E552E" w:rsidTr="001E552E">
        <w:trPr>
          <w:trHeight w:val="720"/>
        </w:trPr>
        <w:tc>
          <w:tcPr>
            <w:tcW w:w="9242" w:type="dxa"/>
            <w:vMerge w:val="restart"/>
            <w:hideMark/>
          </w:tcPr>
          <w:p w:rsidR="001E552E" w:rsidRPr="001E552E" w:rsidRDefault="00D128FA" w:rsidP="00D128FA">
            <w:r>
              <w:t>The Provider will d</w:t>
            </w:r>
            <w:r w:rsidR="001E552E" w:rsidRPr="001E552E">
              <w:t xml:space="preserve">evelop and implementation initiatives to optimise antibiotic prescribing within Primary Care which are agreed between </w:t>
            </w:r>
            <w:r w:rsidR="001A1B26">
              <w:t>The Commissioner and The Provider</w:t>
            </w:r>
            <w:r w:rsidR="001E552E" w:rsidRPr="001E552E">
              <w:t>.</w:t>
            </w:r>
          </w:p>
        </w:tc>
      </w:tr>
      <w:tr w:rsidR="001E552E" w:rsidRPr="001E552E" w:rsidTr="001A1B26">
        <w:trPr>
          <w:trHeight w:val="269"/>
        </w:trPr>
        <w:tc>
          <w:tcPr>
            <w:tcW w:w="9242" w:type="dxa"/>
            <w:vMerge/>
            <w:hideMark/>
          </w:tcPr>
          <w:p w:rsidR="001E552E" w:rsidRPr="001E552E" w:rsidRDefault="001E552E"/>
        </w:tc>
      </w:tr>
      <w:tr w:rsidR="001E552E" w:rsidRPr="001E552E" w:rsidTr="001A1B26">
        <w:trPr>
          <w:trHeight w:val="300"/>
        </w:trPr>
        <w:tc>
          <w:tcPr>
            <w:tcW w:w="9242" w:type="dxa"/>
            <w:shd w:val="clear" w:color="auto" w:fill="DBE5F1" w:themeFill="accent1" w:themeFillTint="33"/>
            <w:hideMark/>
          </w:tcPr>
          <w:p w:rsidR="001E552E" w:rsidRPr="001E552E" w:rsidRDefault="001E552E">
            <w:r w:rsidRPr="001E552E">
              <w:t> </w:t>
            </w:r>
          </w:p>
        </w:tc>
      </w:tr>
      <w:tr w:rsidR="001E552E" w:rsidRPr="001E552E" w:rsidTr="001E552E">
        <w:trPr>
          <w:trHeight w:val="210"/>
        </w:trPr>
        <w:tc>
          <w:tcPr>
            <w:tcW w:w="9242" w:type="dxa"/>
            <w:hideMark/>
          </w:tcPr>
          <w:p w:rsidR="001E552E" w:rsidRPr="001E552E" w:rsidRDefault="001E552E">
            <w:r w:rsidRPr="001E552E">
              <w:t> </w:t>
            </w:r>
            <w:r w:rsidR="005B18F6" w:rsidRPr="005B18F6">
              <w:rPr>
                <w:b/>
              </w:rPr>
              <w:t xml:space="preserve">Specialist </w:t>
            </w:r>
            <w:r w:rsidR="00C53240">
              <w:rPr>
                <w:b/>
              </w:rPr>
              <w:t xml:space="preserve">Medicines </w:t>
            </w:r>
            <w:r w:rsidR="005B18F6" w:rsidRPr="005B18F6">
              <w:rPr>
                <w:b/>
              </w:rPr>
              <w:t xml:space="preserve">Advisory  role: </w:t>
            </w:r>
            <w:r w:rsidR="005B18F6">
              <w:rPr>
                <w:b/>
              </w:rPr>
              <w:t>Care Homes</w:t>
            </w:r>
          </w:p>
        </w:tc>
      </w:tr>
      <w:tr w:rsidR="001E552E" w:rsidRPr="001E552E" w:rsidTr="001E552E">
        <w:trPr>
          <w:trHeight w:val="600"/>
        </w:trPr>
        <w:tc>
          <w:tcPr>
            <w:tcW w:w="9242" w:type="dxa"/>
            <w:hideMark/>
          </w:tcPr>
          <w:p w:rsidR="001E552E" w:rsidRPr="001E552E" w:rsidRDefault="00D128FA" w:rsidP="00D128FA">
            <w:r>
              <w:t>The Provider will w</w:t>
            </w:r>
            <w:r w:rsidR="001E552E" w:rsidRPr="001E552E">
              <w:t>ork with GP practices to provide a medication review service to patients living in Care Homes as well as responding to GP practice requests on an ad hoc basis</w:t>
            </w:r>
            <w:r>
              <w:t>.</w:t>
            </w:r>
          </w:p>
        </w:tc>
      </w:tr>
      <w:tr w:rsidR="001E552E" w:rsidRPr="001E552E" w:rsidTr="00BB336A">
        <w:trPr>
          <w:trHeight w:val="300"/>
        </w:trPr>
        <w:tc>
          <w:tcPr>
            <w:tcW w:w="9242" w:type="dxa"/>
            <w:shd w:val="clear" w:color="auto" w:fill="DBE5F1" w:themeFill="accent1" w:themeFillTint="33"/>
            <w:hideMark/>
          </w:tcPr>
          <w:p w:rsidR="001E552E" w:rsidRPr="001E552E" w:rsidRDefault="001E552E">
            <w:r w:rsidRPr="001E552E">
              <w:t> </w:t>
            </w:r>
          </w:p>
        </w:tc>
      </w:tr>
      <w:tr w:rsidR="00252884" w:rsidRPr="001E552E" w:rsidTr="001E552E">
        <w:trPr>
          <w:trHeight w:val="600"/>
        </w:trPr>
        <w:tc>
          <w:tcPr>
            <w:tcW w:w="9242" w:type="dxa"/>
          </w:tcPr>
          <w:p w:rsidR="003E68FF" w:rsidRPr="003E68FF" w:rsidRDefault="00D128FA" w:rsidP="003E68FF">
            <w:pPr>
              <w:rPr>
                <w:bCs/>
              </w:rPr>
            </w:pPr>
            <w:r>
              <w:rPr>
                <w:bCs/>
              </w:rPr>
              <w:t>The Provider will conduct m</w:t>
            </w:r>
            <w:r w:rsidR="00ED3C69" w:rsidRPr="003E68FF">
              <w:rPr>
                <w:bCs/>
              </w:rPr>
              <w:t>edication reviews for residents of Nursing and Residential Care Homes</w:t>
            </w:r>
            <w:r>
              <w:rPr>
                <w:bCs/>
              </w:rPr>
              <w:t xml:space="preserve"> </w:t>
            </w:r>
            <w:r w:rsidR="003E68FF" w:rsidRPr="003E68FF">
              <w:rPr>
                <w:bCs/>
              </w:rPr>
              <w:t>using a rolling programme of work as agreed with the commissioner.</w:t>
            </w:r>
          </w:p>
          <w:p w:rsidR="00252884" w:rsidRPr="003E68FF" w:rsidRDefault="00252884"/>
        </w:tc>
      </w:tr>
      <w:tr w:rsidR="00337EFC" w:rsidRPr="001E552E" w:rsidTr="00D52C77">
        <w:trPr>
          <w:trHeight w:val="313"/>
        </w:trPr>
        <w:tc>
          <w:tcPr>
            <w:tcW w:w="9242" w:type="dxa"/>
            <w:shd w:val="clear" w:color="auto" w:fill="DBE5F1" w:themeFill="accent1" w:themeFillTint="33"/>
          </w:tcPr>
          <w:p w:rsidR="00337EFC" w:rsidRPr="001E552E" w:rsidRDefault="00337EFC" w:rsidP="003E68FF"/>
        </w:tc>
      </w:tr>
      <w:tr w:rsidR="00337EFC" w:rsidRPr="001E552E" w:rsidTr="001E552E">
        <w:trPr>
          <w:trHeight w:val="600"/>
        </w:trPr>
        <w:tc>
          <w:tcPr>
            <w:tcW w:w="9242" w:type="dxa"/>
          </w:tcPr>
          <w:p w:rsidR="003E68FF" w:rsidRPr="003E68FF" w:rsidRDefault="003E68FF" w:rsidP="003E68FF">
            <w:pPr>
              <w:rPr>
                <w:bCs/>
              </w:rPr>
            </w:pPr>
            <w:r>
              <w:rPr>
                <w:bCs/>
              </w:rPr>
              <w:t xml:space="preserve">The </w:t>
            </w:r>
            <w:r w:rsidR="00D128FA">
              <w:rPr>
                <w:bCs/>
              </w:rPr>
              <w:t>provider</w:t>
            </w:r>
            <w:r w:rsidRPr="003E68FF">
              <w:rPr>
                <w:bCs/>
              </w:rPr>
              <w:t xml:space="preserve"> will conduct medication reviews</w:t>
            </w:r>
            <w:r w:rsidR="00A16DBC">
              <w:rPr>
                <w:bCs/>
              </w:rPr>
              <w:t xml:space="preserve"> using nursing home MAR charts .</w:t>
            </w:r>
            <w:r w:rsidRPr="003E68FF">
              <w:rPr>
                <w:bCs/>
              </w:rPr>
              <w:t xml:space="preserve">care plans and </w:t>
            </w:r>
            <w:r w:rsidR="00A16DBC">
              <w:rPr>
                <w:bCs/>
              </w:rPr>
              <w:t xml:space="preserve">a </w:t>
            </w:r>
            <w:r w:rsidRPr="003E68FF">
              <w:rPr>
                <w:bCs/>
              </w:rPr>
              <w:t>brief GP summary; calculating risk versus benefits of current medications.  A Care of the Elderly Consultant will provide clinical leadership.</w:t>
            </w:r>
          </w:p>
          <w:p w:rsidR="00337EFC" w:rsidRPr="001E552E" w:rsidRDefault="00337EFC" w:rsidP="00ED3C69"/>
        </w:tc>
      </w:tr>
      <w:tr w:rsidR="003E68FF" w:rsidRPr="001E552E" w:rsidTr="00D52C77">
        <w:trPr>
          <w:trHeight w:val="323"/>
        </w:trPr>
        <w:tc>
          <w:tcPr>
            <w:tcW w:w="9242" w:type="dxa"/>
            <w:shd w:val="clear" w:color="auto" w:fill="DBE5F1" w:themeFill="accent1" w:themeFillTint="33"/>
          </w:tcPr>
          <w:p w:rsidR="003E68FF" w:rsidRDefault="003E68FF" w:rsidP="003E68FF">
            <w:pPr>
              <w:rPr>
                <w:bCs/>
              </w:rPr>
            </w:pPr>
          </w:p>
        </w:tc>
      </w:tr>
      <w:tr w:rsidR="003E68FF" w:rsidRPr="001E552E" w:rsidTr="001E552E">
        <w:trPr>
          <w:trHeight w:val="600"/>
        </w:trPr>
        <w:tc>
          <w:tcPr>
            <w:tcW w:w="9242" w:type="dxa"/>
          </w:tcPr>
          <w:p w:rsidR="003E68FF" w:rsidRPr="003E68FF" w:rsidRDefault="003E68FF" w:rsidP="003E68FF">
            <w:pPr>
              <w:rPr>
                <w:bCs/>
              </w:rPr>
            </w:pPr>
            <w:r w:rsidRPr="003E68FF">
              <w:rPr>
                <w:bCs/>
              </w:rPr>
              <w:t xml:space="preserve">The </w:t>
            </w:r>
            <w:r w:rsidR="00D128FA">
              <w:rPr>
                <w:bCs/>
              </w:rPr>
              <w:t>Provider</w:t>
            </w:r>
            <w:r w:rsidRPr="003E68FF">
              <w:rPr>
                <w:bCs/>
              </w:rPr>
              <w:t xml:space="preserve"> will liaise with the home to ensure they understand what is </w:t>
            </w:r>
            <w:r w:rsidR="00D128FA">
              <w:rPr>
                <w:bCs/>
              </w:rPr>
              <w:t xml:space="preserve">involved with the medication </w:t>
            </w:r>
            <w:r w:rsidR="005251D4">
              <w:rPr>
                <w:bCs/>
              </w:rPr>
              <w:t>reviews and</w:t>
            </w:r>
            <w:r w:rsidR="00D128FA">
              <w:rPr>
                <w:bCs/>
              </w:rPr>
              <w:t xml:space="preserve"> ensure that the home is</w:t>
            </w:r>
            <w:r w:rsidRPr="003E68FF">
              <w:rPr>
                <w:bCs/>
              </w:rPr>
              <w:t xml:space="preserve"> prep</w:t>
            </w:r>
            <w:r w:rsidR="005251D4">
              <w:rPr>
                <w:bCs/>
              </w:rPr>
              <w:t>ared on site for the visit. The Provider</w:t>
            </w:r>
            <w:r w:rsidRPr="003E68FF">
              <w:rPr>
                <w:bCs/>
              </w:rPr>
              <w:t xml:space="preserve"> will arrange appropriate times to complete the medication reviews on each of the residents. The homes should </w:t>
            </w:r>
            <w:r w:rsidR="005251D4">
              <w:rPr>
                <w:bCs/>
              </w:rPr>
              <w:t xml:space="preserve">be advised to </w:t>
            </w:r>
            <w:r w:rsidRPr="003E68FF">
              <w:rPr>
                <w:bCs/>
              </w:rPr>
              <w:t>put up notices within the home to inform residents and their relatives about the forthcoming review.</w:t>
            </w:r>
          </w:p>
          <w:p w:rsidR="003E68FF" w:rsidRPr="003E68FF" w:rsidRDefault="003E68FF" w:rsidP="003E68FF">
            <w:pPr>
              <w:rPr>
                <w:bCs/>
              </w:rPr>
            </w:pPr>
          </w:p>
        </w:tc>
      </w:tr>
      <w:tr w:rsidR="003E68FF" w:rsidRPr="001E552E" w:rsidTr="00D52C77">
        <w:trPr>
          <w:trHeight w:val="355"/>
        </w:trPr>
        <w:tc>
          <w:tcPr>
            <w:tcW w:w="9242" w:type="dxa"/>
            <w:shd w:val="clear" w:color="auto" w:fill="DBE5F1" w:themeFill="accent1" w:themeFillTint="33"/>
          </w:tcPr>
          <w:p w:rsidR="003E68FF" w:rsidRPr="003E68FF" w:rsidRDefault="003E68FF" w:rsidP="003E68FF">
            <w:pPr>
              <w:rPr>
                <w:bCs/>
              </w:rPr>
            </w:pPr>
          </w:p>
        </w:tc>
      </w:tr>
      <w:tr w:rsidR="003E68FF" w:rsidRPr="001E552E" w:rsidTr="001E552E">
        <w:trPr>
          <w:trHeight w:val="600"/>
        </w:trPr>
        <w:tc>
          <w:tcPr>
            <w:tcW w:w="9242" w:type="dxa"/>
          </w:tcPr>
          <w:p w:rsidR="003E68FF" w:rsidRPr="003E68FF" w:rsidRDefault="003E68FF" w:rsidP="003E68FF">
            <w:pPr>
              <w:rPr>
                <w:bCs/>
              </w:rPr>
            </w:pPr>
            <w:r w:rsidRPr="003E68FF">
              <w:rPr>
                <w:bCs/>
              </w:rPr>
              <w:t xml:space="preserve">The </w:t>
            </w:r>
            <w:r w:rsidR="005251D4">
              <w:rPr>
                <w:bCs/>
              </w:rPr>
              <w:t xml:space="preserve">Provider will ensure </w:t>
            </w:r>
            <w:r w:rsidRPr="003E68FF">
              <w:rPr>
                <w:bCs/>
              </w:rPr>
              <w:t>reviews will be completed at the care home site at the convenience of the resident. Each review should be person-centred around the individual resident.</w:t>
            </w:r>
          </w:p>
          <w:p w:rsidR="003E68FF" w:rsidRPr="003E68FF" w:rsidRDefault="003E68FF" w:rsidP="003E68FF">
            <w:pPr>
              <w:rPr>
                <w:bCs/>
              </w:rPr>
            </w:pPr>
          </w:p>
        </w:tc>
      </w:tr>
      <w:tr w:rsidR="003E68FF" w:rsidRPr="001E552E" w:rsidTr="00D52C77">
        <w:trPr>
          <w:trHeight w:val="347"/>
        </w:trPr>
        <w:tc>
          <w:tcPr>
            <w:tcW w:w="9242" w:type="dxa"/>
            <w:shd w:val="clear" w:color="auto" w:fill="DBE5F1" w:themeFill="accent1" w:themeFillTint="33"/>
          </w:tcPr>
          <w:p w:rsidR="003E68FF" w:rsidRPr="003E68FF" w:rsidRDefault="003E68FF" w:rsidP="003E68FF">
            <w:pPr>
              <w:rPr>
                <w:bCs/>
              </w:rPr>
            </w:pPr>
          </w:p>
        </w:tc>
      </w:tr>
      <w:tr w:rsidR="003E68FF" w:rsidRPr="001E552E" w:rsidTr="001E552E">
        <w:trPr>
          <w:trHeight w:val="600"/>
        </w:trPr>
        <w:tc>
          <w:tcPr>
            <w:tcW w:w="9242" w:type="dxa"/>
          </w:tcPr>
          <w:p w:rsidR="003E68FF" w:rsidRPr="003E68FF" w:rsidRDefault="003E68FF" w:rsidP="003E68FF">
            <w:pPr>
              <w:rPr>
                <w:bCs/>
              </w:rPr>
            </w:pPr>
            <w:r w:rsidRPr="003E68FF">
              <w:rPr>
                <w:bCs/>
              </w:rPr>
              <w:t xml:space="preserve">Prior to a visit Care Homes will be reminded </w:t>
            </w:r>
            <w:r w:rsidR="005251D4">
              <w:rPr>
                <w:bCs/>
              </w:rPr>
              <w:t xml:space="preserve">by the Provider </w:t>
            </w:r>
            <w:r w:rsidRPr="003E68FF">
              <w:rPr>
                <w:bCs/>
              </w:rPr>
              <w:t>that where a resident lacks the mental capacity to engage in a medication review either their named person with Lasting Power of Attorney for Health and Welfare or a family member known to the home or their  IMCA- Independent Mental Capacity Advocate should be informed of the review .</w:t>
            </w:r>
          </w:p>
          <w:p w:rsidR="003E68FF" w:rsidRPr="003E68FF" w:rsidRDefault="003E68FF" w:rsidP="003E68FF">
            <w:pPr>
              <w:rPr>
                <w:bCs/>
              </w:rPr>
            </w:pPr>
          </w:p>
        </w:tc>
      </w:tr>
      <w:tr w:rsidR="003E68FF" w:rsidRPr="001E552E" w:rsidTr="003E68FF">
        <w:trPr>
          <w:trHeight w:val="600"/>
        </w:trPr>
        <w:tc>
          <w:tcPr>
            <w:tcW w:w="9242" w:type="dxa"/>
            <w:shd w:val="clear" w:color="auto" w:fill="DBE5F1" w:themeFill="accent1" w:themeFillTint="33"/>
          </w:tcPr>
          <w:p w:rsidR="003E68FF" w:rsidRPr="003E68FF" w:rsidRDefault="003E68FF" w:rsidP="003E68FF">
            <w:pPr>
              <w:rPr>
                <w:bCs/>
              </w:rPr>
            </w:pPr>
          </w:p>
        </w:tc>
      </w:tr>
      <w:tr w:rsidR="003E68FF" w:rsidRPr="001E552E" w:rsidTr="001E552E">
        <w:trPr>
          <w:trHeight w:val="600"/>
        </w:trPr>
        <w:tc>
          <w:tcPr>
            <w:tcW w:w="9242" w:type="dxa"/>
          </w:tcPr>
          <w:p w:rsidR="003E68FF" w:rsidRPr="003E68FF" w:rsidRDefault="003E68FF" w:rsidP="003E68FF">
            <w:pPr>
              <w:rPr>
                <w:bCs/>
              </w:rPr>
            </w:pPr>
            <w:r w:rsidRPr="003E68FF">
              <w:rPr>
                <w:bCs/>
              </w:rPr>
              <w:t xml:space="preserve">The following quality measures are required for the </w:t>
            </w:r>
            <w:r w:rsidR="005251D4" w:rsidRPr="005251D4">
              <w:rPr>
                <w:bCs/>
              </w:rPr>
              <w:t xml:space="preserve">Nursing and Residential Care Homes </w:t>
            </w:r>
            <w:r w:rsidRPr="003E68FF">
              <w:rPr>
                <w:bCs/>
              </w:rPr>
              <w:t>service:</w:t>
            </w:r>
          </w:p>
          <w:p w:rsidR="003E68FF" w:rsidRPr="003E68FF" w:rsidRDefault="003E68FF" w:rsidP="003E68FF">
            <w:pPr>
              <w:numPr>
                <w:ilvl w:val="0"/>
                <w:numId w:val="1"/>
              </w:numPr>
              <w:rPr>
                <w:bCs/>
              </w:rPr>
            </w:pPr>
            <w:r w:rsidRPr="003E68FF">
              <w:rPr>
                <w:bCs/>
              </w:rPr>
              <w:t>Number of home visited</w:t>
            </w:r>
          </w:p>
          <w:p w:rsidR="003E68FF" w:rsidRPr="003E68FF" w:rsidRDefault="003E68FF" w:rsidP="003E68FF">
            <w:pPr>
              <w:numPr>
                <w:ilvl w:val="0"/>
                <w:numId w:val="1"/>
              </w:numPr>
              <w:rPr>
                <w:bCs/>
              </w:rPr>
            </w:pPr>
            <w:r w:rsidRPr="003E68FF">
              <w:rPr>
                <w:bCs/>
              </w:rPr>
              <w:t>Number of residents reviewed</w:t>
            </w:r>
          </w:p>
          <w:p w:rsidR="003E68FF" w:rsidRPr="003E68FF" w:rsidRDefault="003E68FF" w:rsidP="003E68FF">
            <w:pPr>
              <w:numPr>
                <w:ilvl w:val="0"/>
                <w:numId w:val="1"/>
              </w:numPr>
              <w:rPr>
                <w:bCs/>
              </w:rPr>
            </w:pPr>
            <w:r w:rsidRPr="003E68FF">
              <w:rPr>
                <w:bCs/>
              </w:rPr>
              <w:t>Cost of medication prior to review and post review</w:t>
            </w:r>
          </w:p>
          <w:p w:rsidR="003E68FF" w:rsidRPr="003E68FF" w:rsidRDefault="003E68FF" w:rsidP="003E68FF">
            <w:pPr>
              <w:numPr>
                <w:ilvl w:val="0"/>
                <w:numId w:val="1"/>
              </w:numPr>
              <w:rPr>
                <w:bCs/>
              </w:rPr>
            </w:pPr>
            <w:r w:rsidRPr="003E68FF">
              <w:rPr>
                <w:bCs/>
              </w:rPr>
              <w:t>Potential savings made as a result</w:t>
            </w:r>
          </w:p>
          <w:p w:rsidR="003E68FF" w:rsidRPr="003E68FF" w:rsidRDefault="003E68FF" w:rsidP="003E68FF">
            <w:pPr>
              <w:rPr>
                <w:bCs/>
              </w:rPr>
            </w:pPr>
          </w:p>
        </w:tc>
      </w:tr>
      <w:tr w:rsidR="003E68FF" w:rsidRPr="001E552E" w:rsidTr="00D52C77">
        <w:trPr>
          <w:trHeight w:val="393"/>
        </w:trPr>
        <w:tc>
          <w:tcPr>
            <w:tcW w:w="9242" w:type="dxa"/>
            <w:shd w:val="clear" w:color="auto" w:fill="DBE5F1" w:themeFill="accent1" w:themeFillTint="33"/>
          </w:tcPr>
          <w:p w:rsidR="003E68FF" w:rsidRPr="003E68FF" w:rsidRDefault="003E68FF" w:rsidP="003E68FF">
            <w:pPr>
              <w:rPr>
                <w:bCs/>
              </w:rPr>
            </w:pPr>
          </w:p>
        </w:tc>
      </w:tr>
      <w:tr w:rsidR="003E68FF" w:rsidRPr="001E552E" w:rsidTr="001E552E">
        <w:trPr>
          <w:trHeight w:val="600"/>
        </w:trPr>
        <w:tc>
          <w:tcPr>
            <w:tcW w:w="9242" w:type="dxa"/>
          </w:tcPr>
          <w:p w:rsidR="003E68FF" w:rsidRPr="003E68FF" w:rsidRDefault="005251D4" w:rsidP="003E68FF">
            <w:pPr>
              <w:rPr>
                <w:bCs/>
              </w:rPr>
            </w:pPr>
            <w:r>
              <w:rPr>
                <w:bCs/>
              </w:rPr>
              <w:t>The Provider will ensure that a</w:t>
            </w:r>
            <w:r w:rsidR="003E68FF" w:rsidRPr="003E68FF">
              <w:rPr>
                <w:bCs/>
              </w:rPr>
              <w:t xml:space="preserve"> letter with any suggested changes </w:t>
            </w:r>
            <w:r w:rsidR="00A16DBC">
              <w:rPr>
                <w:bCs/>
              </w:rPr>
              <w:t xml:space="preserve">from the care home review </w:t>
            </w:r>
            <w:r w:rsidR="003E68FF" w:rsidRPr="003E68FF">
              <w:rPr>
                <w:bCs/>
              </w:rPr>
              <w:t>is sent to the</w:t>
            </w:r>
            <w:r w:rsidR="00A16DBC">
              <w:rPr>
                <w:bCs/>
              </w:rPr>
              <w:t xml:space="preserve"> patients</w:t>
            </w:r>
            <w:r w:rsidR="003E68FF" w:rsidRPr="003E68FF">
              <w:rPr>
                <w:bCs/>
              </w:rPr>
              <w:t xml:space="preserve"> GP who may choose to implement or not, thus retaining overall responsibility. They </w:t>
            </w:r>
            <w:r w:rsidR="003E68FF" w:rsidRPr="003E68FF">
              <w:rPr>
                <w:bCs/>
              </w:rPr>
              <w:lastRenderedPageBreak/>
              <w:t>then have the option to discuss with the relatives in the resident’s best interest where appropriate.  This is in line with NICE guidelines.</w:t>
            </w:r>
          </w:p>
          <w:p w:rsidR="003E68FF" w:rsidRPr="003E68FF" w:rsidRDefault="003E68FF" w:rsidP="003E68FF">
            <w:pPr>
              <w:rPr>
                <w:bCs/>
              </w:rPr>
            </w:pPr>
          </w:p>
        </w:tc>
      </w:tr>
      <w:tr w:rsidR="003E68FF" w:rsidRPr="001E552E" w:rsidTr="00D52C77">
        <w:trPr>
          <w:trHeight w:val="403"/>
        </w:trPr>
        <w:tc>
          <w:tcPr>
            <w:tcW w:w="9242" w:type="dxa"/>
            <w:shd w:val="clear" w:color="auto" w:fill="DBE5F1" w:themeFill="accent1" w:themeFillTint="33"/>
          </w:tcPr>
          <w:p w:rsidR="003E68FF" w:rsidRPr="003E68FF" w:rsidRDefault="003E68FF" w:rsidP="003E68FF">
            <w:pPr>
              <w:rPr>
                <w:bCs/>
              </w:rPr>
            </w:pPr>
          </w:p>
        </w:tc>
      </w:tr>
      <w:tr w:rsidR="00337EFC" w:rsidRPr="001E552E" w:rsidTr="001E552E">
        <w:trPr>
          <w:trHeight w:val="600"/>
        </w:trPr>
        <w:tc>
          <w:tcPr>
            <w:tcW w:w="9242" w:type="dxa"/>
          </w:tcPr>
          <w:p w:rsidR="00337EFC" w:rsidRPr="001E552E" w:rsidRDefault="003E68FF" w:rsidP="005251D4">
            <w:r>
              <w:t>The</w:t>
            </w:r>
            <w:r w:rsidR="005251D4">
              <w:t xml:space="preserve"> Provider</w:t>
            </w:r>
            <w:r>
              <w:t xml:space="preserve"> will d</w:t>
            </w:r>
            <w:r w:rsidRPr="001E552E">
              <w:t>evelop and implement a programme of medicines wastage minimisation by raising awareness in Care Homes based on NICE guidance and quality standards on Managing Medicines in Care Homes. This will include training of care home staff in medicines ordering and producing an annual report</w:t>
            </w:r>
          </w:p>
        </w:tc>
      </w:tr>
      <w:tr w:rsidR="001E552E" w:rsidRPr="001E552E" w:rsidTr="00BB336A">
        <w:trPr>
          <w:trHeight w:val="300"/>
        </w:trPr>
        <w:tc>
          <w:tcPr>
            <w:tcW w:w="9242" w:type="dxa"/>
            <w:shd w:val="clear" w:color="auto" w:fill="DBE5F1" w:themeFill="accent1" w:themeFillTint="33"/>
            <w:hideMark/>
          </w:tcPr>
          <w:p w:rsidR="001E552E" w:rsidRPr="001E552E" w:rsidRDefault="001E552E">
            <w:r w:rsidRPr="001E552E">
              <w:t> </w:t>
            </w:r>
          </w:p>
        </w:tc>
      </w:tr>
      <w:tr w:rsidR="001E552E" w:rsidRPr="001E552E" w:rsidTr="001E552E">
        <w:trPr>
          <w:trHeight w:val="300"/>
        </w:trPr>
        <w:tc>
          <w:tcPr>
            <w:tcW w:w="9242" w:type="dxa"/>
            <w:hideMark/>
          </w:tcPr>
          <w:p w:rsidR="001E552E" w:rsidRPr="001E552E" w:rsidRDefault="00C53240" w:rsidP="00C53240">
            <w:r w:rsidRPr="00C53240">
              <w:rPr>
                <w:b/>
              </w:rPr>
              <w:t xml:space="preserve">Specialist Medicines Advisory  role: </w:t>
            </w:r>
            <w:r>
              <w:rPr>
                <w:b/>
              </w:rPr>
              <w:t>Respiratory</w:t>
            </w:r>
          </w:p>
        </w:tc>
      </w:tr>
      <w:tr w:rsidR="006B2757" w:rsidRPr="001E552E" w:rsidTr="006B2757">
        <w:trPr>
          <w:trHeight w:val="300"/>
        </w:trPr>
        <w:tc>
          <w:tcPr>
            <w:tcW w:w="9242" w:type="dxa"/>
            <w:shd w:val="clear" w:color="auto" w:fill="DBE5F1" w:themeFill="accent1" w:themeFillTint="33"/>
          </w:tcPr>
          <w:p w:rsidR="006B2757" w:rsidRPr="00C53240" w:rsidRDefault="006B2757" w:rsidP="00C53240">
            <w:pPr>
              <w:rPr>
                <w:b/>
              </w:rPr>
            </w:pPr>
          </w:p>
        </w:tc>
      </w:tr>
      <w:tr w:rsidR="006B2757" w:rsidRPr="001E552E" w:rsidTr="001E552E">
        <w:trPr>
          <w:trHeight w:val="300"/>
        </w:trPr>
        <w:tc>
          <w:tcPr>
            <w:tcW w:w="9242" w:type="dxa"/>
          </w:tcPr>
          <w:p w:rsidR="006B2757" w:rsidRPr="006B2757" w:rsidRDefault="006B2757" w:rsidP="00C53240">
            <w:r w:rsidRPr="006B2757">
              <w:t xml:space="preserve">The Provider will </w:t>
            </w:r>
            <w:r>
              <w:t xml:space="preserve">seek to </w:t>
            </w:r>
            <w:r w:rsidRPr="006B2757">
              <w:t xml:space="preserve">reduce the </w:t>
            </w:r>
            <w:r>
              <w:t>average cost of combined ICS/LABA inhalers in each year over the length of the contract.</w:t>
            </w:r>
          </w:p>
        </w:tc>
      </w:tr>
      <w:tr w:rsidR="006B2757" w:rsidRPr="001E552E" w:rsidTr="006B2757">
        <w:trPr>
          <w:trHeight w:val="300"/>
        </w:trPr>
        <w:tc>
          <w:tcPr>
            <w:tcW w:w="9242" w:type="dxa"/>
            <w:shd w:val="clear" w:color="auto" w:fill="DBE5F1" w:themeFill="accent1" w:themeFillTint="33"/>
          </w:tcPr>
          <w:p w:rsidR="006B2757" w:rsidRPr="006B2757" w:rsidRDefault="006B2757" w:rsidP="00C53240"/>
        </w:tc>
      </w:tr>
      <w:tr w:rsidR="006B2757" w:rsidRPr="001E552E" w:rsidTr="001E552E">
        <w:trPr>
          <w:trHeight w:val="300"/>
        </w:trPr>
        <w:tc>
          <w:tcPr>
            <w:tcW w:w="9242" w:type="dxa"/>
          </w:tcPr>
          <w:p w:rsidR="006B2757" w:rsidRPr="006B2757" w:rsidRDefault="006B2757" w:rsidP="006B2757">
            <w:r>
              <w:t>The Provider will work specifically with practices that have high admissions for asthma and COPD and seek to work pro-actively with patients at high risk of admissions. Close working with the secondary care respiratory service and community matrons is required.</w:t>
            </w:r>
          </w:p>
        </w:tc>
      </w:tr>
      <w:tr w:rsidR="003E68FF" w:rsidRPr="001E552E" w:rsidTr="003E68FF">
        <w:trPr>
          <w:trHeight w:val="300"/>
        </w:trPr>
        <w:tc>
          <w:tcPr>
            <w:tcW w:w="9242" w:type="dxa"/>
            <w:shd w:val="clear" w:color="auto" w:fill="DBE5F1" w:themeFill="accent1" w:themeFillTint="33"/>
          </w:tcPr>
          <w:p w:rsidR="003E68FF" w:rsidRDefault="003E68FF" w:rsidP="006B2757"/>
        </w:tc>
      </w:tr>
      <w:tr w:rsidR="003E68FF" w:rsidRPr="001E552E" w:rsidTr="001E552E">
        <w:trPr>
          <w:trHeight w:val="300"/>
        </w:trPr>
        <w:tc>
          <w:tcPr>
            <w:tcW w:w="9242" w:type="dxa"/>
          </w:tcPr>
          <w:p w:rsidR="003E68FF" w:rsidRDefault="003E68FF" w:rsidP="005251D4">
            <w:r>
              <w:t xml:space="preserve">The Provider will </w:t>
            </w:r>
            <w:r w:rsidR="00600F2B">
              <w:t xml:space="preserve">support </w:t>
            </w:r>
            <w:r w:rsidR="005251D4">
              <w:t xml:space="preserve">any </w:t>
            </w:r>
            <w:r w:rsidR="00600F2B">
              <w:t xml:space="preserve">Commissioner </w:t>
            </w:r>
            <w:r w:rsidR="005251D4">
              <w:t xml:space="preserve">led </w:t>
            </w:r>
            <w:r w:rsidR="00600F2B">
              <w:t xml:space="preserve">respiratory initiatives to improve patient care where medicines are involved as agreed by </w:t>
            </w:r>
            <w:r w:rsidR="005251D4" w:rsidRPr="005251D4">
              <w:t>The Commissioner and The Provider</w:t>
            </w:r>
            <w:r w:rsidR="005251D4">
              <w:t>.</w:t>
            </w:r>
          </w:p>
        </w:tc>
      </w:tr>
      <w:tr w:rsidR="00C53240" w:rsidRPr="001E552E" w:rsidTr="00C53240">
        <w:trPr>
          <w:trHeight w:val="300"/>
        </w:trPr>
        <w:tc>
          <w:tcPr>
            <w:tcW w:w="9242" w:type="dxa"/>
            <w:shd w:val="clear" w:color="auto" w:fill="DBE5F1" w:themeFill="accent1" w:themeFillTint="33"/>
          </w:tcPr>
          <w:p w:rsidR="00C53240" w:rsidRDefault="00C53240"/>
        </w:tc>
      </w:tr>
      <w:tr w:rsidR="00C53240" w:rsidRPr="001E552E" w:rsidTr="001E552E">
        <w:trPr>
          <w:trHeight w:val="300"/>
        </w:trPr>
        <w:tc>
          <w:tcPr>
            <w:tcW w:w="9242" w:type="dxa"/>
          </w:tcPr>
          <w:p w:rsidR="00C53240" w:rsidRPr="00C53240" w:rsidRDefault="00C53240">
            <w:pPr>
              <w:rPr>
                <w:b/>
              </w:rPr>
            </w:pPr>
            <w:r w:rsidRPr="00C53240">
              <w:rPr>
                <w:b/>
              </w:rPr>
              <w:t>Other</w:t>
            </w:r>
          </w:p>
        </w:tc>
      </w:tr>
      <w:tr w:rsidR="00C53240" w:rsidRPr="001E552E" w:rsidTr="00C53240">
        <w:trPr>
          <w:trHeight w:val="300"/>
        </w:trPr>
        <w:tc>
          <w:tcPr>
            <w:tcW w:w="9242" w:type="dxa"/>
            <w:shd w:val="clear" w:color="auto" w:fill="DBE5F1" w:themeFill="accent1" w:themeFillTint="33"/>
          </w:tcPr>
          <w:p w:rsidR="00C53240" w:rsidRDefault="00C53240"/>
        </w:tc>
      </w:tr>
      <w:tr w:rsidR="001E552E" w:rsidRPr="001E552E" w:rsidTr="001E552E">
        <w:trPr>
          <w:trHeight w:val="300"/>
        </w:trPr>
        <w:tc>
          <w:tcPr>
            <w:tcW w:w="9242" w:type="dxa"/>
            <w:hideMark/>
          </w:tcPr>
          <w:p w:rsidR="001E552E" w:rsidRPr="001E552E" w:rsidRDefault="001E552E" w:rsidP="005251D4">
            <w:r w:rsidRPr="001E552E">
              <w:t> </w:t>
            </w:r>
            <w:r w:rsidR="005251D4">
              <w:t>The Provider will make available</w:t>
            </w:r>
            <w:r w:rsidR="00BB336A" w:rsidRPr="001E552E">
              <w:t xml:space="preserve"> clerical and administration support for all medicines meetings required by the CCG including committees, work plan meetings, prescribing projects, correspondence and clerical support for </w:t>
            </w:r>
            <w:r w:rsidR="005251D4">
              <w:t xml:space="preserve">the </w:t>
            </w:r>
            <w:r w:rsidR="00BB336A" w:rsidRPr="001E552E">
              <w:t>CCG</w:t>
            </w:r>
            <w:r w:rsidR="005251D4">
              <w:t xml:space="preserve"> Medicines Optimisation Team</w:t>
            </w:r>
          </w:p>
        </w:tc>
      </w:tr>
      <w:tr w:rsidR="00C53240" w:rsidRPr="001E552E" w:rsidTr="00C53240">
        <w:trPr>
          <w:trHeight w:val="269"/>
        </w:trPr>
        <w:tc>
          <w:tcPr>
            <w:tcW w:w="9242" w:type="dxa"/>
            <w:shd w:val="clear" w:color="auto" w:fill="DBE5F1" w:themeFill="accent1" w:themeFillTint="33"/>
          </w:tcPr>
          <w:p w:rsidR="00C53240" w:rsidRPr="001E552E" w:rsidRDefault="00C53240"/>
        </w:tc>
      </w:tr>
      <w:tr w:rsidR="001E552E" w:rsidRPr="001E552E" w:rsidTr="001E552E">
        <w:trPr>
          <w:trHeight w:val="300"/>
        </w:trPr>
        <w:tc>
          <w:tcPr>
            <w:tcW w:w="9242" w:type="dxa"/>
            <w:hideMark/>
          </w:tcPr>
          <w:p w:rsidR="001E552E" w:rsidRPr="001E552E" w:rsidRDefault="001E552E" w:rsidP="005251D4">
            <w:r w:rsidRPr="001E552E">
              <w:t> </w:t>
            </w:r>
            <w:r w:rsidR="00061CAC">
              <w:t>The Provider will</w:t>
            </w:r>
            <w:r w:rsidR="00BB336A" w:rsidRPr="001E552E">
              <w:t xml:space="preserve"> conduct </w:t>
            </w:r>
            <w:r w:rsidR="00061CAC" w:rsidRPr="001E552E">
              <w:t xml:space="preserve">a </w:t>
            </w:r>
            <w:r w:rsidR="00061CAC">
              <w:t xml:space="preserve">regular </w:t>
            </w:r>
            <w:r w:rsidR="005251D4" w:rsidRPr="001E552E">
              <w:t xml:space="preserve">review </w:t>
            </w:r>
            <w:r w:rsidR="005251D4">
              <w:t xml:space="preserve">of </w:t>
            </w:r>
            <w:r w:rsidR="00BB336A" w:rsidRPr="001E552E">
              <w:t xml:space="preserve">skill mix and </w:t>
            </w:r>
            <w:r w:rsidR="00061CAC">
              <w:t>consult with The Commissioner</w:t>
            </w:r>
            <w:r w:rsidR="00BB336A" w:rsidRPr="001E552E">
              <w:t xml:space="preserve"> prior to staff recruitment.</w:t>
            </w:r>
          </w:p>
        </w:tc>
      </w:tr>
      <w:tr w:rsidR="001E552E" w:rsidRPr="001E552E" w:rsidTr="00061CAC">
        <w:trPr>
          <w:trHeight w:val="300"/>
        </w:trPr>
        <w:tc>
          <w:tcPr>
            <w:tcW w:w="9242" w:type="dxa"/>
            <w:vMerge w:val="restart"/>
            <w:shd w:val="clear" w:color="auto" w:fill="DBE5F1" w:themeFill="accent1" w:themeFillTint="33"/>
            <w:hideMark/>
          </w:tcPr>
          <w:p w:rsidR="001E552E" w:rsidRPr="001E552E" w:rsidRDefault="001E552E"/>
        </w:tc>
      </w:tr>
      <w:tr w:rsidR="001E552E" w:rsidRPr="001E552E" w:rsidTr="00D52C77">
        <w:trPr>
          <w:trHeight w:val="269"/>
        </w:trPr>
        <w:tc>
          <w:tcPr>
            <w:tcW w:w="9242" w:type="dxa"/>
            <w:vMerge/>
            <w:shd w:val="clear" w:color="auto" w:fill="DBE5F1" w:themeFill="accent1" w:themeFillTint="33"/>
            <w:hideMark/>
          </w:tcPr>
          <w:p w:rsidR="001E552E" w:rsidRPr="001E552E" w:rsidRDefault="001E552E"/>
        </w:tc>
      </w:tr>
      <w:tr w:rsidR="001E552E" w:rsidRPr="001E552E" w:rsidTr="001E552E">
        <w:trPr>
          <w:trHeight w:val="300"/>
        </w:trPr>
        <w:tc>
          <w:tcPr>
            <w:tcW w:w="9242" w:type="dxa"/>
            <w:hideMark/>
          </w:tcPr>
          <w:p w:rsidR="001E552E" w:rsidRPr="001E552E" w:rsidRDefault="001E552E" w:rsidP="005251D4">
            <w:r w:rsidRPr="001E552E">
              <w:t> </w:t>
            </w:r>
            <w:r w:rsidR="00061CAC">
              <w:t>The Provider will use local knowledge to provide</w:t>
            </w:r>
            <w:r w:rsidR="00C53240" w:rsidRPr="001E552E">
              <w:t xml:space="preserve"> </w:t>
            </w:r>
            <w:r w:rsidR="005251D4">
              <w:t xml:space="preserve">local </w:t>
            </w:r>
            <w:r w:rsidR="00C53240" w:rsidRPr="001E552E">
              <w:t>input into the prescribing newsletter.</w:t>
            </w:r>
          </w:p>
        </w:tc>
      </w:tr>
      <w:tr w:rsidR="001E552E" w:rsidRPr="001E552E" w:rsidTr="00D52C77">
        <w:trPr>
          <w:trHeight w:val="416"/>
        </w:trPr>
        <w:tc>
          <w:tcPr>
            <w:tcW w:w="9242" w:type="dxa"/>
            <w:shd w:val="clear" w:color="auto" w:fill="DBE5F1" w:themeFill="accent1" w:themeFillTint="33"/>
            <w:noWrap/>
            <w:hideMark/>
          </w:tcPr>
          <w:p w:rsidR="001E552E" w:rsidRPr="001E552E" w:rsidRDefault="001E552E"/>
        </w:tc>
      </w:tr>
      <w:tr w:rsidR="001E552E" w:rsidRPr="001E552E" w:rsidTr="001E552E">
        <w:trPr>
          <w:trHeight w:val="300"/>
        </w:trPr>
        <w:tc>
          <w:tcPr>
            <w:tcW w:w="9242" w:type="dxa"/>
            <w:hideMark/>
          </w:tcPr>
          <w:p w:rsidR="001E552E" w:rsidRPr="001E552E" w:rsidRDefault="001E552E" w:rsidP="00A16DBC">
            <w:r w:rsidRPr="001E552E">
              <w:t> </w:t>
            </w:r>
            <w:r w:rsidR="006B2757">
              <w:t xml:space="preserve">The Provider will provide advice and guidance to </w:t>
            </w:r>
            <w:r w:rsidR="00A16DBC">
              <w:t xml:space="preserve">all </w:t>
            </w:r>
            <w:r w:rsidR="006B2757">
              <w:t>clinical pharmacists employed by GP</w:t>
            </w:r>
            <w:r w:rsidR="00A16DBC">
              <w:t>s and pro-actively support</w:t>
            </w:r>
            <w:r w:rsidR="005251D4">
              <w:t xml:space="preserve"> the network of pharmacists working in GP practices.</w:t>
            </w:r>
          </w:p>
        </w:tc>
      </w:tr>
      <w:tr w:rsidR="006B2757" w:rsidRPr="001E552E" w:rsidTr="00D52C77">
        <w:trPr>
          <w:trHeight w:val="300"/>
        </w:trPr>
        <w:tc>
          <w:tcPr>
            <w:tcW w:w="9242" w:type="dxa"/>
            <w:shd w:val="clear" w:color="auto" w:fill="DBE5F1" w:themeFill="accent1" w:themeFillTint="33"/>
          </w:tcPr>
          <w:p w:rsidR="006B2757" w:rsidRPr="001E552E" w:rsidRDefault="006B2757"/>
        </w:tc>
      </w:tr>
      <w:tr w:rsidR="00D01030" w:rsidRPr="001E552E" w:rsidTr="00D01030">
        <w:trPr>
          <w:trHeight w:val="300"/>
        </w:trPr>
        <w:tc>
          <w:tcPr>
            <w:tcW w:w="9242" w:type="dxa"/>
            <w:shd w:val="clear" w:color="auto" w:fill="auto"/>
          </w:tcPr>
          <w:p w:rsidR="00D01030" w:rsidRPr="001E552E" w:rsidRDefault="00D01030">
            <w:r>
              <w:t>The Provider will adhere to equality legislation and equal opportunity in its strategic and operational activities</w:t>
            </w:r>
          </w:p>
        </w:tc>
      </w:tr>
    </w:tbl>
    <w:p w:rsidR="009F48F7" w:rsidRDefault="009F48F7"/>
    <w:sectPr w:rsidR="009F48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54652"/>
    <w:multiLevelType w:val="hybridMultilevel"/>
    <w:tmpl w:val="76004B3A"/>
    <w:lvl w:ilvl="0" w:tplc="6ECADBBC">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5E0F1CD6"/>
    <w:multiLevelType w:val="multilevel"/>
    <w:tmpl w:val="D102F3F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52E"/>
    <w:rsid w:val="00061CAC"/>
    <w:rsid w:val="001A1B26"/>
    <w:rsid w:val="001E552E"/>
    <w:rsid w:val="00252884"/>
    <w:rsid w:val="00304C17"/>
    <w:rsid w:val="003345F1"/>
    <w:rsid w:val="00337EFC"/>
    <w:rsid w:val="003E68FF"/>
    <w:rsid w:val="00420C52"/>
    <w:rsid w:val="005251D4"/>
    <w:rsid w:val="005B18F6"/>
    <w:rsid w:val="00600F2B"/>
    <w:rsid w:val="00665A62"/>
    <w:rsid w:val="006B2757"/>
    <w:rsid w:val="007D6D02"/>
    <w:rsid w:val="00955C2B"/>
    <w:rsid w:val="009F48F7"/>
    <w:rsid w:val="00A16DBC"/>
    <w:rsid w:val="00B17A3B"/>
    <w:rsid w:val="00BB336A"/>
    <w:rsid w:val="00C43B8A"/>
    <w:rsid w:val="00C53240"/>
    <w:rsid w:val="00C8407F"/>
    <w:rsid w:val="00C960E0"/>
    <w:rsid w:val="00D01030"/>
    <w:rsid w:val="00D128FA"/>
    <w:rsid w:val="00D52C77"/>
    <w:rsid w:val="00ED3C69"/>
    <w:rsid w:val="00F045B8"/>
    <w:rsid w:val="00F36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81440">
      <w:bodyDiv w:val="1"/>
      <w:marLeft w:val="0"/>
      <w:marRight w:val="0"/>
      <w:marTop w:val="0"/>
      <w:marBottom w:val="0"/>
      <w:divBdr>
        <w:top w:val="none" w:sz="0" w:space="0" w:color="auto"/>
        <w:left w:val="none" w:sz="0" w:space="0" w:color="auto"/>
        <w:bottom w:val="none" w:sz="0" w:space="0" w:color="auto"/>
        <w:right w:val="none" w:sz="0" w:space="0" w:color="auto"/>
      </w:divBdr>
    </w:div>
    <w:div w:id="676079643">
      <w:bodyDiv w:val="1"/>
      <w:marLeft w:val="0"/>
      <w:marRight w:val="0"/>
      <w:marTop w:val="0"/>
      <w:marBottom w:val="0"/>
      <w:divBdr>
        <w:top w:val="none" w:sz="0" w:space="0" w:color="auto"/>
        <w:left w:val="none" w:sz="0" w:space="0" w:color="auto"/>
        <w:bottom w:val="none" w:sz="0" w:space="0" w:color="auto"/>
        <w:right w:val="none" w:sz="0" w:space="0" w:color="auto"/>
      </w:divBdr>
    </w:div>
    <w:div w:id="912204138">
      <w:bodyDiv w:val="1"/>
      <w:marLeft w:val="0"/>
      <w:marRight w:val="0"/>
      <w:marTop w:val="0"/>
      <w:marBottom w:val="0"/>
      <w:divBdr>
        <w:top w:val="none" w:sz="0" w:space="0" w:color="auto"/>
        <w:left w:val="none" w:sz="0" w:space="0" w:color="auto"/>
        <w:bottom w:val="none" w:sz="0" w:space="0" w:color="auto"/>
        <w:right w:val="none" w:sz="0" w:space="0" w:color="auto"/>
      </w:divBdr>
    </w:div>
    <w:div w:id="1048525886">
      <w:bodyDiv w:val="1"/>
      <w:marLeft w:val="0"/>
      <w:marRight w:val="0"/>
      <w:marTop w:val="0"/>
      <w:marBottom w:val="0"/>
      <w:divBdr>
        <w:top w:val="none" w:sz="0" w:space="0" w:color="auto"/>
        <w:left w:val="none" w:sz="0" w:space="0" w:color="auto"/>
        <w:bottom w:val="none" w:sz="0" w:space="0" w:color="auto"/>
        <w:right w:val="none" w:sz="0" w:space="0" w:color="auto"/>
      </w:divBdr>
    </w:div>
    <w:div w:id="1156461426">
      <w:bodyDiv w:val="1"/>
      <w:marLeft w:val="0"/>
      <w:marRight w:val="0"/>
      <w:marTop w:val="0"/>
      <w:marBottom w:val="0"/>
      <w:divBdr>
        <w:top w:val="none" w:sz="0" w:space="0" w:color="auto"/>
        <w:left w:val="none" w:sz="0" w:space="0" w:color="auto"/>
        <w:bottom w:val="none" w:sz="0" w:space="0" w:color="auto"/>
        <w:right w:val="none" w:sz="0" w:space="0" w:color="auto"/>
      </w:divBdr>
    </w:div>
    <w:div w:id="1168447949">
      <w:bodyDiv w:val="1"/>
      <w:marLeft w:val="0"/>
      <w:marRight w:val="0"/>
      <w:marTop w:val="0"/>
      <w:marBottom w:val="0"/>
      <w:divBdr>
        <w:top w:val="none" w:sz="0" w:space="0" w:color="auto"/>
        <w:left w:val="none" w:sz="0" w:space="0" w:color="auto"/>
        <w:bottom w:val="none" w:sz="0" w:space="0" w:color="auto"/>
        <w:right w:val="none" w:sz="0" w:space="0" w:color="auto"/>
      </w:divBdr>
    </w:div>
    <w:div w:id="1463576898">
      <w:bodyDiv w:val="1"/>
      <w:marLeft w:val="0"/>
      <w:marRight w:val="0"/>
      <w:marTop w:val="0"/>
      <w:marBottom w:val="0"/>
      <w:divBdr>
        <w:top w:val="none" w:sz="0" w:space="0" w:color="auto"/>
        <w:left w:val="none" w:sz="0" w:space="0" w:color="auto"/>
        <w:bottom w:val="none" w:sz="0" w:space="0" w:color="auto"/>
        <w:right w:val="none" w:sz="0" w:space="0" w:color="auto"/>
      </w:divBdr>
    </w:div>
    <w:div w:id="1785268893">
      <w:bodyDiv w:val="1"/>
      <w:marLeft w:val="0"/>
      <w:marRight w:val="0"/>
      <w:marTop w:val="0"/>
      <w:marBottom w:val="0"/>
      <w:divBdr>
        <w:top w:val="none" w:sz="0" w:space="0" w:color="auto"/>
        <w:left w:val="none" w:sz="0" w:space="0" w:color="auto"/>
        <w:bottom w:val="none" w:sz="0" w:space="0" w:color="auto"/>
        <w:right w:val="none" w:sz="0" w:space="0" w:color="auto"/>
      </w:divBdr>
    </w:div>
    <w:div w:id="208066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1D274-90EB-47B0-8BC5-E1079F9EF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Royal Wolverhampton Hospital Trust</Company>
  <LinksUpToDate>false</LinksUpToDate>
  <CharactersWithSpaces>11503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Birch David</dc:creator>
  <cp:lastModifiedBy>Stephens Craig (0DE) Arden &amp; GEM CSU</cp:lastModifiedBy>
  <cp:revision>2</cp:revision>
  <dcterms:created xsi:type="dcterms:W3CDTF">2017-05-15T14:34:00Z</dcterms:created>
  <dcterms:modified xsi:type="dcterms:W3CDTF">2017-05-15T14:34:00Z</dcterms:modified>
</cp:coreProperties>
</file>