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8B6C0" w14:textId="77777777" w:rsidR="00007598" w:rsidRDefault="00007598" w:rsidP="00C06995">
      <w:pPr>
        <w:jc w:val="center"/>
        <w:rPr>
          <w:b/>
        </w:rPr>
      </w:pPr>
      <w:r>
        <w:rPr>
          <w:b/>
        </w:rPr>
        <w:t xml:space="preserve">Children and </w:t>
      </w:r>
      <w:r w:rsidR="00721093">
        <w:rPr>
          <w:b/>
        </w:rPr>
        <w:t>Young Person’s</w:t>
      </w:r>
      <w:r>
        <w:rPr>
          <w:b/>
        </w:rPr>
        <w:t xml:space="preserve"> Mental Health</w:t>
      </w:r>
      <w:r w:rsidR="00721093">
        <w:rPr>
          <w:b/>
        </w:rPr>
        <w:t xml:space="preserve"> </w:t>
      </w:r>
      <w:r w:rsidR="00A60B26">
        <w:rPr>
          <w:b/>
        </w:rPr>
        <w:t xml:space="preserve">Link </w:t>
      </w:r>
      <w:r w:rsidR="00721093">
        <w:rPr>
          <w:b/>
        </w:rPr>
        <w:t xml:space="preserve">Programme </w:t>
      </w:r>
    </w:p>
    <w:p w14:paraId="7AA7A05D" w14:textId="77777777" w:rsidR="00A60B26" w:rsidRDefault="00A60B26" w:rsidP="00C06995">
      <w:pPr>
        <w:jc w:val="center"/>
        <w:rPr>
          <w:b/>
        </w:rPr>
      </w:pPr>
      <w:r>
        <w:rPr>
          <w:b/>
        </w:rPr>
        <w:t>Specification</w:t>
      </w:r>
    </w:p>
    <w:p w14:paraId="0BC00DF8" w14:textId="124C612F" w:rsidR="00C06995" w:rsidRPr="00704119" w:rsidRDefault="00C06995" w:rsidP="00704119">
      <w:pPr>
        <w:pStyle w:val="ListParagraph"/>
        <w:numPr>
          <w:ilvl w:val="0"/>
          <w:numId w:val="10"/>
        </w:numPr>
        <w:ind w:left="284" w:hanging="284"/>
        <w:rPr>
          <w:b/>
        </w:rPr>
      </w:pPr>
      <w:r w:rsidRPr="00704119">
        <w:rPr>
          <w:b/>
        </w:rPr>
        <w:t>Background</w:t>
      </w:r>
    </w:p>
    <w:p w14:paraId="61E49212" w14:textId="284567A0" w:rsidR="001E5635" w:rsidRPr="00942BC9" w:rsidRDefault="001E5635" w:rsidP="001E5635">
      <w:r>
        <w:t>The emotional health and well</w:t>
      </w:r>
      <w:r w:rsidRPr="00942BC9">
        <w:t>being of young people is central to delivering Cheshire East Councils Outcome 5 identified in the three year plan –</w:t>
      </w:r>
      <w:r>
        <w:t xml:space="preserve"> </w:t>
      </w:r>
      <w:r w:rsidRPr="00942BC9">
        <w:t>people live well for longer –</w:t>
      </w:r>
      <w:r>
        <w:t xml:space="preserve"> </w:t>
      </w:r>
      <w:r w:rsidRPr="00942BC9">
        <w:t>care services focus on prevention early interven</w:t>
      </w:r>
      <w:r>
        <w:t>tion, physical and mental well</w:t>
      </w:r>
      <w:r w:rsidRPr="00942BC9">
        <w:t>being. The Children and Young People’s Plan also identifies young peo</w:t>
      </w:r>
      <w:r>
        <w:t>ple’s emotional health and well</w:t>
      </w:r>
      <w:r w:rsidRPr="00942BC9">
        <w:t xml:space="preserve">being as a priority and the intention to make Cheshire East a good place to be young. </w:t>
      </w:r>
      <w:r>
        <w:t xml:space="preserve"> Phase 2 of Emotionally Health</w:t>
      </w:r>
      <w:r w:rsidR="002A268A">
        <w:t>y</w:t>
      </w:r>
      <w:r>
        <w:t xml:space="preserve"> Schools</w:t>
      </w:r>
      <w:r w:rsidRPr="00942BC9">
        <w:t xml:space="preserve"> is also aligned to the Health Promotions and Illness Prevention outcomes for children and young people in the Pub</w:t>
      </w:r>
      <w:r>
        <w:t xml:space="preserve">lic Health Outcomes Framework.   </w:t>
      </w:r>
      <w:r w:rsidRPr="00942BC9">
        <w:t>Th</w:t>
      </w:r>
      <w:r>
        <w:t>is Programme</w:t>
      </w:r>
      <w:r w:rsidRPr="00942BC9">
        <w:t xml:space="preserve"> aims to acknowledge the vital role played by schools in promoting the emotional wellbeing of their pupils, and seeks to strengthen this relationship.</w:t>
      </w:r>
    </w:p>
    <w:p w14:paraId="18C4B879" w14:textId="77777777" w:rsidR="001E5635" w:rsidRDefault="001E5635" w:rsidP="001E5635">
      <w:r>
        <w:t xml:space="preserve">The provider will be required to build on Phase 1 of the Emotionally Healthy Schools programme which ends in December 2016.  This service seeks to build capability and capacity using the Thrive model </w:t>
      </w:r>
      <w:hyperlink r:id="rId6" w:history="1">
        <w:r w:rsidRPr="00061B02">
          <w:rPr>
            <w:rStyle w:val="Hyperlink"/>
          </w:rPr>
          <w:t>http://www.annafreud.org/service-improvement/service-improvement-resources/thrive/</w:t>
        </w:r>
      </w:hyperlink>
      <w:r>
        <w:t xml:space="preserve"> </w:t>
      </w:r>
    </w:p>
    <w:p w14:paraId="4DE5BE11" w14:textId="77777777" w:rsidR="001E5635" w:rsidRDefault="001E5635" w:rsidP="001E5635">
      <w:r>
        <w:t>Phase 2 of Emotionally Healthy Schools Programme shall start in January 2017 and has a number of components:</w:t>
      </w:r>
    </w:p>
    <w:p w14:paraId="01B9704A" w14:textId="77777777" w:rsidR="001E5635" w:rsidRDefault="00956BFC" w:rsidP="001E5635">
      <w:pPr>
        <w:pStyle w:val="ListParagraph"/>
        <w:numPr>
          <w:ilvl w:val="0"/>
          <w:numId w:val="9"/>
        </w:numPr>
      </w:pPr>
      <w:r>
        <w:t xml:space="preserve">Access to specialist mental health advice </w:t>
      </w:r>
      <w:r w:rsidR="0013404A">
        <w:t xml:space="preserve">(single point of access) </w:t>
      </w:r>
      <w:r>
        <w:t xml:space="preserve">and a brokerage model to support professionals working with </w:t>
      </w:r>
      <w:r w:rsidR="001E5635">
        <w:t>C</w:t>
      </w:r>
      <w:r>
        <w:t>hildren and Young people (CYPMH Link Programme)</w:t>
      </w:r>
    </w:p>
    <w:p w14:paraId="42157FC1" w14:textId="77777777" w:rsidR="001E5635" w:rsidRDefault="001E5635" w:rsidP="001E5635">
      <w:pPr>
        <w:pStyle w:val="ListParagraph"/>
        <w:numPr>
          <w:ilvl w:val="0"/>
          <w:numId w:val="9"/>
        </w:numPr>
      </w:pPr>
      <w:r>
        <w:t xml:space="preserve">Access to tools piloted through phase 1 and support to </w:t>
      </w:r>
      <w:r w:rsidR="00956BFC">
        <w:t xml:space="preserve">professionals </w:t>
      </w:r>
      <w:r>
        <w:t>to implement</w:t>
      </w:r>
    </w:p>
    <w:p w14:paraId="4DD2E3C9" w14:textId="77777777" w:rsidR="001E5635" w:rsidRDefault="001E5635" w:rsidP="001E5635">
      <w:pPr>
        <w:pStyle w:val="ListParagraph"/>
        <w:numPr>
          <w:ilvl w:val="0"/>
          <w:numId w:val="9"/>
        </w:numPr>
      </w:pPr>
      <w:r>
        <w:t xml:space="preserve">Education </w:t>
      </w:r>
      <w:r w:rsidR="00956BFC">
        <w:t xml:space="preserve">specialist </w:t>
      </w:r>
      <w:r>
        <w:t>Leadership</w:t>
      </w:r>
    </w:p>
    <w:p w14:paraId="2E796A3E" w14:textId="77777777" w:rsidR="001E5635" w:rsidRDefault="00956BFC" w:rsidP="001E5635">
      <w:pPr>
        <w:pStyle w:val="ListParagraph"/>
        <w:numPr>
          <w:ilvl w:val="0"/>
          <w:numId w:val="9"/>
        </w:numPr>
      </w:pPr>
      <w:r>
        <w:t>S</w:t>
      </w:r>
      <w:r w:rsidR="001E5635">
        <w:t xml:space="preserve">ystems and processes to identify </w:t>
      </w:r>
      <w:r>
        <w:t xml:space="preserve">and support </w:t>
      </w:r>
      <w:r w:rsidR="001E5635">
        <w:t>children and young people in the different Thrive groups</w:t>
      </w:r>
    </w:p>
    <w:p w14:paraId="02ED864C" w14:textId="77777777" w:rsidR="001E5635" w:rsidRDefault="001E5635" w:rsidP="001E5635">
      <w:pPr>
        <w:pStyle w:val="ListParagraph"/>
        <w:numPr>
          <w:ilvl w:val="0"/>
          <w:numId w:val="9"/>
        </w:numPr>
      </w:pPr>
      <w:r>
        <w:t xml:space="preserve">Development of ‘Getting Advice’ quadrant including </w:t>
      </w:r>
      <w:r w:rsidR="00956BFC">
        <w:t>on-line platform</w:t>
      </w:r>
    </w:p>
    <w:p w14:paraId="6D45C6CE" w14:textId="1F3F4CA8" w:rsidR="00CB2021" w:rsidRDefault="00A60B26">
      <w:r w:rsidRPr="00A60B26">
        <w:t>T</w:t>
      </w:r>
      <w:r w:rsidR="00DE0E51">
        <w:t xml:space="preserve">he </w:t>
      </w:r>
      <w:r w:rsidR="00D5256E">
        <w:t>provider</w:t>
      </w:r>
      <w:r w:rsidR="00DE0E51">
        <w:t xml:space="preserve"> </w:t>
      </w:r>
      <w:r w:rsidR="00D5256E">
        <w:t xml:space="preserve">will </w:t>
      </w:r>
      <w:r w:rsidR="00D66ACF">
        <w:t xml:space="preserve">be </w:t>
      </w:r>
      <w:r w:rsidR="00D5256E">
        <w:t>require</w:t>
      </w:r>
      <w:r w:rsidR="00D66ACF">
        <w:t>d to</w:t>
      </w:r>
      <w:r w:rsidR="00956BFC">
        <w:t xml:space="preserve"> deliver </w:t>
      </w:r>
      <w:r w:rsidR="00956BFC" w:rsidRPr="001C3C2A">
        <w:rPr>
          <w:b/>
        </w:rPr>
        <w:t>component 1- CYPMH Link Programme</w:t>
      </w:r>
      <w:r w:rsidR="00956BFC">
        <w:t xml:space="preserve"> within </w:t>
      </w:r>
      <w:r w:rsidR="001E5635">
        <w:t>the Emotionally H</w:t>
      </w:r>
      <w:r w:rsidR="005A5E74">
        <w:t>ealthy Schools Programme.  The p</w:t>
      </w:r>
      <w:r w:rsidR="001E5635">
        <w:t xml:space="preserve">rovider will be required to </w:t>
      </w:r>
      <w:r w:rsidR="00DE0E51">
        <w:t>have an excellent understanding of all services delivered by mental hea</w:t>
      </w:r>
      <w:r w:rsidR="00D66ACF">
        <w:t>lth providers across Cheshire East, in order to develop the required links and pathways between sch</w:t>
      </w:r>
      <w:r w:rsidR="00790240">
        <w:t>ools and mental health services</w:t>
      </w:r>
      <w:r w:rsidR="00D95E90">
        <w:t xml:space="preserve"> and general practice</w:t>
      </w:r>
      <w:r w:rsidR="00790240">
        <w:t>.</w:t>
      </w:r>
      <w:r w:rsidR="00956BFC">
        <w:t xml:space="preserve"> The provider will be responsible for the marketing and communications activity associated with the operation of the programme </w:t>
      </w:r>
    </w:p>
    <w:p w14:paraId="28E8CBB2" w14:textId="77777777" w:rsidR="00DE0E51" w:rsidRDefault="00CB2021">
      <w:r>
        <w:t>A Consort</w:t>
      </w:r>
      <w:r w:rsidR="00D66ACF">
        <w:t>ium/</w:t>
      </w:r>
      <w:r>
        <w:t xml:space="preserve">Partnership approach is required and providers need to </w:t>
      </w:r>
      <w:r w:rsidR="00DE0E51">
        <w:t xml:space="preserve">consider </w:t>
      </w:r>
      <w:r>
        <w:t>how staff</w:t>
      </w:r>
      <w:r w:rsidR="00DE0E51">
        <w:t xml:space="preserve"> a</w:t>
      </w:r>
      <w:r>
        <w:t>re integrated as one delivery team for example</w:t>
      </w:r>
      <w:r w:rsidR="00DE0E51">
        <w:t xml:space="preserve"> </w:t>
      </w:r>
      <w:r>
        <w:t>involvement</w:t>
      </w:r>
      <w:r w:rsidR="00DE0E51">
        <w:t xml:space="preserve"> in recruitment, </w:t>
      </w:r>
      <w:r>
        <w:t xml:space="preserve">joint </w:t>
      </w:r>
      <w:r w:rsidR="00DE0E51">
        <w:t>induction</w:t>
      </w:r>
      <w:r>
        <w:t>s</w:t>
      </w:r>
      <w:r w:rsidR="00DE0E51">
        <w:t xml:space="preserve"> and </w:t>
      </w:r>
      <w:r>
        <w:t>ongoing</w:t>
      </w:r>
      <w:r w:rsidR="00DE0E51">
        <w:t xml:space="preserve"> opportunities for involvement</w:t>
      </w:r>
      <w:r>
        <w:t xml:space="preserve"> and integration across organisations </w:t>
      </w:r>
      <w:r w:rsidR="00DE0E51">
        <w:t>e.g. referral allocation meetings. They shall have excellent understanding of the capacity ava</w:t>
      </w:r>
      <w:r w:rsidR="00A60B26">
        <w:t>ilable in each of the providers for each of the geographical populations they are supporting.</w:t>
      </w:r>
    </w:p>
    <w:p w14:paraId="05DB23A4" w14:textId="77777777" w:rsidR="00CB2021" w:rsidRDefault="00CB2021">
      <w:r>
        <w:t>The provider will be requ</w:t>
      </w:r>
      <w:r w:rsidR="00D95E90">
        <w:t xml:space="preserve">ired to work across all Primary, </w:t>
      </w:r>
      <w:r>
        <w:t>Secondary</w:t>
      </w:r>
      <w:r w:rsidR="00D95E90">
        <w:t>, Special and Private</w:t>
      </w:r>
      <w:r>
        <w:t xml:space="preserve"> Schools </w:t>
      </w:r>
      <w:r w:rsidR="00956BFC">
        <w:t xml:space="preserve">and General Practice </w:t>
      </w:r>
      <w:r>
        <w:t>across the Cheshire East footprint.  A plan will be required in terms of the delivery approach for exam</w:t>
      </w:r>
      <w:r w:rsidR="00F3238B">
        <w:t xml:space="preserve">ple a </w:t>
      </w:r>
      <w:r>
        <w:t>prioritisation</w:t>
      </w:r>
      <w:r w:rsidR="00F3238B">
        <w:t xml:space="preserve"> process against need</w:t>
      </w:r>
      <w:r>
        <w:t>, in clusters, waves</w:t>
      </w:r>
      <w:r w:rsidR="00F3238B">
        <w:t xml:space="preserve"> or phased.</w:t>
      </w:r>
    </w:p>
    <w:p w14:paraId="42F2F1FE" w14:textId="5B17EA5A" w:rsidR="00CE5727" w:rsidRDefault="00CE5727" w:rsidP="00704119">
      <w:pPr>
        <w:pStyle w:val="ListParagraph"/>
        <w:numPr>
          <w:ilvl w:val="0"/>
          <w:numId w:val="10"/>
        </w:numPr>
        <w:ind w:left="426" w:hanging="426"/>
        <w:rPr>
          <w:b/>
        </w:rPr>
      </w:pPr>
      <w:r w:rsidRPr="00704119">
        <w:rPr>
          <w:b/>
        </w:rPr>
        <w:lastRenderedPageBreak/>
        <w:t xml:space="preserve">There are </w:t>
      </w:r>
      <w:r w:rsidR="00CB2021" w:rsidRPr="00704119">
        <w:rPr>
          <w:b/>
        </w:rPr>
        <w:t>five</w:t>
      </w:r>
      <w:r w:rsidRPr="00704119">
        <w:rPr>
          <w:b/>
        </w:rPr>
        <w:t xml:space="preserve"> </w:t>
      </w:r>
      <w:r w:rsidR="00704119" w:rsidRPr="00704119">
        <w:rPr>
          <w:b/>
        </w:rPr>
        <w:t>elements</w:t>
      </w:r>
      <w:r w:rsidRPr="00704119">
        <w:rPr>
          <w:b/>
        </w:rPr>
        <w:t xml:space="preserve"> to this specification:</w:t>
      </w:r>
    </w:p>
    <w:p w14:paraId="449218CF" w14:textId="77777777" w:rsidR="00704119" w:rsidRPr="00704119" w:rsidRDefault="00704119" w:rsidP="00704119">
      <w:pPr>
        <w:pStyle w:val="ListParagraph"/>
        <w:ind w:left="426"/>
        <w:rPr>
          <w:b/>
        </w:rPr>
      </w:pPr>
    </w:p>
    <w:p w14:paraId="7D3A6593" w14:textId="124F0BA1" w:rsidR="00CB2021" w:rsidRPr="00704119" w:rsidRDefault="00CB2021" w:rsidP="00704119">
      <w:pPr>
        <w:pStyle w:val="ListParagraph"/>
        <w:numPr>
          <w:ilvl w:val="1"/>
          <w:numId w:val="10"/>
        </w:numPr>
        <w:ind w:left="426" w:hanging="426"/>
        <w:rPr>
          <w:b/>
        </w:rPr>
      </w:pPr>
      <w:r w:rsidRPr="00704119">
        <w:rPr>
          <w:b/>
        </w:rPr>
        <w:t>Pathways, Ass</w:t>
      </w:r>
      <w:r w:rsidR="00790240" w:rsidRPr="00704119">
        <w:rPr>
          <w:b/>
        </w:rPr>
        <w:t>essment &amp; Threshold Development</w:t>
      </w:r>
    </w:p>
    <w:p w14:paraId="4457C378" w14:textId="77777777" w:rsidR="00440FC6" w:rsidRDefault="00CB2021" w:rsidP="00CB2021">
      <w:r>
        <w:t xml:space="preserve">The provider will be required to act as a local lead, working with schools </w:t>
      </w:r>
      <w:r w:rsidR="00956BFC">
        <w:t xml:space="preserve">and primary care </w:t>
      </w:r>
      <w:r>
        <w:t>across Cheshire East</w:t>
      </w:r>
      <w:r w:rsidR="00F3238B">
        <w:t xml:space="preserve"> to </w:t>
      </w:r>
      <w:r>
        <w:t xml:space="preserve">develop </w:t>
      </w:r>
      <w:r w:rsidR="00F3238B">
        <w:t>a clear,</w:t>
      </w:r>
      <w:r>
        <w:t xml:space="preserve"> consistent pathway</w:t>
      </w:r>
      <w:r w:rsidR="00F3238B">
        <w:t xml:space="preserve"> </w:t>
      </w:r>
      <w:r w:rsidR="00440FC6">
        <w:t>for</w:t>
      </w:r>
      <w:r w:rsidR="00F3238B">
        <w:t xml:space="preserve"> Mental Health support </w:t>
      </w:r>
      <w:r w:rsidR="00790240">
        <w:t xml:space="preserve">including referral to </w:t>
      </w:r>
      <w:r w:rsidR="00F3238B">
        <w:t xml:space="preserve">Specialised Mental Health </w:t>
      </w:r>
      <w:r w:rsidR="00A552F5">
        <w:t>s</w:t>
      </w:r>
      <w:r w:rsidR="00790240">
        <w:t>ervices</w:t>
      </w:r>
      <w:r w:rsidR="00F3238B">
        <w:t>.  This will include the</w:t>
      </w:r>
      <w:r w:rsidR="00440FC6">
        <w:t xml:space="preserve"> development of a</w:t>
      </w:r>
      <w:r w:rsidR="00F3238B">
        <w:t xml:space="preserve"> standardis</w:t>
      </w:r>
      <w:r w:rsidR="00440FC6">
        <w:t>ed</w:t>
      </w:r>
      <w:r w:rsidR="00F3238B">
        <w:t xml:space="preserve"> local children’s</w:t>
      </w:r>
      <w:r>
        <w:t xml:space="preserve"> </w:t>
      </w:r>
      <w:r w:rsidR="00F3238B">
        <w:t xml:space="preserve">mental health </w:t>
      </w:r>
      <w:r>
        <w:t xml:space="preserve">assessment </w:t>
      </w:r>
      <w:r w:rsidR="00F3238B">
        <w:t xml:space="preserve">tool, </w:t>
      </w:r>
      <w:r w:rsidR="00D66ACF">
        <w:t>as the basis</w:t>
      </w:r>
      <w:r w:rsidR="00440FC6">
        <w:t>,</w:t>
      </w:r>
      <w:r w:rsidR="00D66ACF">
        <w:t xml:space="preserve"> to set a benchmark for children and young people, which can then be used to track outcomes</w:t>
      </w:r>
      <w:r w:rsidR="00C06995">
        <w:t xml:space="preserve"> during their journey</w:t>
      </w:r>
      <w:r w:rsidR="00F3238B">
        <w:t>.</w:t>
      </w:r>
      <w:r w:rsidR="00C06995">
        <w:t xml:space="preserve">  </w:t>
      </w:r>
    </w:p>
    <w:p w14:paraId="75F2B13A" w14:textId="1315DDD2" w:rsidR="00D66ACF" w:rsidRDefault="00A552F5" w:rsidP="00CB2021">
      <w:r>
        <w:t>Th</w:t>
      </w:r>
      <w:r w:rsidR="00790240">
        <w:t xml:space="preserve">e school link </w:t>
      </w:r>
      <w:r>
        <w:t>will include</w:t>
      </w:r>
      <w:r w:rsidR="00D66ACF">
        <w:t xml:space="preserve"> a single point of c</w:t>
      </w:r>
      <w:r>
        <w:t>ontac</w:t>
      </w:r>
      <w:r w:rsidR="00D66ACF">
        <w:t>t and brokerage approach to ensure that schools</w:t>
      </w:r>
      <w:r w:rsidR="0013404A">
        <w:t>/primary care</w:t>
      </w:r>
      <w:r w:rsidR="00AE0432">
        <w:t xml:space="preserve"> are</w:t>
      </w:r>
      <w:r w:rsidR="00D66ACF">
        <w:t>:</w:t>
      </w:r>
    </w:p>
    <w:p w14:paraId="7A85E7B7" w14:textId="358BA0EE" w:rsidR="00D66ACF" w:rsidRDefault="00D66ACF" w:rsidP="00D66ACF">
      <w:pPr>
        <w:pStyle w:val="ListParagraph"/>
        <w:numPr>
          <w:ilvl w:val="0"/>
          <w:numId w:val="8"/>
        </w:numPr>
      </w:pPr>
      <w:r>
        <w:t>supported to access mental health tools, information and advice;</w:t>
      </w:r>
    </w:p>
    <w:p w14:paraId="7E175C2D" w14:textId="77777777" w:rsidR="00CB2021" w:rsidRDefault="0013404A" w:rsidP="00D66ACF">
      <w:pPr>
        <w:pStyle w:val="ListParagraph"/>
        <w:numPr>
          <w:ilvl w:val="0"/>
          <w:numId w:val="8"/>
        </w:numPr>
      </w:pPr>
      <w:r>
        <w:t>manage</w:t>
      </w:r>
      <w:r w:rsidR="00D66ACF">
        <w:t xml:space="preserve"> </w:t>
      </w:r>
      <w:r w:rsidR="00790240">
        <w:t xml:space="preserve">onward referral </w:t>
      </w:r>
      <w:r w:rsidR="00D66ACF">
        <w:t>and access to targeted and specialist mental health support.</w:t>
      </w:r>
    </w:p>
    <w:p w14:paraId="61381E8F" w14:textId="77777777" w:rsidR="00D66ACF" w:rsidRDefault="00790240" w:rsidP="00C06995">
      <w:r>
        <w:t xml:space="preserve">The </w:t>
      </w:r>
      <w:r w:rsidR="00C06995">
        <w:t>assessment should be used in conjunction with wider assessment tools to provide a clear understanding of the wider picture for children and young people.</w:t>
      </w:r>
    </w:p>
    <w:p w14:paraId="40F949A9" w14:textId="77777777" w:rsidR="00C06995" w:rsidRDefault="00C06995" w:rsidP="00C06995">
      <w:r>
        <w:t>The overall aim is the development of a clearly defined, int</w:t>
      </w:r>
      <w:r w:rsidR="0013404A">
        <w:t xml:space="preserve">egrated pathway between schools, primary care </w:t>
      </w:r>
      <w:r>
        <w:t xml:space="preserve">and </w:t>
      </w:r>
      <w:r w:rsidR="0013404A">
        <w:t xml:space="preserve">children’s specialist </w:t>
      </w:r>
      <w:r>
        <w:t>mental health services.</w:t>
      </w:r>
    </w:p>
    <w:p w14:paraId="368BBFF2" w14:textId="77777777" w:rsidR="00A823A9" w:rsidRDefault="00A823A9" w:rsidP="00C06995">
      <w:r>
        <w:t>The relevant links therefore need to be made with:</w:t>
      </w:r>
      <w:bookmarkStart w:id="0" w:name="_GoBack"/>
      <w:bookmarkEnd w:id="0"/>
    </w:p>
    <w:p w14:paraId="7C32EE51" w14:textId="77777777" w:rsidR="004326A0" w:rsidRDefault="00A823A9" w:rsidP="00440FC6">
      <w:pPr>
        <w:pStyle w:val="ListParagraph"/>
        <w:numPr>
          <w:ilvl w:val="0"/>
          <w:numId w:val="8"/>
        </w:numPr>
      </w:pPr>
      <w:r>
        <w:t>Cheshire East Primary and Secondary Schools</w:t>
      </w:r>
      <w:r w:rsidR="00440FC6">
        <w:t xml:space="preserve"> </w:t>
      </w:r>
    </w:p>
    <w:p w14:paraId="2A4F81CE" w14:textId="30A6FB76" w:rsidR="00A823A9" w:rsidRDefault="004326A0" w:rsidP="004326A0">
      <w:pPr>
        <w:pStyle w:val="ListParagraph"/>
      </w:pPr>
      <w:r w:rsidRPr="004326A0">
        <w:t xml:space="preserve">(see the link to access a list of all schools across Cheshire East : </w:t>
      </w:r>
      <w:hyperlink r:id="rId7" w:history="1">
        <w:r w:rsidRPr="004326A0">
          <w:rPr>
            <w:rStyle w:val="Hyperlink"/>
          </w:rPr>
          <w:t>http://www.cheshireeast.gov.uk/schools/schools.aspx</w:t>
        </w:r>
      </w:hyperlink>
      <w:r w:rsidRPr="004326A0">
        <w:t>)</w:t>
      </w:r>
      <w:r>
        <w:t xml:space="preserve"> </w:t>
      </w:r>
      <w:r w:rsidR="00A823A9">
        <w:t>;</w:t>
      </w:r>
    </w:p>
    <w:p w14:paraId="47337BF9" w14:textId="77777777" w:rsidR="00A823A9" w:rsidRDefault="00A823A9" w:rsidP="00C06995">
      <w:pPr>
        <w:pStyle w:val="ListParagraph"/>
        <w:numPr>
          <w:ilvl w:val="0"/>
          <w:numId w:val="8"/>
        </w:numPr>
      </w:pPr>
      <w:r>
        <w:t>The Emotionally Health Schools Programme;</w:t>
      </w:r>
    </w:p>
    <w:p w14:paraId="1D27EBE1" w14:textId="77777777" w:rsidR="00A823A9" w:rsidRDefault="00A823A9" w:rsidP="00C06995">
      <w:pPr>
        <w:pStyle w:val="ListParagraph"/>
        <w:numPr>
          <w:ilvl w:val="0"/>
          <w:numId w:val="8"/>
        </w:numPr>
      </w:pPr>
      <w:r>
        <w:t>Existing M</w:t>
      </w:r>
      <w:r w:rsidR="00440FC6">
        <w:t xml:space="preserve">ental Health services e.g. </w:t>
      </w:r>
    </w:p>
    <w:p w14:paraId="1F90EA36" w14:textId="77777777" w:rsidR="00440FC6" w:rsidRDefault="00440FC6" w:rsidP="00440FC6">
      <w:pPr>
        <w:pStyle w:val="ListParagraph"/>
      </w:pPr>
      <w:r>
        <w:t xml:space="preserve">0-16 CAMHS </w:t>
      </w:r>
      <w:hyperlink r:id="rId8" w:history="1">
        <w:r w:rsidRPr="00C0301D">
          <w:rPr>
            <w:rStyle w:val="Hyperlink"/>
          </w:rPr>
          <w:t>https://ice.cheshireeast.gov.uk/Services/1074/Crewe-0-16-Child-and</w:t>
        </w:r>
      </w:hyperlink>
      <w:r>
        <w:t xml:space="preserve"> </w:t>
      </w:r>
    </w:p>
    <w:p w14:paraId="1575DA6F" w14:textId="77777777" w:rsidR="00440FC6" w:rsidRDefault="00440FC6" w:rsidP="00440FC6">
      <w:pPr>
        <w:pStyle w:val="ListParagraph"/>
      </w:pPr>
      <w:r>
        <w:t xml:space="preserve">16-19 CAMHS </w:t>
      </w:r>
      <w:hyperlink r:id="rId9" w:history="1">
        <w:r w:rsidRPr="00C0301D">
          <w:rPr>
            <w:rStyle w:val="Hyperlink"/>
          </w:rPr>
          <w:t>https://ice.cheshireeast.gov.uk/Services/1076/16-19-Service-CAMH</w:t>
        </w:r>
      </w:hyperlink>
      <w:r>
        <w:t xml:space="preserve"> </w:t>
      </w:r>
    </w:p>
    <w:p w14:paraId="65498C5E" w14:textId="77777777" w:rsidR="00440FC6" w:rsidRDefault="00440FC6" w:rsidP="00440FC6">
      <w:pPr>
        <w:pStyle w:val="ListParagraph"/>
      </w:pPr>
      <w:proofErr w:type="spellStart"/>
      <w:r>
        <w:t>Visyon</w:t>
      </w:r>
      <w:proofErr w:type="spellEnd"/>
      <w:r>
        <w:t xml:space="preserve"> </w:t>
      </w:r>
      <w:hyperlink r:id="rId10" w:history="1">
        <w:r w:rsidRPr="00C0301D">
          <w:rPr>
            <w:rStyle w:val="Hyperlink"/>
          </w:rPr>
          <w:t>https://ice.cheshireeast.gov.uk/Services/1070/Visyon</w:t>
        </w:r>
      </w:hyperlink>
      <w:r>
        <w:t xml:space="preserve"> </w:t>
      </w:r>
    </w:p>
    <w:p w14:paraId="519AED41" w14:textId="77777777" w:rsidR="00440FC6" w:rsidRDefault="00440FC6" w:rsidP="00440FC6">
      <w:pPr>
        <w:pStyle w:val="ListParagraph"/>
      </w:pPr>
      <w:r>
        <w:t xml:space="preserve">Just Drop In </w:t>
      </w:r>
      <w:hyperlink r:id="rId11" w:history="1">
        <w:r w:rsidRPr="00C0301D">
          <w:rPr>
            <w:rStyle w:val="Hyperlink"/>
          </w:rPr>
          <w:t>https://ice.cheshireeast.gov.uk/Services/887/Just-Drop-In-Youth</w:t>
        </w:r>
      </w:hyperlink>
      <w:r>
        <w:t xml:space="preserve"> </w:t>
      </w:r>
    </w:p>
    <w:p w14:paraId="3F8CC129" w14:textId="77777777" w:rsidR="00C06995" w:rsidRDefault="00A823A9" w:rsidP="00C06995">
      <w:pPr>
        <w:pStyle w:val="ListParagraph"/>
        <w:numPr>
          <w:ilvl w:val="0"/>
          <w:numId w:val="8"/>
        </w:numPr>
      </w:pPr>
      <w:r>
        <w:t xml:space="preserve">The Cheshire East Front Door process (CHECS) </w:t>
      </w:r>
      <w:hyperlink r:id="rId12" w:history="1">
        <w:r w:rsidRPr="00C0301D">
          <w:rPr>
            <w:rStyle w:val="Hyperlink"/>
          </w:rPr>
          <w:t>http://www.cheshireeast.gov.uk/children_and_families/checs.aspx</w:t>
        </w:r>
      </w:hyperlink>
      <w:r>
        <w:t xml:space="preserve"> </w:t>
      </w:r>
    </w:p>
    <w:p w14:paraId="15DB26FA" w14:textId="77777777" w:rsidR="0013404A" w:rsidRPr="00A552F5" w:rsidRDefault="0013404A" w:rsidP="00C06995">
      <w:pPr>
        <w:pStyle w:val="ListParagraph"/>
        <w:numPr>
          <w:ilvl w:val="0"/>
          <w:numId w:val="8"/>
        </w:numPr>
      </w:pPr>
      <w:r>
        <w:t>Primary care provision within Cheshire East</w:t>
      </w:r>
    </w:p>
    <w:p w14:paraId="54D4EDC8" w14:textId="77777777" w:rsidR="00704119" w:rsidRDefault="00A57C39" w:rsidP="00704119">
      <w:r>
        <w:t xml:space="preserve">The provider will be required to </w:t>
      </w:r>
      <w:r w:rsidR="0013404A">
        <w:t xml:space="preserve">contribute to the </w:t>
      </w:r>
      <w:r>
        <w:t>develop</w:t>
      </w:r>
      <w:r w:rsidR="0013404A">
        <w:t>ment of</w:t>
      </w:r>
      <w:r>
        <w:t xml:space="preserve"> </w:t>
      </w:r>
      <w:r w:rsidR="009308CC">
        <w:t xml:space="preserve">a series of </w:t>
      </w:r>
      <w:r>
        <w:t>Information, Advice and Guidance (IAG)</w:t>
      </w:r>
      <w:r w:rsidR="009308CC">
        <w:t xml:space="preserve"> </w:t>
      </w:r>
      <w:r>
        <w:t xml:space="preserve">tools, </w:t>
      </w:r>
      <w:r w:rsidR="0013404A">
        <w:t>for</w:t>
      </w:r>
      <w:r>
        <w:t xml:space="preserve"> schools</w:t>
      </w:r>
      <w:r w:rsidR="00790240">
        <w:t xml:space="preserve"> and General Practice</w:t>
      </w:r>
      <w:r>
        <w:t xml:space="preserve">.  This </w:t>
      </w:r>
      <w:r w:rsidR="0013404A">
        <w:t xml:space="preserve">will be managed as part of a separate specification (see above component 5) and is aimed at </w:t>
      </w:r>
      <w:r>
        <w:t>providing information and advice for teachers and pastoral staff supporting children and young people who</w:t>
      </w:r>
      <w:r w:rsidR="009308CC">
        <w:t xml:space="preserve"> are waiting for or</w:t>
      </w:r>
      <w:r>
        <w:t xml:space="preserve"> do not meet the threshold for specialist </w:t>
      </w:r>
      <w:r w:rsidR="009308CC">
        <w:t>mental health support.</w:t>
      </w:r>
      <w:r w:rsidR="0043704A">
        <w:t xml:space="preserve"> </w:t>
      </w:r>
    </w:p>
    <w:p w14:paraId="0BCAA4B1" w14:textId="77F5624E" w:rsidR="00CE5727" w:rsidRPr="00704119" w:rsidRDefault="00704119" w:rsidP="00704119">
      <w:r w:rsidRPr="00704119">
        <w:rPr>
          <w:b/>
        </w:rPr>
        <w:t>2.2</w:t>
      </w:r>
      <w:r>
        <w:t xml:space="preserve"> </w:t>
      </w:r>
      <w:r w:rsidR="00CB2021" w:rsidRPr="00704119">
        <w:rPr>
          <w:b/>
        </w:rPr>
        <w:t>Mental Health Service C</w:t>
      </w:r>
      <w:r w:rsidR="00DE0E51" w:rsidRPr="00704119">
        <w:rPr>
          <w:b/>
        </w:rPr>
        <w:t>onsultation</w:t>
      </w:r>
      <w:r w:rsidR="006057DB" w:rsidRPr="00704119">
        <w:rPr>
          <w:b/>
        </w:rPr>
        <w:t xml:space="preserve"> sessions </w:t>
      </w:r>
    </w:p>
    <w:p w14:paraId="781CC887" w14:textId="77777777" w:rsidR="00790240" w:rsidRPr="00A60B26" w:rsidRDefault="00790240" w:rsidP="00790240">
      <w:r w:rsidRPr="00A60B26">
        <w:t>Before receiving this service schools</w:t>
      </w:r>
      <w:r w:rsidR="006057DB">
        <w:t xml:space="preserve"> and CYP services</w:t>
      </w:r>
      <w:r w:rsidRPr="00A60B26">
        <w:t xml:space="preserve"> should have worked with the </w:t>
      </w:r>
      <w:r w:rsidR="0013404A">
        <w:t xml:space="preserve">learning from the </w:t>
      </w:r>
      <w:r w:rsidRPr="00A60B26">
        <w:t>Vulnerable Children’s Project on their processes for identifying and prioritising children with cause for concern.</w:t>
      </w:r>
    </w:p>
    <w:p w14:paraId="0345E606" w14:textId="77777777" w:rsidR="006057DB" w:rsidRDefault="0013404A" w:rsidP="00DE0E51">
      <w:r>
        <w:lastRenderedPageBreak/>
        <w:t xml:space="preserve">Using this model </w:t>
      </w:r>
      <w:r w:rsidR="00DE0E51" w:rsidRPr="00A60B26">
        <w:t>Schools</w:t>
      </w:r>
      <w:r w:rsidR="006057DB">
        <w:t>/CYP services</w:t>
      </w:r>
      <w:r w:rsidR="00DE0E51" w:rsidRPr="00A60B26">
        <w:t xml:space="preserve"> </w:t>
      </w:r>
      <w:r w:rsidR="00790240">
        <w:t xml:space="preserve">will </w:t>
      </w:r>
      <w:r>
        <w:t xml:space="preserve">be able to </w:t>
      </w:r>
      <w:r w:rsidR="00DE0E51" w:rsidRPr="00A60B26">
        <w:t xml:space="preserve">identify children where there is cause for concern and prioritise those for consultation. </w:t>
      </w:r>
      <w:r w:rsidR="006057DB">
        <w:t xml:space="preserve">The provider should explore options for the delivery of consultation service. These could include the provision being modelled on a school cluster basis, or at central points around the borough. The sessions could run on an appointment or broader ‘learning from others’ basis </w:t>
      </w:r>
    </w:p>
    <w:p w14:paraId="2B9614C6" w14:textId="77777777" w:rsidR="00DE0E51" w:rsidRPr="00A60B26" w:rsidRDefault="00DE0E51" w:rsidP="00DE0E51">
      <w:r w:rsidRPr="00A60B26">
        <w:t>Consultation discussions may include:</w:t>
      </w:r>
    </w:p>
    <w:p w14:paraId="37A7CA4C" w14:textId="77777777" w:rsidR="00DE0E51" w:rsidRPr="00A60B26" w:rsidRDefault="00DE0E51" w:rsidP="00DE0E51">
      <w:pPr>
        <w:pStyle w:val="ListParagraph"/>
        <w:numPr>
          <w:ilvl w:val="0"/>
          <w:numId w:val="6"/>
        </w:numPr>
      </w:pPr>
      <w:r w:rsidRPr="00A60B26">
        <w:t xml:space="preserve">Advice about </w:t>
      </w:r>
      <w:r w:rsidR="00C06995">
        <w:t>the best pathway for each child;</w:t>
      </w:r>
    </w:p>
    <w:p w14:paraId="3B089256" w14:textId="77777777" w:rsidR="00DE0E51" w:rsidRPr="00A60B26" w:rsidRDefault="00DE0E51" w:rsidP="00DE0E51">
      <w:pPr>
        <w:pStyle w:val="ListParagraph"/>
        <w:numPr>
          <w:ilvl w:val="0"/>
          <w:numId w:val="6"/>
        </w:numPr>
      </w:pPr>
      <w:r w:rsidRPr="00A60B26">
        <w:t xml:space="preserve">Supporting a high quality referral to </w:t>
      </w:r>
      <w:r w:rsidR="00C06995">
        <w:t>mental health services;</w:t>
      </w:r>
    </w:p>
    <w:p w14:paraId="52E2C715" w14:textId="77777777" w:rsidR="00DE0E51" w:rsidRPr="00A60B26" w:rsidRDefault="00DE0E51" w:rsidP="00DE0E51">
      <w:pPr>
        <w:pStyle w:val="ListParagraph"/>
        <w:numPr>
          <w:ilvl w:val="0"/>
          <w:numId w:val="6"/>
        </w:numPr>
      </w:pPr>
      <w:r w:rsidRPr="00A60B26">
        <w:t>Supporting development of a care plan with specific interventions that c</w:t>
      </w:r>
      <w:r w:rsidR="00C06995">
        <w:t>an be led by s</w:t>
      </w:r>
      <w:r w:rsidR="006057DB">
        <w:t xml:space="preserve">ervice </w:t>
      </w:r>
      <w:r w:rsidR="00C06995">
        <w:t>based staff;</w:t>
      </w:r>
    </w:p>
    <w:p w14:paraId="60FC424D" w14:textId="77777777" w:rsidR="00DE0E51" w:rsidRPr="00A60B26" w:rsidRDefault="00DE0E51" w:rsidP="00DE0E51">
      <w:pPr>
        <w:pStyle w:val="ListParagraph"/>
        <w:numPr>
          <w:ilvl w:val="0"/>
          <w:numId w:val="6"/>
        </w:numPr>
      </w:pPr>
      <w:r w:rsidRPr="00A60B26">
        <w:t xml:space="preserve">Discussing care plans for children already referred where there is a role for the </w:t>
      </w:r>
      <w:r w:rsidR="006057DB">
        <w:t>school/</w:t>
      </w:r>
      <w:r w:rsidRPr="00A60B26">
        <w:t>s</w:t>
      </w:r>
      <w:r w:rsidR="006057DB">
        <w:t xml:space="preserve">ervice </w:t>
      </w:r>
      <w:r w:rsidR="00C06995">
        <w:t>in implementing the care plan;</w:t>
      </w:r>
    </w:p>
    <w:p w14:paraId="48885D5D" w14:textId="77777777" w:rsidR="00A60B26" w:rsidRPr="00A60B26" w:rsidRDefault="00A60B26" w:rsidP="00DE0E51">
      <w:pPr>
        <w:pStyle w:val="ListParagraph"/>
        <w:numPr>
          <w:ilvl w:val="0"/>
          <w:numId w:val="6"/>
        </w:numPr>
      </w:pPr>
      <w:r w:rsidRPr="00A60B26">
        <w:t>Organising addit</w:t>
      </w:r>
      <w:r w:rsidR="006057DB">
        <w:t xml:space="preserve">ional support to allow a school/service </w:t>
      </w:r>
      <w:r w:rsidRPr="00A60B26">
        <w:t>based care plan lead to continue to support a child when needs get more complex.</w:t>
      </w:r>
    </w:p>
    <w:p w14:paraId="32728703" w14:textId="77777777" w:rsidR="00DE0E51" w:rsidRDefault="00DE0E51" w:rsidP="00DE0E51">
      <w:r w:rsidRPr="00A60B26">
        <w:t>It is anticipated 3 children per hour could be discussed. The length and frequency of the sessions will depend on the population that the schools cover. It is proposed one hour twice each half term for every 1,000 children. (52,000 5-19 in Cheshire East</w:t>
      </w:r>
      <w:r w:rsidR="00A60B26">
        <w:t>)</w:t>
      </w:r>
      <w:r w:rsidRPr="00A60B26">
        <w:t xml:space="preserve">. Therefore 52 hours in total </w:t>
      </w:r>
      <w:r w:rsidR="00790240">
        <w:t xml:space="preserve">to be </w:t>
      </w:r>
      <w:r w:rsidRPr="00A60B26">
        <w:t>offered twice each half term.)</w:t>
      </w:r>
    </w:p>
    <w:p w14:paraId="48C7AF72" w14:textId="423BE4EA" w:rsidR="00202B20" w:rsidRPr="00704119" w:rsidRDefault="003639FD" w:rsidP="00704119">
      <w:pPr>
        <w:pStyle w:val="ListParagraph"/>
        <w:numPr>
          <w:ilvl w:val="1"/>
          <w:numId w:val="11"/>
        </w:numPr>
        <w:rPr>
          <w:b/>
        </w:rPr>
      </w:pPr>
      <w:r w:rsidRPr="00704119">
        <w:rPr>
          <w:b/>
        </w:rPr>
        <w:t xml:space="preserve">Group </w:t>
      </w:r>
      <w:r w:rsidR="00202B20" w:rsidRPr="00704119">
        <w:rPr>
          <w:b/>
        </w:rPr>
        <w:t xml:space="preserve">Facilitated </w:t>
      </w:r>
      <w:r w:rsidRPr="00704119">
        <w:rPr>
          <w:b/>
        </w:rPr>
        <w:t>Reflection</w:t>
      </w:r>
    </w:p>
    <w:p w14:paraId="2FA28973" w14:textId="77777777" w:rsidR="00A60B26" w:rsidRPr="00A60B26" w:rsidRDefault="00790240" w:rsidP="00A60B26">
      <w:r>
        <w:t>The provider will be required to</w:t>
      </w:r>
      <w:r w:rsidR="00A60B26" w:rsidRPr="00A60B26">
        <w:t xml:space="preserve"> provide an opportunity for School Pastoral staff to:</w:t>
      </w:r>
    </w:p>
    <w:p w14:paraId="097FBCE0" w14:textId="77777777" w:rsidR="00A60B26" w:rsidRPr="00A60B26" w:rsidRDefault="00A60B26" w:rsidP="00A60B26">
      <w:pPr>
        <w:pStyle w:val="ListParagraph"/>
        <w:numPr>
          <w:ilvl w:val="0"/>
          <w:numId w:val="7"/>
        </w:numPr>
      </w:pPr>
      <w:r w:rsidRPr="00A60B26">
        <w:t xml:space="preserve">reflect on their practice; </w:t>
      </w:r>
    </w:p>
    <w:p w14:paraId="047D846B" w14:textId="77777777" w:rsidR="00A60B26" w:rsidRPr="00A60B26" w:rsidRDefault="00A60B26" w:rsidP="00A60B26">
      <w:pPr>
        <w:pStyle w:val="ListParagraph"/>
        <w:numPr>
          <w:ilvl w:val="0"/>
          <w:numId w:val="7"/>
        </w:numPr>
      </w:pPr>
      <w:r w:rsidRPr="00A60B26">
        <w:t>discuss individual pupils in depth. This will be children where the pastoral lead are leading on their care plan and where the cause for concern is not high enough to be considered in the MH Service consultation.</w:t>
      </w:r>
    </w:p>
    <w:p w14:paraId="5E4DA255" w14:textId="77777777" w:rsidR="00A60B26" w:rsidRPr="00A60B26" w:rsidRDefault="00A60B26" w:rsidP="00A60B26">
      <w:pPr>
        <w:pStyle w:val="ListParagraph"/>
        <w:numPr>
          <w:ilvl w:val="0"/>
          <w:numId w:val="7"/>
        </w:numPr>
      </w:pPr>
      <w:r w:rsidRPr="00A60B26">
        <w:t xml:space="preserve">apply learning to practice; </w:t>
      </w:r>
    </w:p>
    <w:p w14:paraId="63599030" w14:textId="77777777" w:rsidR="00A60B26" w:rsidRPr="00A60B26" w:rsidRDefault="00A60B26" w:rsidP="00A60B26">
      <w:pPr>
        <w:pStyle w:val="ListParagraph"/>
        <w:numPr>
          <w:ilvl w:val="0"/>
          <w:numId w:val="7"/>
        </w:numPr>
      </w:pPr>
      <w:r w:rsidRPr="00A60B26">
        <w:t>identify ways to improve their practice and explore further training needs</w:t>
      </w:r>
    </w:p>
    <w:p w14:paraId="7DFD5E32" w14:textId="77777777" w:rsidR="00A60B26" w:rsidRPr="00A60B26" w:rsidRDefault="00A60B26" w:rsidP="00A60B26">
      <w:pPr>
        <w:pStyle w:val="ListParagraph"/>
        <w:numPr>
          <w:ilvl w:val="0"/>
          <w:numId w:val="7"/>
        </w:numPr>
      </w:pPr>
      <w:r w:rsidRPr="00A60B26">
        <w:t xml:space="preserve">focus on specific themes relating to practice and explore improved ways of working. </w:t>
      </w:r>
    </w:p>
    <w:p w14:paraId="7C139F6B" w14:textId="77777777" w:rsidR="00A60B26" w:rsidRPr="00A60B26" w:rsidRDefault="00A60B26" w:rsidP="00A60B26">
      <w:pPr>
        <w:ind w:left="360"/>
      </w:pPr>
      <w:r w:rsidRPr="00A60B26">
        <w:t xml:space="preserve">This will focus on children where the school is leading the care plan. </w:t>
      </w:r>
    </w:p>
    <w:p w14:paraId="17D7C46F" w14:textId="77777777" w:rsidR="00A60B26" w:rsidRPr="00A60B26" w:rsidRDefault="00A60B26" w:rsidP="00A60B26">
      <w:r w:rsidRPr="00A60B26">
        <w:t>This shall also be offered as a cluster. The length and frequency of the sessions will depend on the population that the schools cover. It is proposed one hour twice each half term for every 1,000 children. (52,000 5-19 in Cheshire East). Therefore 52 hours in total offered twice each half term.</w:t>
      </w:r>
    </w:p>
    <w:p w14:paraId="4B9793D7" w14:textId="77777777" w:rsidR="003639FD" w:rsidRPr="00130050" w:rsidRDefault="003639FD" w:rsidP="003639FD">
      <w:r w:rsidRPr="00130050">
        <w:t xml:space="preserve">The group setting can provide an opportunity therefore to share some key assumptions that individual staff have about their pupils and their practice, and reflect on these within the group. Reflecting on practice within a group expands the teams understanding by exploring different approaches and thus increasing awareness and skills. </w:t>
      </w:r>
    </w:p>
    <w:p w14:paraId="110F7DD1" w14:textId="77777777" w:rsidR="003639FD" w:rsidRPr="00130050" w:rsidRDefault="003639FD" w:rsidP="003639FD">
      <w:r w:rsidRPr="00130050">
        <w:t xml:space="preserve">The group setting also plays an important part in the ongoing life-long learning providing a routinely available space away from the job to reflect on what is important. We know that ongoing development improves individual wellbeing in and out of work. </w:t>
      </w:r>
    </w:p>
    <w:p w14:paraId="1A5A852F" w14:textId="77777777" w:rsidR="003639FD" w:rsidRDefault="003639FD" w:rsidP="003639FD">
      <w:pPr>
        <w:rPr>
          <w:sz w:val="24"/>
          <w:szCs w:val="24"/>
        </w:rPr>
      </w:pPr>
    </w:p>
    <w:p w14:paraId="1DB40FC7" w14:textId="45F8B93D" w:rsidR="00202B20" w:rsidRPr="00704119" w:rsidRDefault="00202B20" w:rsidP="00704119">
      <w:pPr>
        <w:pStyle w:val="ListParagraph"/>
        <w:numPr>
          <w:ilvl w:val="1"/>
          <w:numId w:val="11"/>
        </w:numPr>
        <w:rPr>
          <w:b/>
        </w:rPr>
      </w:pPr>
      <w:r w:rsidRPr="00704119">
        <w:rPr>
          <w:b/>
        </w:rPr>
        <w:t>Training</w:t>
      </w:r>
    </w:p>
    <w:p w14:paraId="1FCE0582" w14:textId="77777777" w:rsidR="00202B20" w:rsidRDefault="00B8255B" w:rsidP="00202B20">
      <w:r>
        <w:t xml:space="preserve">This shall build on the </w:t>
      </w:r>
      <w:r w:rsidR="00202B20">
        <w:t xml:space="preserve">MindEd </w:t>
      </w:r>
      <w:r w:rsidR="00D95E90">
        <w:t xml:space="preserve">and MHFA </w:t>
      </w:r>
      <w:r w:rsidR="00202B20">
        <w:t>resource which should be promoted to as large a number of schools</w:t>
      </w:r>
      <w:r w:rsidR="00130050">
        <w:t>/CYP service</w:t>
      </w:r>
      <w:r w:rsidR="00202B20">
        <w:t xml:space="preserve"> staff as possible. More in-depth training shall have a prerequisite of completing the relevant MindEd modules.</w:t>
      </w:r>
    </w:p>
    <w:p w14:paraId="3DB61941" w14:textId="77777777" w:rsidR="00202B20" w:rsidRPr="00202B20" w:rsidRDefault="00202B20" w:rsidP="00202B20">
      <w:r>
        <w:t>Core modules</w:t>
      </w:r>
    </w:p>
    <w:p w14:paraId="0DF3A1F7" w14:textId="77777777" w:rsidR="00202B20" w:rsidRDefault="00202B20" w:rsidP="00202B20">
      <w:pPr>
        <w:pStyle w:val="ListParagraph"/>
        <w:numPr>
          <w:ilvl w:val="0"/>
          <w:numId w:val="2"/>
        </w:numPr>
      </w:pPr>
      <w:r>
        <w:t>Measuring What Happens – Strengths and Difficulties Questionnaire (SDQ)</w:t>
      </w:r>
    </w:p>
    <w:p w14:paraId="569941EB" w14:textId="77777777" w:rsidR="00202B20" w:rsidRDefault="00202B20" w:rsidP="00202B20">
      <w:pPr>
        <w:pStyle w:val="ListParagraph"/>
        <w:numPr>
          <w:ilvl w:val="0"/>
          <w:numId w:val="2"/>
        </w:numPr>
      </w:pPr>
      <w:r>
        <w:t>The Worried Child (Anxiety) – Revised Children</w:t>
      </w:r>
      <w:r w:rsidR="00130050">
        <w:t>’</w:t>
      </w:r>
      <w:r>
        <w:t>s Anxiety and Depression Scale (RCADS)</w:t>
      </w:r>
    </w:p>
    <w:p w14:paraId="5082AF42" w14:textId="77777777" w:rsidR="00202B20" w:rsidRDefault="00202B20" w:rsidP="00202B20">
      <w:pPr>
        <w:pStyle w:val="ListParagraph"/>
        <w:numPr>
          <w:ilvl w:val="0"/>
          <w:numId w:val="2"/>
        </w:numPr>
      </w:pPr>
      <w:r>
        <w:t xml:space="preserve">Self Harm and Risky Behaviour – Resource pack provided by EHS. </w:t>
      </w:r>
    </w:p>
    <w:p w14:paraId="408A5D7B" w14:textId="77777777" w:rsidR="00202B20" w:rsidRDefault="00202B20" w:rsidP="00202B20">
      <w:pPr>
        <w:pStyle w:val="ListParagraph"/>
        <w:numPr>
          <w:ilvl w:val="0"/>
          <w:numId w:val="2"/>
        </w:numPr>
      </w:pPr>
      <w:r>
        <w:t>Sad bored or isolated – Short Mood and Feelings Questionnaire (SMFQ)</w:t>
      </w:r>
    </w:p>
    <w:p w14:paraId="1730FDBF" w14:textId="77777777" w:rsidR="00A60B26" w:rsidRDefault="00CA4F89" w:rsidP="00A60B26">
      <w:r w:rsidRPr="003C6276">
        <w:t>S</w:t>
      </w:r>
      <w:r w:rsidR="003C6276">
        <w:t>taff employed by the provider to deliver training should be trained in MHFA a</w:t>
      </w:r>
      <w:r w:rsidR="00202B20" w:rsidRPr="003C6276">
        <w:t>nd</w:t>
      </w:r>
      <w:r w:rsidR="003C6276">
        <w:t xml:space="preserve"> </w:t>
      </w:r>
      <w:r w:rsidR="00202B20" w:rsidRPr="003C6276">
        <w:t>to deliver this to all Pastoral</w:t>
      </w:r>
      <w:r w:rsidR="00130050">
        <w:t>/CYP service staff over the lifetime of the contract.</w:t>
      </w:r>
    </w:p>
    <w:p w14:paraId="4D83357E" w14:textId="77777777" w:rsidR="00FD126F" w:rsidRPr="003C6276" w:rsidRDefault="00FD126F" w:rsidP="00A60B26">
      <w:r>
        <w:t>Staff within services providing support to CYP who have been exposed to trauma (violence, abuse or neglect) will be a priority group to receive training.</w:t>
      </w:r>
    </w:p>
    <w:p w14:paraId="72928DAF" w14:textId="45360BA5" w:rsidR="00602ED1" w:rsidRPr="00704119" w:rsidRDefault="00602ED1" w:rsidP="00704119">
      <w:pPr>
        <w:pStyle w:val="ListParagraph"/>
        <w:numPr>
          <w:ilvl w:val="1"/>
          <w:numId w:val="11"/>
        </w:numPr>
        <w:rPr>
          <w:b/>
        </w:rPr>
      </w:pPr>
      <w:r w:rsidRPr="00704119">
        <w:rPr>
          <w:b/>
        </w:rPr>
        <w:t>Liaison Role</w:t>
      </w:r>
    </w:p>
    <w:p w14:paraId="7B526DAE" w14:textId="6C54B606" w:rsidR="002F0535" w:rsidRPr="00A60B26" w:rsidRDefault="002F0535" w:rsidP="002F0535">
      <w:pPr>
        <w:pStyle w:val="ListParagraph"/>
        <w:ind w:left="360"/>
        <w:rPr>
          <w:b/>
        </w:rPr>
      </w:pPr>
      <w:r>
        <w:t>The provider will be expected to develop a managed network including GPs, 0-18 service , the vol</w:t>
      </w:r>
      <w:r w:rsidR="005A5E74">
        <w:t>untary</w:t>
      </w:r>
      <w:r>
        <w:t xml:space="preserve"> and comm</w:t>
      </w:r>
      <w:r w:rsidR="005A5E74">
        <w:t>unity</w:t>
      </w:r>
      <w:r>
        <w:t xml:space="preserve"> sector and children’s services commissioned and provided from Cheshire East council. This network should develop and maintain pathways into and out of the Thrive model of care, under the leadership of one individual clinical lead.</w:t>
      </w:r>
    </w:p>
    <w:p w14:paraId="244696D6" w14:textId="77777777" w:rsidR="00602ED1" w:rsidRDefault="00602ED1" w:rsidP="00602ED1">
      <w:pPr>
        <w:pStyle w:val="ListParagraph"/>
        <w:numPr>
          <w:ilvl w:val="0"/>
          <w:numId w:val="4"/>
        </w:numPr>
      </w:pPr>
      <w:r>
        <w:t>GP via GP cluster child mental health lead</w:t>
      </w:r>
      <w:r w:rsidR="00A60B26">
        <w:t>. GPs have organised themselves into 8 groups. It is hoped that each group will be able to identify a GP cluster child mental health lead.</w:t>
      </w:r>
    </w:p>
    <w:p w14:paraId="43155580" w14:textId="77777777" w:rsidR="00A60B26" w:rsidRDefault="00A60B26" w:rsidP="00602ED1">
      <w:pPr>
        <w:pStyle w:val="ListParagraph"/>
        <w:numPr>
          <w:ilvl w:val="0"/>
          <w:numId w:val="4"/>
        </w:numPr>
      </w:pPr>
      <w:r>
        <w:t>0-5 services (HV, CEFS) to identify children where there is cause for concern prior to their transition into primary school.</w:t>
      </w:r>
    </w:p>
    <w:p w14:paraId="247DED76" w14:textId="77777777" w:rsidR="00602ED1" w:rsidRDefault="00602ED1" w:rsidP="00602ED1">
      <w:pPr>
        <w:pStyle w:val="ListParagraph"/>
        <w:numPr>
          <w:ilvl w:val="0"/>
          <w:numId w:val="4"/>
        </w:numPr>
      </w:pPr>
      <w:r>
        <w:t xml:space="preserve">All </w:t>
      </w:r>
      <w:r w:rsidR="00130050">
        <w:t xml:space="preserve">CYP </w:t>
      </w:r>
      <w:r>
        <w:t>mental health providers</w:t>
      </w:r>
      <w:r w:rsidR="00130050">
        <w:t xml:space="preserve"> in the borough</w:t>
      </w:r>
    </w:p>
    <w:p w14:paraId="0E0B992B" w14:textId="77777777" w:rsidR="00A60B26" w:rsidRDefault="00A60B26" w:rsidP="00A60B26"/>
    <w:p w14:paraId="6DFFBD2B" w14:textId="6CB67E88" w:rsidR="00C06995" w:rsidRPr="00704119" w:rsidRDefault="00CA4F89" w:rsidP="00704119">
      <w:pPr>
        <w:pStyle w:val="ListParagraph"/>
        <w:numPr>
          <w:ilvl w:val="0"/>
          <w:numId w:val="10"/>
        </w:numPr>
        <w:ind w:left="284" w:hanging="284"/>
        <w:rPr>
          <w:b/>
        </w:rPr>
      </w:pPr>
      <w:r w:rsidRPr="00704119">
        <w:rPr>
          <w:b/>
        </w:rPr>
        <w:t>Contract Length and Value</w:t>
      </w:r>
    </w:p>
    <w:p w14:paraId="0708FD75" w14:textId="3437897E" w:rsidR="00CA4F89" w:rsidRPr="00CA4F89" w:rsidRDefault="00CA4F89" w:rsidP="00202B20">
      <w:r>
        <w:t xml:space="preserve">The provider will be required to commence the delivery of the service from January 2017 over 2 years and provide a budget </w:t>
      </w:r>
      <w:r w:rsidR="00EB1F37">
        <w:t>within</w:t>
      </w:r>
      <w:r>
        <w:t xml:space="preserve"> the total contract value of up to £400,000:</w:t>
      </w:r>
    </w:p>
    <w:tbl>
      <w:tblPr>
        <w:tblStyle w:val="TableGrid"/>
        <w:tblW w:w="0" w:type="auto"/>
        <w:tblLook w:val="04A0" w:firstRow="1" w:lastRow="0" w:firstColumn="1" w:lastColumn="0" w:noHBand="0" w:noVBand="1"/>
      </w:tblPr>
      <w:tblGrid>
        <w:gridCol w:w="4621"/>
        <w:gridCol w:w="4621"/>
      </w:tblGrid>
      <w:tr w:rsidR="00C06995" w14:paraId="77A43446" w14:textId="77777777" w:rsidTr="00C06995">
        <w:tc>
          <w:tcPr>
            <w:tcW w:w="4621" w:type="dxa"/>
          </w:tcPr>
          <w:p w14:paraId="7EF01517" w14:textId="77777777" w:rsidR="00C06995" w:rsidRPr="00C06995" w:rsidRDefault="00C06995" w:rsidP="00202B20">
            <w:pPr>
              <w:rPr>
                <w:b/>
              </w:rPr>
            </w:pPr>
            <w:r w:rsidRPr="00C06995">
              <w:rPr>
                <w:b/>
              </w:rPr>
              <w:t xml:space="preserve">Year 1 </w:t>
            </w:r>
          </w:p>
        </w:tc>
        <w:tc>
          <w:tcPr>
            <w:tcW w:w="4621" w:type="dxa"/>
          </w:tcPr>
          <w:p w14:paraId="5B661E45" w14:textId="77777777" w:rsidR="00C06995" w:rsidRPr="00C06995" w:rsidRDefault="00C06995" w:rsidP="00202B20">
            <w:pPr>
              <w:rPr>
                <w:b/>
              </w:rPr>
            </w:pPr>
            <w:r w:rsidRPr="00C06995">
              <w:rPr>
                <w:b/>
              </w:rPr>
              <w:t>Year 2</w:t>
            </w:r>
          </w:p>
        </w:tc>
      </w:tr>
      <w:tr w:rsidR="00C06995" w14:paraId="2C5F7D6F" w14:textId="77777777" w:rsidTr="00C06995">
        <w:tc>
          <w:tcPr>
            <w:tcW w:w="4621" w:type="dxa"/>
          </w:tcPr>
          <w:p w14:paraId="71766141" w14:textId="77777777" w:rsidR="00C06995" w:rsidRDefault="00C06995" w:rsidP="00202B20">
            <w:r>
              <w:t>£200,000</w:t>
            </w:r>
          </w:p>
        </w:tc>
        <w:tc>
          <w:tcPr>
            <w:tcW w:w="4621" w:type="dxa"/>
          </w:tcPr>
          <w:p w14:paraId="657DF651" w14:textId="77777777" w:rsidR="00C06995" w:rsidRDefault="00C06995" w:rsidP="00202B20">
            <w:r>
              <w:t>£200,000</w:t>
            </w:r>
          </w:p>
        </w:tc>
      </w:tr>
    </w:tbl>
    <w:p w14:paraId="665BD666" w14:textId="77777777" w:rsidR="001C3C2A" w:rsidRDefault="001C3C2A" w:rsidP="00202B20">
      <w:pPr>
        <w:rPr>
          <w:b/>
        </w:rPr>
      </w:pPr>
    </w:p>
    <w:p w14:paraId="7C520063" w14:textId="6ECBFBC1" w:rsidR="00D95E90" w:rsidRPr="00704119" w:rsidRDefault="003C6276" w:rsidP="00704119">
      <w:pPr>
        <w:pStyle w:val="ListParagraph"/>
        <w:numPr>
          <w:ilvl w:val="0"/>
          <w:numId w:val="10"/>
        </w:numPr>
        <w:ind w:left="284" w:hanging="284"/>
        <w:rPr>
          <w:b/>
        </w:rPr>
      </w:pPr>
      <w:r w:rsidRPr="00704119">
        <w:rPr>
          <w:b/>
        </w:rPr>
        <w:t>Outcomes and Key Performance Indicators</w:t>
      </w:r>
    </w:p>
    <w:tbl>
      <w:tblPr>
        <w:tblStyle w:val="TableGrid"/>
        <w:tblW w:w="0" w:type="auto"/>
        <w:tblLook w:val="04A0" w:firstRow="1" w:lastRow="0" w:firstColumn="1" w:lastColumn="0" w:noHBand="0" w:noVBand="1"/>
      </w:tblPr>
      <w:tblGrid>
        <w:gridCol w:w="2943"/>
        <w:gridCol w:w="6299"/>
      </w:tblGrid>
      <w:tr w:rsidR="003C6276" w14:paraId="52975843" w14:textId="77777777" w:rsidTr="003C6276">
        <w:tc>
          <w:tcPr>
            <w:tcW w:w="2943" w:type="dxa"/>
          </w:tcPr>
          <w:p w14:paraId="70E5CD79" w14:textId="77777777" w:rsidR="003C6276" w:rsidRDefault="003C6276" w:rsidP="00202B20">
            <w:pPr>
              <w:rPr>
                <w:b/>
              </w:rPr>
            </w:pPr>
            <w:r>
              <w:rPr>
                <w:b/>
              </w:rPr>
              <w:t>Children and Young People</w:t>
            </w:r>
          </w:p>
        </w:tc>
        <w:tc>
          <w:tcPr>
            <w:tcW w:w="6299" w:type="dxa"/>
          </w:tcPr>
          <w:p w14:paraId="3B08905F" w14:textId="77777777" w:rsidR="00606B56" w:rsidRPr="003C6276" w:rsidRDefault="00130050" w:rsidP="00130050">
            <w:r>
              <w:t>Improvement in the service experience scores of young people using the service</w:t>
            </w:r>
          </w:p>
        </w:tc>
      </w:tr>
      <w:tr w:rsidR="003C6276" w14:paraId="023EEACF" w14:textId="77777777" w:rsidTr="003C6276">
        <w:tc>
          <w:tcPr>
            <w:tcW w:w="2943" w:type="dxa"/>
          </w:tcPr>
          <w:p w14:paraId="1321F4AF" w14:textId="77777777" w:rsidR="003C6276" w:rsidRDefault="00E407F5" w:rsidP="00202B20">
            <w:pPr>
              <w:rPr>
                <w:b/>
              </w:rPr>
            </w:pPr>
            <w:r>
              <w:rPr>
                <w:b/>
              </w:rPr>
              <w:t>Pathway Development</w:t>
            </w:r>
          </w:p>
        </w:tc>
        <w:tc>
          <w:tcPr>
            <w:tcW w:w="6299" w:type="dxa"/>
          </w:tcPr>
          <w:p w14:paraId="18B49819" w14:textId="77777777" w:rsidR="003C6276" w:rsidRDefault="00E407F5" w:rsidP="00202B20">
            <w:r>
              <w:t>The development of a clear pathway between schools and Mental Health Services</w:t>
            </w:r>
            <w:r w:rsidR="00FD126F">
              <w:t xml:space="preserve"> including a single point of access and brokerage model</w:t>
            </w:r>
          </w:p>
          <w:p w14:paraId="633BA53C" w14:textId="77777777" w:rsidR="00606B56" w:rsidRPr="003C6276" w:rsidRDefault="00606B56" w:rsidP="00202B20"/>
        </w:tc>
      </w:tr>
      <w:tr w:rsidR="003C6276" w14:paraId="033591AE" w14:textId="77777777" w:rsidTr="003C6276">
        <w:tc>
          <w:tcPr>
            <w:tcW w:w="2943" w:type="dxa"/>
          </w:tcPr>
          <w:p w14:paraId="42C2ABEA" w14:textId="77777777" w:rsidR="003C6276" w:rsidRDefault="00E407F5" w:rsidP="00202B20">
            <w:pPr>
              <w:rPr>
                <w:b/>
              </w:rPr>
            </w:pPr>
            <w:r>
              <w:rPr>
                <w:b/>
              </w:rPr>
              <w:lastRenderedPageBreak/>
              <w:t xml:space="preserve">Standardised Assessment </w:t>
            </w:r>
          </w:p>
        </w:tc>
        <w:tc>
          <w:tcPr>
            <w:tcW w:w="6299" w:type="dxa"/>
          </w:tcPr>
          <w:p w14:paraId="414A0A00" w14:textId="77777777" w:rsidR="00130050" w:rsidRDefault="00130050" w:rsidP="00130050">
            <w:r>
              <w:t>No of Baseline SDQ Assessments, and follow up review of SDQ Assessments undertaken</w:t>
            </w:r>
          </w:p>
          <w:p w14:paraId="506E723F" w14:textId="77777777" w:rsidR="00606B56" w:rsidRDefault="00606B56" w:rsidP="00E407F5"/>
          <w:p w14:paraId="3821C955" w14:textId="77777777" w:rsidR="00FD126F" w:rsidRPr="003C6276" w:rsidRDefault="00FD126F" w:rsidP="00E407F5">
            <w:r>
              <w:t>The number of referrals to specialist mental health services</w:t>
            </w:r>
          </w:p>
        </w:tc>
      </w:tr>
      <w:tr w:rsidR="003C7DE9" w14:paraId="6F0134D7" w14:textId="77777777" w:rsidTr="003C6276">
        <w:tc>
          <w:tcPr>
            <w:tcW w:w="2943" w:type="dxa"/>
          </w:tcPr>
          <w:p w14:paraId="392284D9" w14:textId="77777777" w:rsidR="003C7DE9" w:rsidRDefault="003C7DE9" w:rsidP="00790240">
            <w:pPr>
              <w:rPr>
                <w:b/>
              </w:rPr>
            </w:pPr>
            <w:r>
              <w:rPr>
                <w:b/>
              </w:rPr>
              <w:t xml:space="preserve">Primary Schools  </w:t>
            </w:r>
          </w:p>
        </w:tc>
        <w:tc>
          <w:tcPr>
            <w:tcW w:w="6299" w:type="dxa"/>
          </w:tcPr>
          <w:p w14:paraId="7C4F3AFE" w14:textId="77777777" w:rsidR="003C7DE9" w:rsidRDefault="00FD126F" w:rsidP="00790240">
            <w:r>
              <w:t>Number of s</w:t>
            </w:r>
            <w:r w:rsidR="003C7DE9">
              <w:t>chools engaged and level of engagement</w:t>
            </w:r>
          </w:p>
          <w:p w14:paraId="06972208" w14:textId="77777777" w:rsidR="00606B56" w:rsidRPr="003C6276" w:rsidRDefault="00606B56" w:rsidP="00790240"/>
        </w:tc>
      </w:tr>
      <w:tr w:rsidR="003C7DE9" w14:paraId="31BFBDE2" w14:textId="77777777" w:rsidTr="003C6276">
        <w:tc>
          <w:tcPr>
            <w:tcW w:w="2943" w:type="dxa"/>
          </w:tcPr>
          <w:p w14:paraId="1C551531" w14:textId="77777777" w:rsidR="003C7DE9" w:rsidRDefault="003C7DE9" w:rsidP="00790240">
            <w:pPr>
              <w:rPr>
                <w:b/>
              </w:rPr>
            </w:pPr>
            <w:r>
              <w:rPr>
                <w:b/>
              </w:rPr>
              <w:t xml:space="preserve">Secondary Schools </w:t>
            </w:r>
          </w:p>
        </w:tc>
        <w:tc>
          <w:tcPr>
            <w:tcW w:w="6299" w:type="dxa"/>
          </w:tcPr>
          <w:p w14:paraId="071AC0A9" w14:textId="77777777" w:rsidR="003C7DE9" w:rsidRDefault="00FD126F" w:rsidP="00790240">
            <w:r>
              <w:t>Number of s</w:t>
            </w:r>
            <w:r w:rsidR="003C7DE9">
              <w:t>chools engaged and level of engagement</w:t>
            </w:r>
          </w:p>
          <w:p w14:paraId="285DCE4A" w14:textId="77777777" w:rsidR="00606B56" w:rsidRPr="003C6276" w:rsidRDefault="00606B56" w:rsidP="00790240"/>
        </w:tc>
      </w:tr>
      <w:tr w:rsidR="00FD126F" w14:paraId="137AAD4A" w14:textId="77777777" w:rsidTr="003C6276">
        <w:tc>
          <w:tcPr>
            <w:tcW w:w="2943" w:type="dxa"/>
          </w:tcPr>
          <w:p w14:paraId="23E44824" w14:textId="77777777" w:rsidR="00FD126F" w:rsidRDefault="00FD126F" w:rsidP="00790240">
            <w:pPr>
              <w:rPr>
                <w:b/>
              </w:rPr>
            </w:pPr>
            <w:r>
              <w:rPr>
                <w:b/>
              </w:rPr>
              <w:t>Primary Care</w:t>
            </w:r>
          </w:p>
        </w:tc>
        <w:tc>
          <w:tcPr>
            <w:tcW w:w="6299" w:type="dxa"/>
          </w:tcPr>
          <w:p w14:paraId="07B05A09" w14:textId="2BFBD882" w:rsidR="00FD126F" w:rsidRDefault="00FD126F" w:rsidP="00CA42C8">
            <w:r>
              <w:t>Number of G</w:t>
            </w:r>
            <w:r w:rsidR="00CA42C8">
              <w:t>Ps</w:t>
            </w:r>
            <w:r>
              <w:t xml:space="preserve"> engaged and level of engagement</w:t>
            </w:r>
          </w:p>
        </w:tc>
      </w:tr>
      <w:tr w:rsidR="00FD126F" w14:paraId="47902E16" w14:textId="77777777" w:rsidTr="003C6276">
        <w:tc>
          <w:tcPr>
            <w:tcW w:w="2943" w:type="dxa"/>
          </w:tcPr>
          <w:p w14:paraId="6456B531" w14:textId="77777777" w:rsidR="00FD126F" w:rsidRDefault="00FD126F" w:rsidP="00790240">
            <w:pPr>
              <w:rPr>
                <w:b/>
              </w:rPr>
            </w:pPr>
            <w:r>
              <w:rPr>
                <w:b/>
              </w:rPr>
              <w:t xml:space="preserve">CYP services </w:t>
            </w:r>
          </w:p>
        </w:tc>
        <w:tc>
          <w:tcPr>
            <w:tcW w:w="6299" w:type="dxa"/>
          </w:tcPr>
          <w:p w14:paraId="6D71F350" w14:textId="77777777" w:rsidR="00FD126F" w:rsidRDefault="00FD126F" w:rsidP="00FD126F">
            <w:r>
              <w:t>Number of services engaged and level of engagement</w:t>
            </w:r>
          </w:p>
        </w:tc>
      </w:tr>
      <w:tr w:rsidR="00A57C39" w14:paraId="7C66BCA7" w14:textId="77777777" w:rsidTr="003C6276">
        <w:tc>
          <w:tcPr>
            <w:tcW w:w="2943" w:type="dxa"/>
          </w:tcPr>
          <w:p w14:paraId="0144DCBC" w14:textId="77777777" w:rsidR="00A57C39" w:rsidRPr="00D95E90" w:rsidRDefault="00A57C39" w:rsidP="00790240">
            <w:pPr>
              <w:rPr>
                <w:b/>
              </w:rPr>
            </w:pPr>
            <w:r w:rsidRPr="00D95E90">
              <w:rPr>
                <w:b/>
              </w:rPr>
              <w:t>Information, Advice &amp; Guidance to Schools (IAG)</w:t>
            </w:r>
          </w:p>
        </w:tc>
        <w:tc>
          <w:tcPr>
            <w:tcW w:w="6299" w:type="dxa"/>
          </w:tcPr>
          <w:p w14:paraId="49D4CA80" w14:textId="77777777" w:rsidR="009308CC" w:rsidRDefault="00A57C39" w:rsidP="009308CC">
            <w:r>
              <w:t>The development of standardised IAG tools</w:t>
            </w:r>
          </w:p>
          <w:p w14:paraId="03695ECE" w14:textId="77777777" w:rsidR="009308CC" w:rsidRDefault="009308CC" w:rsidP="009308CC"/>
        </w:tc>
      </w:tr>
      <w:tr w:rsidR="003C7DE9" w14:paraId="6D6780EC" w14:textId="77777777" w:rsidTr="003C6276">
        <w:tc>
          <w:tcPr>
            <w:tcW w:w="2943" w:type="dxa"/>
          </w:tcPr>
          <w:p w14:paraId="0C605F3D" w14:textId="77777777" w:rsidR="003C7DE9" w:rsidRDefault="003C7DE9" w:rsidP="00202B20">
            <w:pPr>
              <w:rPr>
                <w:b/>
              </w:rPr>
            </w:pPr>
            <w:r>
              <w:rPr>
                <w:b/>
              </w:rPr>
              <w:t>Mental Health Consultation</w:t>
            </w:r>
          </w:p>
        </w:tc>
        <w:tc>
          <w:tcPr>
            <w:tcW w:w="6299" w:type="dxa"/>
          </w:tcPr>
          <w:p w14:paraId="68325158" w14:textId="77777777" w:rsidR="003C7DE9" w:rsidRDefault="008506E9" w:rsidP="008506E9">
            <w:r>
              <w:t>Number of</w:t>
            </w:r>
            <w:r w:rsidR="003C7DE9">
              <w:t xml:space="preserve"> Mental Health Consultation discussions </w:t>
            </w:r>
          </w:p>
        </w:tc>
      </w:tr>
      <w:tr w:rsidR="003C7DE9" w14:paraId="2BE270E4" w14:textId="77777777" w:rsidTr="003C6276">
        <w:tc>
          <w:tcPr>
            <w:tcW w:w="2943" w:type="dxa"/>
          </w:tcPr>
          <w:p w14:paraId="36C9C36A" w14:textId="77777777" w:rsidR="003C7DE9" w:rsidRDefault="003C7DE9" w:rsidP="00202B20">
            <w:pPr>
              <w:rPr>
                <w:b/>
              </w:rPr>
            </w:pPr>
            <w:r>
              <w:rPr>
                <w:b/>
              </w:rPr>
              <w:t>Group Facilitated Reflection</w:t>
            </w:r>
          </w:p>
        </w:tc>
        <w:tc>
          <w:tcPr>
            <w:tcW w:w="6299" w:type="dxa"/>
          </w:tcPr>
          <w:p w14:paraId="755A7FB6" w14:textId="77777777" w:rsidR="003C7DE9" w:rsidRPr="003C6276" w:rsidRDefault="008506E9" w:rsidP="003C7DE9">
            <w:r>
              <w:t>Number of</w:t>
            </w:r>
            <w:r w:rsidR="003C7DE9">
              <w:t xml:space="preserve"> Group Facilitated Reflection sessions offered each half term</w:t>
            </w:r>
          </w:p>
        </w:tc>
      </w:tr>
      <w:tr w:rsidR="003C7DE9" w14:paraId="2D4140EA" w14:textId="77777777" w:rsidTr="003C6276">
        <w:tc>
          <w:tcPr>
            <w:tcW w:w="2943" w:type="dxa"/>
          </w:tcPr>
          <w:p w14:paraId="29119367" w14:textId="77777777" w:rsidR="003C7DE9" w:rsidRDefault="003C7DE9" w:rsidP="00202B20">
            <w:pPr>
              <w:rPr>
                <w:b/>
              </w:rPr>
            </w:pPr>
            <w:r>
              <w:rPr>
                <w:b/>
              </w:rPr>
              <w:t>Training</w:t>
            </w:r>
          </w:p>
        </w:tc>
        <w:tc>
          <w:tcPr>
            <w:tcW w:w="6299" w:type="dxa"/>
          </w:tcPr>
          <w:p w14:paraId="22508F37" w14:textId="2A7629E3" w:rsidR="003C7DE9" w:rsidRDefault="00620082" w:rsidP="00202B20">
            <w:r>
              <w:t>Number of</w:t>
            </w:r>
            <w:r w:rsidR="003C7DE9" w:rsidRPr="00A60B26">
              <w:t xml:space="preserve"> training sessions offered eac</w:t>
            </w:r>
            <w:r w:rsidR="003C7DE9">
              <w:t xml:space="preserve">h half term (i.e. </w:t>
            </w:r>
            <w:r>
              <w:t xml:space="preserve">8 per half terms - </w:t>
            </w:r>
            <w:r w:rsidR="003C7DE9">
              <w:t>2 per worker)</w:t>
            </w:r>
          </w:p>
          <w:p w14:paraId="0792FEAF" w14:textId="77777777" w:rsidR="009308CC" w:rsidRPr="003C6276" w:rsidRDefault="009308CC" w:rsidP="00202B20"/>
        </w:tc>
      </w:tr>
      <w:tr w:rsidR="003C7DE9" w14:paraId="75F21DBA" w14:textId="77777777" w:rsidTr="003C6276">
        <w:tc>
          <w:tcPr>
            <w:tcW w:w="2943" w:type="dxa"/>
          </w:tcPr>
          <w:p w14:paraId="3B641378" w14:textId="77777777" w:rsidR="003C7DE9" w:rsidRDefault="003C7DE9" w:rsidP="00202B20">
            <w:pPr>
              <w:rPr>
                <w:b/>
              </w:rPr>
            </w:pPr>
            <w:r>
              <w:rPr>
                <w:b/>
              </w:rPr>
              <w:t>Quality Indicators</w:t>
            </w:r>
          </w:p>
        </w:tc>
        <w:tc>
          <w:tcPr>
            <w:tcW w:w="6299" w:type="dxa"/>
          </w:tcPr>
          <w:p w14:paraId="094BC0DB" w14:textId="77777777" w:rsidR="009308CC" w:rsidRDefault="003C7DE9" w:rsidP="00202B20">
            <w:r>
              <w:t>Feedback from Schools, Pastoral Staff, Children and Young People</w:t>
            </w:r>
          </w:p>
          <w:p w14:paraId="3A32585E" w14:textId="77777777" w:rsidR="00606B56" w:rsidRDefault="00606B56" w:rsidP="00202B20"/>
          <w:p w14:paraId="3874DA93" w14:textId="77777777" w:rsidR="00606B56" w:rsidRPr="003C6276" w:rsidRDefault="00606B56" w:rsidP="00606B56">
            <w:r>
              <w:t>Impact of consultation, facilitated reflection and training i.e. case studies</w:t>
            </w:r>
          </w:p>
        </w:tc>
      </w:tr>
      <w:tr w:rsidR="00D95E90" w14:paraId="08DE5766" w14:textId="77777777" w:rsidTr="00956BFC">
        <w:tc>
          <w:tcPr>
            <w:tcW w:w="9242" w:type="dxa"/>
            <w:gridSpan w:val="2"/>
          </w:tcPr>
          <w:p w14:paraId="646B7116" w14:textId="48925E94" w:rsidR="00D95E90" w:rsidRPr="00E0190C" w:rsidRDefault="001C3C2A" w:rsidP="00E0190C">
            <w:r w:rsidRPr="00E0190C">
              <w:t>Provider</w:t>
            </w:r>
            <w:r w:rsidR="00E0190C" w:rsidRPr="00E0190C">
              <w:t>s</w:t>
            </w:r>
            <w:r w:rsidRPr="00E0190C">
              <w:t xml:space="preserve"> will be asked to develop a dashboard for these indicators and any relevant</w:t>
            </w:r>
            <w:r w:rsidR="00E0190C" w:rsidRPr="00E0190C">
              <w:t xml:space="preserve"> outcome</w:t>
            </w:r>
            <w:r w:rsidRPr="00E0190C">
              <w:t xml:space="preserve"> indicators from </w:t>
            </w:r>
            <w:r w:rsidR="00D95E90" w:rsidRPr="00E0190C">
              <w:t>t</w:t>
            </w:r>
            <w:r w:rsidR="00803051" w:rsidRPr="00E0190C">
              <w:t xml:space="preserve">he </w:t>
            </w:r>
            <w:r w:rsidR="00803051" w:rsidRPr="00E0190C">
              <w:rPr>
                <w:b/>
              </w:rPr>
              <w:t>Thrive Outcomes</w:t>
            </w:r>
            <w:r w:rsidR="00803051" w:rsidRPr="00E0190C">
              <w:t xml:space="preserve"> in Appendix 1</w:t>
            </w:r>
          </w:p>
        </w:tc>
      </w:tr>
      <w:tr w:rsidR="00E0190C" w14:paraId="19ED1D79" w14:textId="77777777" w:rsidTr="00956BFC">
        <w:tc>
          <w:tcPr>
            <w:tcW w:w="9242" w:type="dxa"/>
            <w:gridSpan w:val="2"/>
          </w:tcPr>
          <w:p w14:paraId="38907297" w14:textId="747CB36F" w:rsidR="00E0190C" w:rsidRDefault="00E0190C" w:rsidP="00E0190C">
            <w:r>
              <w:t>Performance Reports will be required on a quarterly basis and will be monitored by the Council (Commissioning Manager) and through the following governance arrangements:</w:t>
            </w:r>
          </w:p>
          <w:p w14:paraId="1888D736" w14:textId="401DF257" w:rsidR="00E0190C" w:rsidRPr="00816702" w:rsidRDefault="00E0190C" w:rsidP="00816702">
            <w:pPr>
              <w:pStyle w:val="ListParagraph"/>
              <w:numPr>
                <w:ilvl w:val="0"/>
                <w:numId w:val="8"/>
              </w:numPr>
              <w:rPr>
                <w:b/>
              </w:rPr>
            </w:pPr>
            <w:r>
              <w:t>The Children and Young Peoples Strategy Group (governance group for the Cheshire East Children and Young Peoples Mental Health Transformation Plan) which is a partnership between Clinical Commissioning Groups, Cheshire East Council</w:t>
            </w:r>
            <w:r w:rsidR="00816702">
              <w:t>, Schools and Mental Health Providers.</w:t>
            </w:r>
          </w:p>
          <w:p w14:paraId="57E6CABF" w14:textId="77777777" w:rsidR="00E0190C" w:rsidRDefault="00E0190C" w:rsidP="00816702">
            <w:pPr>
              <w:rPr>
                <w:b/>
              </w:rPr>
            </w:pPr>
          </w:p>
          <w:p w14:paraId="3FE02151" w14:textId="77777777" w:rsidR="00816702" w:rsidRPr="001A5B9B" w:rsidRDefault="00816702" w:rsidP="00816702">
            <w:r w:rsidRPr="001A5B9B">
              <w:t>Performance reports will include:</w:t>
            </w:r>
          </w:p>
          <w:p w14:paraId="2D18AB26" w14:textId="2BBDBFDE" w:rsidR="00C361B4" w:rsidRPr="001A5B9B" w:rsidRDefault="00C361B4" w:rsidP="00816702">
            <w:pPr>
              <w:pStyle w:val="ListParagraph"/>
              <w:numPr>
                <w:ilvl w:val="0"/>
                <w:numId w:val="8"/>
              </w:numPr>
            </w:pPr>
            <w:r w:rsidRPr="001A5B9B">
              <w:t>Progress against the service implementation</w:t>
            </w:r>
            <w:r w:rsidR="00620082">
              <w:t>, pathways</w:t>
            </w:r>
            <w:r w:rsidRPr="001A5B9B">
              <w:t xml:space="preserve"> </w:t>
            </w:r>
            <w:r w:rsidR="00D8138A">
              <w:t xml:space="preserve">and </w:t>
            </w:r>
            <w:r w:rsidR="00620082">
              <w:t xml:space="preserve">service </w:t>
            </w:r>
            <w:r w:rsidR="00D8138A">
              <w:t>development</w:t>
            </w:r>
            <w:r w:rsidR="00620082">
              <w:t>,</w:t>
            </w:r>
            <w:r w:rsidR="00D8138A">
              <w:t xml:space="preserve"> </w:t>
            </w:r>
          </w:p>
          <w:p w14:paraId="5D906564" w14:textId="6E8634A6" w:rsidR="00816702" w:rsidRDefault="00816702" w:rsidP="00816702">
            <w:pPr>
              <w:pStyle w:val="ListParagraph"/>
              <w:numPr>
                <w:ilvl w:val="0"/>
                <w:numId w:val="8"/>
              </w:numPr>
            </w:pPr>
            <w:r w:rsidRPr="001A5B9B">
              <w:t>A dashboard detailing quarterly progress against KPIs</w:t>
            </w:r>
            <w:r w:rsidR="00D8138A">
              <w:t xml:space="preserve"> and Outcome Indicators</w:t>
            </w:r>
            <w:r w:rsidRPr="001A5B9B">
              <w:t>,</w:t>
            </w:r>
          </w:p>
          <w:p w14:paraId="2D9EC9D4" w14:textId="3FB197DE" w:rsidR="00D8138A" w:rsidRPr="001A5B9B" w:rsidRDefault="00D8138A" w:rsidP="00816702">
            <w:pPr>
              <w:pStyle w:val="ListParagraph"/>
              <w:numPr>
                <w:ilvl w:val="0"/>
                <w:numId w:val="8"/>
              </w:numPr>
            </w:pPr>
            <w:r>
              <w:t>Impact and Outcomes,</w:t>
            </w:r>
          </w:p>
          <w:p w14:paraId="34C74DA4" w14:textId="77777777" w:rsidR="00816702" w:rsidRPr="001A5B9B" w:rsidRDefault="00816702" w:rsidP="00816702">
            <w:pPr>
              <w:pStyle w:val="ListParagraph"/>
              <w:numPr>
                <w:ilvl w:val="0"/>
                <w:numId w:val="8"/>
              </w:numPr>
            </w:pPr>
            <w:r w:rsidRPr="001A5B9B">
              <w:t>Feedback from stakeholders,</w:t>
            </w:r>
          </w:p>
          <w:p w14:paraId="0232E893" w14:textId="77777777" w:rsidR="00C361B4" w:rsidRPr="001A5B9B" w:rsidRDefault="00C361B4" w:rsidP="001A5B9B">
            <w:pPr>
              <w:pStyle w:val="ListParagraph"/>
              <w:numPr>
                <w:ilvl w:val="0"/>
                <w:numId w:val="8"/>
              </w:numPr>
            </w:pPr>
            <w:r w:rsidRPr="001A5B9B">
              <w:t>Case studies,</w:t>
            </w:r>
          </w:p>
          <w:p w14:paraId="06ADD7A6" w14:textId="09C80CBF" w:rsidR="001A5B9B" w:rsidRDefault="001A5B9B" w:rsidP="001A5B9B">
            <w:pPr>
              <w:pStyle w:val="ListParagraph"/>
              <w:numPr>
                <w:ilvl w:val="0"/>
                <w:numId w:val="8"/>
              </w:numPr>
            </w:pPr>
            <w:r>
              <w:t>Workforce Development,</w:t>
            </w:r>
          </w:p>
          <w:p w14:paraId="7004D20A" w14:textId="43ED8D38" w:rsidR="001A5B9B" w:rsidRDefault="001A5B9B" w:rsidP="001A5B9B">
            <w:pPr>
              <w:pStyle w:val="ListParagraph"/>
              <w:numPr>
                <w:ilvl w:val="0"/>
                <w:numId w:val="8"/>
              </w:numPr>
            </w:pPr>
            <w:r>
              <w:t>Budgets and Finance,</w:t>
            </w:r>
          </w:p>
          <w:p w14:paraId="167176F4" w14:textId="68569E82" w:rsidR="001A5B9B" w:rsidRPr="001A5B9B" w:rsidRDefault="00D8138A" w:rsidP="00D8138A">
            <w:pPr>
              <w:pStyle w:val="ListParagraph"/>
              <w:numPr>
                <w:ilvl w:val="0"/>
                <w:numId w:val="8"/>
              </w:numPr>
            </w:pPr>
            <w:r>
              <w:t>Safeguarding Self-Audit.</w:t>
            </w:r>
          </w:p>
        </w:tc>
      </w:tr>
    </w:tbl>
    <w:p w14:paraId="5B462D16" w14:textId="77777777" w:rsidR="00803051" w:rsidRDefault="00803051" w:rsidP="00202B20">
      <w:pPr>
        <w:rPr>
          <w:b/>
        </w:rPr>
      </w:pPr>
    </w:p>
    <w:p w14:paraId="77B7B1B4" w14:textId="650BB442" w:rsidR="002B1B27" w:rsidRDefault="002B1B27" w:rsidP="002B1B27">
      <w:pPr>
        <w:pStyle w:val="ListParagraph"/>
        <w:numPr>
          <w:ilvl w:val="0"/>
          <w:numId w:val="10"/>
        </w:numPr>
        <w:ind w:left="360"/>
        <w:rPr>
          <w:b/>
        </w:rPr>
      </w:pPr>
      <w:r>
        <w:rPr>
          <w:b/>
        </w:rPr>
        <w:t>Safeguarding</w:t>
      </w:r>
    </w:p>
    <w:p w14:paraId="6C3D1E29" w14:textId="70181256" w:rsidR="002B1B27" w:rsidRPr="002B1B27" w:rsidRDefault="002B1B27" w:rsidP="002B1B27">
      <w:pPr>
        <w:rPr>
          <w:b/>
        </w:rPr>
      </w:pPr>
      <w:r>
        <w:rPr>
          <w:b/>
        </w:rPr>
        <w:t xml:space="preserve">5.1 </w:t>
      </w:r>
      <w:r w:rsidR="00BA3D8B">
        <w:rPr>
          <w:b/>
        </w:rPr>
        <w:t>Provider</w:t>
      </w:r>
      <w:r w:rsidRPr="002B1B27">
        <w:rPr>
          <w:b/>
        </w:rPr>
        <w:t>s responsibilities</w:t>
      </w:r>
    </w:p>
    <w:p w14:paraId="7FBB0D57" w14:textId="2409293E" w:rsidR="002B1B27" w:rsidRPr="002B1B27" w:rsidRDefault="002B1B27" w:rsidP="002B1B27">
      <w:pPr>
        <w:pStyle w:val="ListParagraph"/>
        <w:ind w:left="0"/>
      </w:pPr>
      <w:r>
        <w:t>The Provider</w:t>
      </w:r>
      <w:r w:rsidRPr="002B1B27">
        <w:t xml:space="preserve"> will</w:t>
      </w:r>
      <w:r w:rsidRPr="002B1B27">
        <w:rPr>
          <w:bCs/>
        </w:rPr>
        <w:t xml:space="preserve"> </w:t>
      </w:r>
      <w:r w:rsidRPr="002B1B27">
        <w:t>ensure services comply with safeguarding procedures outlined by Cheshire East Council through the Local Safeguarding Children Board and Local Safeguarding Adults Board, and Cheshire East’s Domestic Abuse Partnership:</w:t>
      </w:r>
    </w:p>
    <w:p w14:paraId="45FBCBF3" w14:textId="77777777" w:rsidR="002B1B27" w:rsidRPr="002B1B27" w:rsidRDefault="002B1B27" w:rsidP="002B1B27">
      <w:pPr>
        <w:pStyle w:val="ListParagraph"/>
        <w:ind w:left="0"/>
        <w:rPr>
          <w:u w:val="single"/>
        </w:rPr>
      </w:pPr>
      <w:r w:rsidRPr="002B1B27">
        <w:t xml:space="preserve">  </w:t>
      </w:r>
    </w:p>
    <w:p w14:paraId="67CC012B" w14:textId="77777777" w:rsidR="002B1B27" w:rsidRPr="002B1B27" w:rsidRDefault="004326A0" w:rsidP="002B1B27">
      <w:pPr>
        <w:pStyle w:val="ListParagraph"/>
        <w:ind w:left="0"/>
      </w:pPr>
      <w:hyperlink r:id="rId13" w:history="1">
        <w:r w:rsidR="002B1B27" w:rsidRPr="002B1B27">
          <w:rPr>
            <w:rStyle w:val="Hyperlink"/>
          </w:rPr>
          <w:t>http://www.cheshireeast.gov.uk/care-and-support/healthy-lifestyles/domestic_abuse/domestic_abuse.aspx</w:t>
        </w:r>
      </w:hyperlink>
    </w:p>
    <w:p w14:paraId="1855AAEF" w14:textId="77777777" w:rsidR="002B1B27" w:rsidRPr="002B1B27" w:rsidRDefault="002B1B27" w:rsidP="002B1B27">
      <w:pPr>
        <w:pStyle w:val="ListParagraph"/>
        <w:ind w:left="0"/>
      </w:pPr>
    </w:p>
    <w:p w14:paraId="298B6446" w14:textId="77777777" w:rsidR="002B1B27" w:rsidRPr="002B1B27" w:rsidRDefault="004326A0" w:rsidP="002B1B27">
      <w:pPr>
        <w:pStyle w:val="ListParagraph"/>
        <w:ind w:left="0"/>
      </w:pPr>
      <w:hyperlink r:id="rId14" w:history="1">
        <w:r w:rsidR="002B1B27" w:rsidRPr="002B1B27">
          <w:rPr>
            <w:rStyle w:val="Hyperlink"/>
          </w:rPr>
          <w:t>http://www.cheshireeastlscb.org.uk/professionals/procedures-and-guidance.aspx</w:t>
        </w:r>
      </w:hyperlink>
    </w:p>
    <w:p w14:paraId="639295EA" w14:textId="77777777" w:rsidR="002B1B27" w:rsidRPr="002B1B27" w:rsidRDefault="002B1B27" w:rsidP="002B1B27">
      <w:pPr>
        <w:pStyle w:val="ListParagraph"/>
        <w:ind w:left="0"/>
      </w:pPr>
    </w:p>
    <w:p w14:paraId="098E0C9A" w14:textId="77777777" w:rsidR="002B1B27" w:rsidRPr="002B1B27" w:rsidRDefault="004326A0" w:rsidP="002B1B27">
      <w:pPr>
        <w:pStyle w:val="ListParagraph"/>
        <w:ind w:left="0"/>
      </w:pPr>
      <w:hyperlink r:id="rId15" w:history="1">
        <w:r w:rsidR="002B1B27" w:rsidRPr="002B1B27">
          <w:rPr>
            <w:rStyle w:val="Hyperlink"/>
          </w:rPr>
          <w:t>http://www.cheshireeast.gov.uk/care-and-support/vulnerable-adults/vulnerable-adults.aspx</w:t>
        </w:r>
      </w:hyperlink>
      <w:r w:rsidR="002B1B27" w:rsidRPr="002B1B27">
        <w:t xml:space="preserve"> </w:t>
      </w:r>
    </w:p>
    <w:p w14:paraId="29861436" w14:textId="77777777" w:rsidR="002B1B27" w:rsidRPr="002B1B27" w:rsidRDefault="002B1B27" w:rsidP="002B1B27">
      <w:pPr>
        <w:pStyle w:val="ListParagraph"/>
        <w:ind w:left="0"/>
        <w:rPr>
          <w:b/>
        </w:rPr>
      </w:pPr>
    </w:p>
    <w:p w14:paraId="17C2322A" w14:textId="7EF4DC5A" w:rsidR="002B1B27" w:rsidRPr="002B1B27" w:rsidRDefault="002B1B27" w:rsidP="002B1B27">
      <w:pPr>
        <w:pStyle w:val="ListParagraph"/>
        <w:ind w:left="0"/>
      </w:pPr>
      <w:r w:rsidRPr="002B1B27">
        <w:t xml:space="preserve">The operational policies of </w:t>
      </w:r>
      <w:r w:rsidR="00BA3D8B">
        <w:t xml:space="preserve">Provider </w:t>
      </w:r>
      <w:r w:rsidRPr="002B1B27">
        <w:t>will address the following:</w:t>
      </w:r>
    </w:p>
    <w:p w14:paraId="100B20DF" w14:textId="77777777" w:rsidR="002B1B27" w:rsidRPr="002B1B27" w:rsidRDefault="002B1B27" w:rsidP="002B1B27">
      <w:pPr>
        <w:pStyle w:val="ListParagraph"/>
        <w:numPr>
          <w:ilvl w:val="0"/>
          <w:numId w:val="12"/>
        </w:numPr>
        <w:ind w:left="720"/>
      </w:pPr>
      <w:r w:rsidRPr="002B1B27">
        <w:t>Safe provision and storage of medication</w:t>
      </w:r>
    </w:p>
    <w:p w14:paraId="15F8B38D" w14:textId="77777777" w:rsidR="002B1B27" w:rsidRPr="002B1B27" w:rsidRDefault="002B1B27" w:rsidP="002B1B27">
      <w:pPr>
        <w:pStyle w:val="ListParagraph"/>
        <w:numPr>
          <w:ilvl w:val="0"/>
          <w:numId w:val="12"/>
        </w:numPr>
        <w:ind w:left="720"/>
      </w:pPr>
      <w:r w:rsidRPr="002B1B27">
        <w:t>How to initiate a CAF if required</w:t>
      </w:r>
    </w:p>
    <w:p w14:paraId="010CE5F8" w14:textId="77777777" w:rsidR="002B1B27" w:rsidRPr="002B1B27" w:rsidRDefault="002B1B27" w:rsidP="002B1B27">
      <w:pPr>
        <w:pStyle w:val="ListParagraph"/>
        <w:numPr>
          <w:ilvl w:val="0"/>
          <w:numId w:val="12"/>
        </w:numPr>
        <w:ind w:left="720"/>
      </w:pPr>
      <w:r w:rsidRPr="002B1B27">
        <w:t xml:space="preserve">How to make a referral  for a children in need, or a vulnerable adult, under safeguarding procedures </w:t>
      </w:r>
    </w:p>
    <w:p w14:paraId="66DF01FB" w14:textId="77777777" w:rsidR="002B1B27" w:rsidRPr="002B1B27" w:rsidRDefault="002B1B27" w:rsidP="002B1B27">
      <w:pPr>
        <w:pStyle w:val="ListParagraph"/>
        <w:numPr>
          <w:ilvl w:val="0"/>
          <w:numId w:val="12"/>
        </w:numPr>
        <w:ind w:left="720"/>
      </w:pPr>
      <w:r w:rsidRPr="002B1B27">
        <w:t xml:space="preserve">How to raise a concern in relation to domestic abuse </w:t>
      </w:r>
    </w:p>
    <w:p w14:paraId="145BDE71" w14:textId="77777777" w:rsidR="002B1B27" w:rsidRPr="002B1B27" w:rsidRDefault="002B1B27" w:rsidP="002B1B27">
      <w:pPr>
        <w:pStyle w:val="ListParagraph"/>
        <w:numPr>
          <w:ilvl w:val="0"/>
          <w:numId w:val="12"/>
        </w:numPr>
        <w:ind w:left="720"/>
      </w:pPr>
      <w:r w:rsidRPr="002B1B27">
        <w:t>How to report and respond to safeguarding concerns about the practice of staff or volunteers</w:t>
      </w:r>
    </w:p>
    <w:p w14:paraId="23715557" w14:textId="77777777" w:rsidR="002B1B27" w:rsidRPr="002B1B27" w:rsidRDefault="002B1B27" w:rsidP="002B1B27">
      <w:pPr>
        <w:pStyle w:val="ListParagraph"/>
        <w:numPr>
          <w:ilvl w:val="0"/>
          <w:numId w:val="12"/>
        </w:numPr>
        <w:ind w:left="720"/>
      </w:pPr>
      <w:r w:rsidRPr="002B1B27">
        <w:t>Set out how they will manage a complaint investigation and how the learning will inform practice and continuous development of the service</w:t>
      </w:r>
    </w:p>
    <w:p w14:paraId="4DE3BE99" w14:textId="77777777" w:rsidR="002B1B27" w:rsidRPr="002B1B27" w:rsidRDefault="002B1B27" w:rsidP="002B1B27">
      <w:pPr>
        <w:pStyle w:val="ListParagraph"/>
        <w:numPr>
          <w:ilvl w:val="0"/>
          <w:numId w:val="12"/>
        </w:numPr>
        <w:ind w:left="720"/>
      </w:pPr>
      <w:r w:rsidRPr="002B1B27">
        <w:t>Set out how the management and reporting of Sudden Untoward Incidents and the reflective learning from such events informs future practice and continuous service  development</w:t>
      </w:r>
    </w:p>
    <w:p w14:paraId="3513E52D" w14:textId="77777777" w:rsidR="002B1B27" w:rsidRPr="002B1B27" w:rsidRDefault="002B1B27" w:rsidP="002B1B27">
      <w:pPr>
        <w:pStyle w:val="ListParagraph"/>
        <w:ind w:left="0"/>
        <w:rPr>
          <w:b/>
        </w:rPr>
      </w:pPr>
    </w:p>
    <w:p w14:paraId="574BB0E9" w14:textId="77DBE04B" w:rsidR="002B1B27" w:rsidRPr="002B1B27" w:rsidRDefault="002B1B27" w:rsidP="002B1B27">
      <w:pPr>
        <w:pStyle w:val="ListParagraph"/>
        <w:ind w:left="0"/>
      </w:pPr>
      <w:r w:rsidRPr="002B1B27">
        <w:t>The Provider will be responsible for informing the commissioner of their practice through routine contract monitoring arrangements or earlier where it relates to a critical incident and or is deemed to be an emergency that warrants this step as a matter of urgency.</w:t>
      </w:r>
    </w:p>
    <w:p w14:paraId="0DCEB204" w14:textId="77777777" w:rsidR="002B1B27" w:rsidRPr="002B1B27" w:rsidRDefault="002B1B27" w:rsidP="002B1B27">
      <w:pPr>
        <w:pStyle w:val="ListParagraph"/>
        <w:ind w:left="0"/>
        <w:rPr>
          <w:b/>
        </w:rPr>
      </w:pPr>
    </w:p>
    <w:p w14:paraId="65BDEA42" w14:textId="77777777" w:rsidR="002B1B27" w:rsidRDefault="002B1B27" w:rsidP="002B1B27">
      <w:pPr>
        <w:pStyle w:val="ListParagraph"/>
        <w:ind w:left="0"/>
        <w:rPr>
          <w:b/>
        </w:rPr>
      </w:pPr>
      <w:r>
        <w:rPr>
          <w:b/>
        </w:rPr>
        <w:t xml:space="preserve">5.2 </w:t>
      </w:r>
      <w:r w:rsidRPr="002B1B27">
        <w:rPr>
          <w:b/>
        </w:rPr>
        <w:t>Exceptional Service Exclusion</w:t>
      </w:r>
    </w:p>
    <w:p w14:paraId="021632AF" w14:textId="77777777" w:rsidR="002B1B27" w:rsidRDefault="002B1B27" w:rsidP="002B1B27">
      <w:pPr>
        <w:pStyle w:val="ListParagraph"/>
        <w:ind w:left="0"/>
        <w:rPr>
          <w:b/>
        </w:rPr>
      </w:pPr>
    </w:p>
    <w:p w14:paraId="25D027D8" w14:textId="41D0CB5B" w:rsidR="002B1B27" w:rsidRPr="002B1B27" w:rsidRDefault="002B1B27" w:rsidP="002B1B27">
      <w:pPr>
        <w:pStyle w:val="ListParagraph"/>
        <w:ind w:left="0"/>
        <w:rPr>
          <w:b/>
        </w:rPr>
      </w:pPr>
      <w:r w:rsidRPr="002B1B27">
        <w:t xml:space="preserve">The Provider may at times need to consider whether a service user may need to be excluded from the service. A professional risk assessment must be undertaken to assess the risk to other service users, staff and or members of the public. This risk assessment should be undertaken on a </w:t>
      </w:r>
      <w:proofErr w:type="spellStart"/>
      <w:r w:rsidRPr="002B1B27">
        <w:t>multi agency</w:t>
      </w:r>
      <w:proofErr w:type="spellEnd"/>
      <w:r w:rsidRPr="002B1B27">
        <w:t xml:space="preserve"> basis to ensure wider safety actions being determined across health, social care and the criminal justice system. </w:t>
      </w:r>
    </w:p>
    <w:p w14:paraId="3D954B55" w14:textId="77777777" w:rsidR="002B1B27" w:rsidRPr="002B1B27" w:rsidRDefault="002B1B27" w:rsidP="002B1B27">
      <w:pPr>
        <w:pStyle w:val="ListParagraph"/>
        <w:ind w:left="0"/>
      </w:pPr>
    </w:p>
    <w:p w14:paraId="2377C8C2" w14:textId="77777777" w:rsidR="002B1B27" w:rsidRPr="002B1B27" w:rsidRDefault="002B1B27" w:rsidP="002B1B27">
      <w:pPr>
        <w:pStyle w:val="ListParagraph"/>
        <w:ind w:left="0"/>
      </w:pPr>
      <w:r w:rsidRPr="002B1B27">
        <w:t xml:space="preserve">Every effort must be made to maintain and or secure re-engagement of the service user once the safety actions have been implemented. </w:t>
      </w:r>
    </w:p>
    <w:p w14:paraId="455D7BE4" w14:textId="77777777" w:rsidR="002B1B27" w:rsidRPr="002B1B27" w:rsidRDefault="002B1B27" w:rsidP="002B1B27">
      <w:pPr>
        <w:pStyle w:val="ListParagraph"/>
        <w:ind w:left="0"/>
      </w:pPr>
    </w:p>
    <w:p w14:paraId="2E66A342" w14:textId="77777777" w:rsidR="002B1B27" w:rsidRPr="002B1B27" w:rsidRDefault="002B1B27" w:rsidP="002B1B27">
      <w:pPr>
        <w:pStyle w:val="ListParagraph"/>
        <w:ind w:left="0"/>
      </w:pPr>
      <w:r w:rsidRPr="002B1B27">
        <w:t>Any exclusions, and or safety actions put into place must be reported to the Commissioner in a timely manner to allow for their direct involvement and or advice /guidance.</w:t>
      </w:r>
    </w:p>
    <w:p w14:paraId="3291F51E" w14:textId="77777777" w:rsidR="002B1B27" w:rsidRPr="002B1B27" w:rsidRDefault="002B1B27" w:rsidP="002B1B27">
      <w:pPr>
        <w:pStyle w:val="ListParagraph"/>
        <w:ind w:left="0"/>
        <w:rPr>
          <w:b/>
        </w:rPr>
      </w:pPr>
    </w:p>
    <w:p w14:paraId="24754715" w14:textId="1A7FBD62" w:rsidR="002B1B27" w:rsidRPr="002B1B27" w:rsidRDefault="002B1B27" w:rsidP="002B1B27">
      <w:pPr>
        <w:pStyle w:val="ListParagraph"/>
        <w:ind w:left="0"/>
        <w:rPr>
          <w:b/>
        </w:rPr>
      </w:pPr>
      <w:r>
        <w:rPr>
          <w:b/>
        </w:rPr>
        <w:t>5.</w:t>
      </w:r>
      <w:r w:rsidRPr="002B1B27">
        <w:rPr>
          <w:b/>
        </w:rPr>
        <w:t>3</w:t>
      </w:r>
      <w:r>
        <w:rPr>
          <w:b/>
        </w:rPr>
        <w:t xml:space="preserve"> </w:t>
      </w:r>
      <w:r w:rsidRPr="002B1B27">
        <w:rPr>
          <w:b/>
        </w:rPr>
        <w:t>Safeguarding for Vulnerable Children and Adults</w:t>
      </w:r>
    </w:p>
    <w:p w14:paraId="4234B989" w14:textId="77777777" w:rsidR="002B1B27" w:rsidRPr="002B1B27" w:rsidRDefault="002B1B27" w:rsidP="002B1B27">
      <w:pPr>
        <w:pStyle w:val="ListParagraph"/>
        <w:ind w:left="0"/>
        <w:rPr>
          <w:b/>
          <w:lang w:val="en-US"/>
        </w:rPr>
      </w:pPr>
    </w:p>
    <w:p w14:paraId="7BBE8C7D" w14:textId="78848C83" w:rsidR="002B1B27" w:rsidRPr="002B1B27" w:rsidRDefault="002B1B27" w:rsidP="002B1B27">
      <w:pPr>
        <w:pStyle w:val="ListParagraph"/>
        <w:ind w:left="0"/>
      </w:pPr>
      <w:r w:rsidRPr="002B1B27">
        <w:rPr>
          <w:lang w:val="en-US"/>
        </w:rPr>
        <w:t xml:space="preserve">The safeguarding of children and vulnerable adults must underpin all practice and </w:t>
      </w:r>
      <w:r w:rsidR="00BA3D8B">
        <w:rPr>
          <w:lang w:val="en-US"/>
        </w:rPr>
        <w:t>the Provider i</w:t>
      </w:r>
      <w:r w:rsidRPr="002B1B27">
        <w:rPr>
          <w:lang w:val="en-US"/>
        </w:rPr>
        <w:t xml:space="preserve">s are expected to adhere to relevant legislation and guidance [The Care Act 2014 </w:t>
      </w:r>
      <w:hyperlink r:id="rId16" w:history="1">
        <w:r w:rsidRPr="002B1B27">
          <w:rPr>
            <w:rStyle w:val="Hyperlink"/>
            <w:lang w:val="en-US"/>
          </w:rPr>
          <w:t>https://www.gov.uk/government/publications/care-act-2014-statutory-guidance-for-implementation</w:t>
        </w:r>
      </w:hyperlink>
      <w:r w:rsidRPr="002B1B27">
        <w:rPr>
          <w:lang w:val="en-US"/>
        </w:rPr>
        <w:t xml:space="preserve">. Safeguarding Children and Young People </w:t>
      </w:r>
      <w:hyperlink r:id="rId17" w:history="1">
        <w:r w:rsidRPr="002B1B27">
          <w:rPr>
            <w:rStyle w:val="Hyperlink"/>
          </w:rPr>
          <w:t>https://www.gov.uk/government/publications/working-together-to-safeguard-children--2</w:t>
        </w:r>
      </w:hyperlink>
      <w:r w:rsidRPr="002B1B27">
        <w:t xml:space="preserve"> as well as statutory responsibilities within 1989 and 2004 Children Acts, critically: </w:t>
      </w:r>
    </w:p>
    <w:p w14:paraId="5820A1CD" w14:textId="77777777" w:rsidR="002B1B27" w:rsidRDefault="002B1B27" w:rsidP="002B1B27">
      <w:pPr>
        <w:pStyle w:val="ListParagraph"/>
        <w:ind w:left="0"/>
        <w:rPr>
          <w:i/>
        </w:rPr>
      </w:pPr>
      <w:r w:rsidRPr="002B1B27">
        <w:rPr>
          <w:i/>
        </w:rPr>
        <w:t xml:space="preserve">‘’ Local agencies, including the police and health services, also have a duty under section 11 of the Children Act 2004 to ensure that they consider the need to safeguard and promote the welfare of children when carrying out their functions. </w:t>
      </w:r>
    </w:p>
    <w:p w14:paraId="5171C593" w14:textId="77777777" w:rsidR="00417D86" w:rsidRPr="002B1B27" w:rsidRDefault="00417D86" w:rsidP="002B1B27">
      <w:pPr>
        <w:pStyle w:val="ListParagraph"/>
        <w:ind w:left="0"/>
        <w:rPr>
          <w:i/>
        </w:rPr>
      </w:pPr>
    </w:p>
    <w:p w14:paraId="76EC2231" w14:textId="77777777" w:rsidR="002B1B27" w:rsidRDefault="002B1B27" w:rsidP="002B1B27">
      <w:pPr>
        <w:pStyle w:val="ListParagraph"/>
        <w:ind w:left="0"/>
        <w:rPr>
          <w:i/>
        </w:rPr>
      </w:pPr>
      <w:r w:rsidRPr="002B1B27">
        <w:rPr>
          <w:i/>
        </w:rPr>
        <w:t xml:space="preserve">Under section 10 of the same Act, a similar range of agencies are required to cooperate with local authorities to promote the well-being of children in each local authority area (see chapter 1). This cooperation should exist and be effective at all levels of the organisation, from strategic level through to operational delivery. </w:t>
      </w:r>
    </w:p>
    <w:p w14:paraId="14B587F9" w14:textId="77777777" w:rsidR="00417D86" w:rsidRPr="002B1B27" w:rsidRDefault="00417D86" w:rsidP="002B1B27">
      <w:pPr>
        <w:pStyle w:val="ListParagraph"/>
        <w:ind w:left="0"/>
        <w:rPr>
          <w:i/>
        </w:rPr>
      </w:pPr>
    </w:p>
    <w:p w14:paraId="5BE8A125" w14:textId="77777777" w:rsidR="002B1B27" w:rsidRPr="002B1B27" w:rsidRDefault="002B1B27" w:rsidP="002B1B27">
      <w:pPr>
        <w:pStyle w:val="ListParagraph"/>
        <w:ind w:left="0"/>
        <w:rPr>
          <w:i/>
        </w:rPr>
      </w:pPr>
      <w:r w:rsidRPr="002B1B27">
        <w:rPr>
          <w:i/>
        </w:rPr>
        <w:t>Professionals working in agencies with these duties are responsible for ensuring that they fulfil their role and responsibilities in a manner consistent with the statutory duties of their employer. ‘’</w:t>
      </w:r>
    </w:p>
    <w:p w14:paraId="067ADF23" w14:textId="072BA697" w:rsidR="002B1B27" w:rsidRPr="002B1B27" w:rsidRDefault="002B1B27" w:rsidP="002B1B27">
      <w:pPr>
        <w:pStyle w:val="ListParagraph"/>
        <w:ind w:left="0"/>
        <w:rPr>
          <w:lang w:val="en-US"/>
        </w:rPr>
      </w:pPr>
      <w:r w:rsidRPr="002B1B27">
        <w:rPr>
          <w:lang w:val="en-US"/>
        </w:rPr>
        <w:t xml:space="preserve">Cheshire East Local Safeguarding Children Board and Local Safeguarding Adults Board have policies that must be adhered too and evidenced within </w:t>
      </w:r>
      <w:r w:rsidR="00BA3D8B">
        <w:rPr>
          <w:lang w:val="en-US"/>
        </w:rPr>
        <w:t xml:space="preserve">the Providers </w:t>
      </w:r>
      <w:r w:rsidRPr="002B1B27">
        <w:rPr>
          <w:lang w:val="en-US"/>
        </w:rPr>
        <w:t xml:space="preserve">own policy, practice documents and records. The primary principle[s] here is that </w:t>
      </w:r>
      <w:r w:rsidR="00BA3D8B">
        <w:rPr>
          <w:lang w:val="en-US"/>
        </w:rPr>
        <w:t>the Provider has</w:t>
      </w:r>
      <w:r w:rsidRPr="002B1B27">
        <w:rPr>
          <w:lang w:val="en-US"/>
        </w:rPr>
        <w:t xml:space="preserve"> robust policies, practices and pathways in place to escalate matters should this be required, therefore being able to: Recognise, Respond, Record, Recruit Safely and Risk Assess well in respect of service user wellbeing and safety. </w:t>
      </w:r>
    </w:p>
    <w:p w14:paraId="32CEFB43" w14:textId="77777777" w:rsidR="002B1B27" w:rsidRPr="002B1B27" w:rsidRDefault="002B1B27" w:rsidP="002B1B27">
      <w:pPr>
        <w:pStyle w:val="ListParagraph"/>
        <w:ind w:left="0"/>
        <w:rPr>
          <w:b/>
          <w:lang w:val="en-US"/>
        </w:rPr>
      </w:pPr>
    </w:p>
    <w:p w14:paraId="4989FFFF" w14:textId="6375C372" w:rsidR="002B1B27" w:rsidRPr="002B1B27" w:rsidRDefault="002B1B27" w:rsidP="002B1B27">
      <w:pPr>
        <w:pStyle w:val="ListParagraph"/>
        <w:ind w:left="0"/>
        <w:rPr>
          <w:lang w:val="en-US"/>
        </w:rPr>
      </w:pPr>
      <w:r w:rsidRPr="002B1B27">
        <w:rPr>
          <w:lang w:val="en-US"/>
        </w:rPr>
        <w:t xml:space="preserve">Compliance with Local Safeguarding Children’s Board’s and Local Safeguarding Adults Board’s policy, procedures and protocols which must be regularly audited (including case recording audit) by the </w:t>
      </w:r>
      <w:r w:rsidR="00BA3D8B">
        <w:rPr>
          <w:lang w:val="en-US"/>
        </w:rPr>
        <w:t>Provider</w:t>
      </w:r>
      <w:r w:rsidRPr="002B1B27">
        <w:rPr>
          <w:lang w:val="en-US"/>
        </w:rPr>
        <w:t xml:space="preserve">. </w:t>
      </w:r>
      <w:r w:rsidR="00BA3D8B">
        <w:rPr>
          <w:lang w:val="en-US"/>
        </w:rPr>
        <w:t xml:space="preserve">  The Provider is</w:t>
      </w:r>
      <w:r w:rsidRPr="002B1B27">
        <w:rPr>
          <w:lang w:val="en-US"/>
        </w:rPr>
        <w:t xml:space="preserve"> required to complete annually the self-assessment as set out in the Safeguarding Standards for Children and Adults at risk.</w:t>
      </w:r>
    </w:p>
    <w:p w14:paraId="4E2EBE7D" w14:textId="77777777" w:rsidR="002B1B27" w:rsidRPr="002B1B27" w:rsidRDefault="002B1B27" w:rsidP="002B1B27">
      <w:pPr>
        <w:pStyle w:val="ListParagraph"/>
        <w:ind w:left="0"/>
        <w:rPr>
          <w:lang w:val="en-US"/>
        </w:rPr>
      </w:pPr>
    </w:p>
    <w:p w14:paraId="724EADFA" w14:textId="7EF57078" w:rsidR="002B1B27" w:rsidRPr="002B1B27" w:rsidRDefault="002B1B27" w:rsidP="002B1B27">
      <w:pPr>
        <w:pStyle w:val="ListParagraph"/>
        <w:ind w:left="0"/>
        <w:rPr>
          <w:bCs/>
        </w:rPr>
      </w:pPr>
      <w:r w:rsidRPr="002B1B27">
        <w:rPr>
          <w:lang w:val="en-US"/>
        </w:rPr>
        <w:t>The Safer Recruitment and selection of Staff, and Volunteers must be robust and include appropriately the undertaking of Disclosure and Barring Scheme checks [DBS].</w:t>
      </w:r>
      <w:r w:rsidRPr="002B1B27">
        <w:t xml:space="preserve"> If these checks reveal information which would make the person unsuitable for work with children or vulnerable adults the </w:t>
      </w:r>
      <w:r w:rsidR="00BA3D8B">
        <w:t>Provider</w:t>
      </w:r>
      <w:r w:rsidRPr="002B1B27">
        <w:t xml:space="preserve"> shall not employ or otherwise use such persons in any way.</w:t>
      </w:r>
    </w:p>
    <w:p w14:paraId="4F755797" w14:textId="77777777" w:rsidR="002B1B27" w:rsidRPr="002B1B27" w:rsidRDefault="002B1B27" w:rsidP="002B1B27">
      <w:pPr>
        <w:pStyle w:val="ListParagraph"/>
        <w:ind w:left="0"/>
      </w:pPr>
    </w:p>
    <w:p w14:paraId="63AE1ACA" w14:textId="77777777" w:rsidR="002B1B27" w:rsidRPr="002B1B27" w:rsidRDefault="002B1B27" w:rsidP="002B1B27">
      <w:pPr>
        <w:pStyle w:val="ListParagraph"/>
        <w:ind w:left="0"/>
      </w:pPr>
      <w:r w:rsidRPr="002B1B27">
        <w:t xml:space="preserve">Workforce training on the prevention of abuse and safeguarding practice as well as domestic abuse must be given to all employees as a part of their induction and continued professional development.  </w:t>
      </w:r>
    </w:p>
    <w:p w14:paraId="2946968B" w14:textId="77777777" w:rsidR="002B1B27" w:rsidRPr="002B1B27" w:rsidRDefault="002B1B27" w:rsidP="002B1B27">
      <w:pPr>
        <w:pStyle w:val="ListParagraph"/>
        <w:ind w:left="0"/>
        <w:rPr>
          <w:b/>
        </w:rPr>
      </w:pPr>
    </w:p>
    <w:p w14:paraId="140A2033" w14:textId="7B4DC9CE" w:rsidR="002B1B27" w:rsidRPr="002B1B27" w:rsidRDefault="002B1B27" w:rsidP="002B1B27">
      <w:pPr>
        <w:pStyle w:val="ListParagraph"/>
        <w:ind w:left="0"/>
        <w:rPr>
          <w:b/>
        </w:rPr>
      </w:pPr>
      <w:r>
        <w:rPr>
          <w:b/>
        </w:rPr>
        <w:t xml:space="preserve">5.4 </w:t>
      </w:r>
      <w:r w:rsidRPr="002B1B27">
        <w:rPr>
          <w:b/>
        </w:rPr>
        <w:t xml:space="preserve"> Provider &amp; Named Safeguarding Lead</w:t>
      </w:r>
    </w:p>
    <w:p w14:paraId="7243EF93" w14:textId="77777777" w:rsidR="002B1B27" w:rsidRDefault="002B1B27" w:rsidP="002B1B27">
      <w:pPr>
        <w:pStyle w:val="ListParagraph"/>
        <w:ind w:left="0"/>
        <w:rPr>
          <w:b/>
          <w:lang w:val="en-US"/>
        </w:rPr>
      </w:pPr>
    </w:p>
    <w:p w14:paraId="638205DD" w14:textId="721808C8" w:rsidR="002B1B27" w:rsidRPr="002B1B27" w:rsidRDefault="002B1B27" w:rsidP="002B1B27">
      <w:pPr>
        <w:pStyle w:val="ListParagraph"/>
        <w:ind w:left="0"/>
        <w:rPr>
          <w:lang w:val="en-US"/>
        </w:rPr>
      </w:pPr>
      <w:r w:rsidRPr="002B1B27">
        <w:rPr>
          <w:lang w:val="en-US"/>
        </w:rPr>
        <w:t xml:space="preserve">The Provider will identify a named safeguarding lead. The ‘named’ safeguarding lead will have arrangements in place to ensure they are able to access enhanced safeguarding advice, support and knowledge. </w:t>
      </w:r>
    </w:p>
    <w:p w14:paraId="0E27D81D" w14:textId="77777777" w:rsidR="002B1B27" w:rsidRPr="002B1B27" w:rsidRDefault="002B1B27" w:rsidP="002B1B27">
      <w:pPr>
        <w:pStyle w:val="ListParagraph"/>
        <w:ind w:left="0"/>
        <w:rPr>
          <w:lang w:val="en-US"/>
        </w:rPr>
      </w:pPr>
    </w:p>
    <w:p w14:paraId="299A886F" w14:textId="5435884B" w:rsidR="002B1B27" w:rsidRPr="002B1B27" w:rsidRDefault="002B1B27" w:rsidP="002B1B27">
      <w:pPr>
        <w:pStyle w:val="ListParagraph"/>
        <w:ind w:left="0"/>
        <w:rPr>
          <w:lang w:val="en-US"/>
        </w:rPr>
      </w:pPr>
      <w:r w:rsidRPr="002B1B27">
        <w:rPr>
          <w:lang w:val="en-US"/>
        </w:rPr>
        <w:t xml:space="preserve">The </w:t>
      </w:r>
      <w:r>
        <w:rPr>
          <w:lang w:val="en-US"/>
        </w:rPr>
        <w:t>Providers and t</w:t>
      </w:r>
      <w:r w:rsidRPr="002B1B27">
        <w:rPr>
          <w:lang w:val="en-US"/>
        </w:rPr>
        <w:t>heir safeguarding lead must have in place:</w:t>
      </w:r>
    </w:p>
    <w:p w14:paraId="6820A7AC" w14:textId="77777777" w:rsidR="002B1B27" w:rsidRPr="002B1B27" w:rsidRDefault="002B1B27" w:rsidP="002B1B27">
      <w:pPr>
        <w:pStyle w:val="ListParagraph"/>
        <w:numPr>
          <w:ilvl w:val="0"/>
          <w:numId w:val="18"/>
        </w:numPr>
        <w:rPr>
          <w:lang w:val="en-US"/>
        </w:rPr>
      </w:pPr>
      <w:r w:rsidRPr="002B1B27">
        <w:rPr>
          <w:lang w:val="en-US"/>
        </w:rPr>
        <w:t>Clear referral and access criteria and documented pathways;</w:t>
      </w:r>
    </w:p>
    <w:p w14:paraId="296AC1F7" w14:textId="77777777" w:rsidR="002B1B27" w:rsidRPr="002B1B27" w:rsidRDefault="002B1B27" w:rsidP="002B1B27">
      <w:pPr>
        <w:pStyle w:val="ListParagraph"/>
        <w:numPr>
          <w:ilvl w:val="0"/>
          <w:numId w:val="18"/>
        </w:numPr>
        <w:rPr>
          <w:lang w:val="en-US"/>
        </w:rPr>
      </w:pPr>
      <w:r w:rsidRPr="002B1B27">
        <w:rPr>
          <w:lang w:val="en-US"/>
        </w:rPr>
        <w:t>Arrangements for the management of escalating risk;</w:t>
      </w:r>
    </w:p>
    <w:p w14:paraId="2551DD24" w14:textId="77777777" w:rsidR="002B1B27" w:rsidRPr="002B1B27" w:rsidRDefault="002B1B27" w:rsidP="002B1B27">
      <w:pPr>
        <w:pStyle w:val="ListParagraph"/>
        <w:numPr>
          <w:ilvl w:val="0"/>
          <w:numId w:val="18"/>
        </w:numPr>
        <w:rPr>
          <w:lang w:val="en-US"/>
        </w:rPr>
      </w:pPr>
      <w:r w:rsidRPr="002B1B27">
        <w:rPr>
          <w:lang w:val="en-US"/>
        </w:rPr>
        <w:t>An information sharing and confidentiality policy in place that is clear regarding when, legally, information can be shared without consent and explains service users’ rights and responsibilities;</w:t>
      </w:r>
    </w:p>
    <w:p w14:paraId="0613F987" w14:textId="77777777" w:rsidR="002B1B27" w:rsidRPr="002B1B27" w:rsidRDefault="002B1B27" w:rsidP="002B1B27">
      <w:pPr>
        <w:pStyle w:val="ListParagraph"/>
        <w:numPr>
          <w:ilvl w:val="0"/>
          <w:numId w:val="18"/>
        </w:numPr>
        <w:rPr>
          <w:lang w:val="en-US"/>
        </w:rPr>
      </w:pPr>
      <w:r w:rsidRPr="002B1B27">
        <w:rPr>
          <w:lang w:val="en-US"/>
        </w:rPr>
        <w:lastRenderedPageBreak/>
        <w:t xml:space="preserve">A risk assessment process that accounts for a history of abuse and the person’s vulnerability to abuse, including predatory behavior or sexual vulnerability </w:t>
      </w:r>
    </w:p>
    <w:p w14:paraId="7B489ED6" w14:textId="77777777" w:rsidR="002B1B27" w:rsidRPr="002B1B27" w:rsidRDefault="002B1B27" w:rsidP="002B1B27">
      <w:pPr>
        <w:pStyle w:val="ListParagraph"/>
        <w:numPr>
          <w:ilvl w:val="0"/>
          <w:numId w:val="18"/>
        </w:numPr>
        <w:rPr>
          <w:lang w:val="en-US"/>
        </w:rPr>
      </w:pPr>
      <w:r w:rsidRPr="002B1B27">
        <w:rPr>
          <w:lang w:val="en-US"/>
        </w:rPr>
        <w:t>A Quality Audit / Performance Monitoring system for safeguarding activity, that complies with contract and safeguarding performance reporting / monitoring requirements</w:t>
      </w:r>
    </w:p>
    <w:p w14:paraId="3B76C91E" w14:textId="2C027D44" w:rsidR="002B1B27" w:rsidRPr="002B1B27" w:rsidRDefault="002B1B27" w:rsidP="002B1B27">
      <w:pPr>
        <w:pStyle w:val="ListParagraph"/>
        <w:numPr>
          <w:ilvl w:val="0"/>
          <w:numId w:val="18"/>
        </w:numPr>
        <w:rPr>
          <w:lang w:val="en-US"/>
        </w:rPr>
      </w:pPr>
      <w:r w:rsidRPr="002B1B27">
        <w:rPr>
          <w:lang w:val="en-US"/>
        </w:rPr>
        <w:t>A clear process for reporting and managing allegations in relation to a member of staff or volunteer.</w:t>
      </w:r>
      <w:r w:rsidRPr="002B1B27">
        <w:rPr>
          <w:b/>
          <w:lang w:val="en-US"/>
        </w:rPr>
        <w:t xml:space="preserve"> </w:t>
      </w:r>
    </w:p>
    <w:p w14:paraId="570E4862" w14:textId="77777777" w:rsidR="002B1B27" w:rsidRPr="002B1B27" w:rsidRDefault="002B1B27" w:rsidP="002B1B27">
      <w:pPr>
        <w:pStyle w:val="ListParagraph"/>
        <w:ind w:left="0"/>
        <w:rPr>
          <w:b/>
          <w:lang w:val="en-US"/>
        </w:rPr>
      </w:pPr>
    </w:p>
    <w:p w14:paraId="59FBB230" w14:textId="4873FF28" w:rsidR="002B1B27" w:rsidRPr="002B1B27" w:rsidRDefault="002B1B27" w:rsidP="002B1B27">
      <w:pPr>
        <w:pStyle w:val="ListParagraph"/>
        <w:ind w:left="0"/>
        <w:rPr>
          <w:lang w:val="en-US"/>
        </w:rPr>
      </w:pPr>
      <w:r w:rsidRPr="002B1B27">
        <w:rPr>
          <w:lang w:val="en-US"/>
        </w:rPr>
        <w:t xml:space="preserve">The Provider must immediately notify the Commissioner of any improper conduct by any of its staff or by one service user towards another, in connection with any part of this contract. </w:t>
      </w:r>
    </w:p>
    <w:p w14:paraId="27EFCC6E" w14:textId="77777777" w:rsidR="002B1B27" w:rsidRPr="002B1B27" w:rsidRDefault="002B1B27" w:rsidP="002B1B27">
      <w:pPr>
        <w:pStyle w:val="ListParagraph"/>
        <w:ind w:left="0"/>
        <w:rPr>
          <w:lang w:val="en-US"/>
        </w:rPr>
      </w:pPr>
    </w:p>
    <w:p w14:paraId="35826E81" w14:textId="77777777" w:rsidR="002B1B27" w:rsidRPr="002B1B27" w:rsidRDefault="002B1B27" w:rsidP="002B1B27">
      <w:pPr>
        <w:pStyle w:val="ListParagraph"/>
        <w:ind w:left="0"/>
        <w:rPr>
          <w:i/>
          <w:iCs/>
          <w:lang w:val="en-US"/>
        </w:rPr>
      </w:pPr>
      <w:r w:rsidRPr="002B1B27">
        <w:rPr>
          <w:i/>
          <w:iCs/>
          <w:lang w:val="en-US"/>
        </w:rPr>
        <w:t>Note examples of improper conduct of staff or Volunteers include:</w:t>
      </w:r>
    </w:p>
    <w:p w14:paraId="1C1D0CA5" w14:textId="77777777" w:rsidR="002B1B27" w:rsidRPr="002B1B27" w:rsidRDefault="002B1B27" w:rsidP="002B1B27">
      <w:pPr>
        <w:pStyle w:val="ListParagraph"/>
        <w:numPr>
          <w:ilvl w:val="0"/>
          <w:numId w:val="14"/>
        </w:numPr>
        <w:ind w:left="720"/>
        <w:rPr>
          <w:i/>
          <w:iCs/>
        </w:rPr>
      </w:pPr>
      <w:r w:rsidRPr="002B1B27">
        <w:rPr>
          <w:i/>
          <w:iCs/>
        </w:rPr>
        <w:t xml:space="preserve">Neglect / Acts of Omission / </w:t>
      </w:r>
      <w:proofErr w:type="spellStart"/>
      <w:r w:rsidRPr="002B1B27">
        <w:rPr>
          <w:i/>
          <w:iCs/>
        </w:rPr>
        <w:t>self Neglect</w:t>
      </w:r>
      <w:proofErr w:type="spellEnd"/>
      <w:r w:rsidRPr="002B1B27">
        <w:rPr>
          <w:i/>
          <w:iCs/>
        </w:rPr>
        <w:t xml:space="preserve"> - Causing harm by failing to meet needs e.g. ignoring physical or medical care needs, withholding food, medicines, failure to provide adequate supervision </w:t>
      </w:r>
    </w:p>
    <w:p w14:paraId="0017ADD4" w14:textId="77777777" w:rsidR="002B1B27" w:rsidRPr="002B1B27" w:rsidRDefault="002B1B27" w:rsidP="002B1B27">
      <w:pPr>
        <w:pStyle w:val="ListParagraph"/>
        <w:numPr>
          <w:ilvl w:val="0"/>
          <w:numId w:val="14"/>
        </w:numPr>
        <w:ind w:left="720"/>
        <w:rPr>
          <w:i/>
          <w:iCs/>
        </w:rPr>
      </w:pPr>
      <w:r w:rsidRPr="002B1B27">
        <w:rPr>
          <w:i/>
          <w:iCs/>
        </w:rPr>
        <w:t>Physical - Hitting, pushing, slapping, and using inappropriate physical restraint, burning, drowning, and suffocating, with holding medical care, feigning the symptoms of ill health or deliberately causing ill health.</w:t>
      </w:r>
    </w:p>
    <w:p w14:paraId="35F6AE79" w14:textId="77777777" w:rsidR="002B1B27" w:rsidRPr="002B1B27" w:rsidRDefault="002B1B27" w:rsidP="002B1B27">
      <w:pPr>
        <w:pStyle w:val="ListParagraph"/>
        <w:numPr>
          <w:ilvl w:val="0"/>
          <w:numId w:val="14"/>
        </w:numPr>
        <w:ind w:left="720"/>
        <w:rPr>
          <w:i/>
          <w:iCs/>
        </w:rPr>
      </w:pPr>
      <w:r w:rsidRPr="002B1B27">
        <w:rPr>
          <w:i/>
          <w:iCs/>
        </w:rPr>
        <w:t>Sexual - Sexual activity of any kind where the vulnerable person does not or is not able to give consent.</w:t>
      </w:r>
    </w:p>
    <w:p w14:paraId="5A71F7B5" w14:textId="77777777" w:rsidR="002B1B27" w:rsidRPr="002B1B27" w:rsidRDefault="002B1B27" w:rsidP="002B1B27">
      <w:pPr>
        <w:pStyle w:val="ListParagraph"/>
        <w:numPr>
          <w:ilvl w:val="0"/>
          <w:numId w:val="14"/>
        </w:numPr>
        <w:ind w:left="720"/>
        <w:rPr>
          <w:i/>
          <w:iCs/>
        </w:rPr>
      </w:pPr>
      <w:r w:rsidRPr="002B1B27">
        <w:rPr>
          <w:i/>
          <w:iCs/>
        </w:rPr>
        <w:t>Psychological - Including verbal abuse, humiliation, bullying and harassment. Persistent emotional ill treatment, cyber-bullying, seeing or hearing the ill-treatment of others, Domestic Abuse (see the below section)</w:t>
      </w:r>
    </w:p>
    <w:p w14:paraId="594F478D" w14:textId="77777777" w:rsidR="002B1B27" w:rsidRPr="002B1B27" w:rsidRDefault="002B1B27" w:rsidP="002B1B27">
      <w:pPr>
        <w:pStyle w:val="ListParagraph"/>
        <w:numPr>
          <w:ilvl w:val="0"/>
          <w:numId w:val="14"/>
        </w:numPr>
        <w:ind w:left="720"/>
        <w:rPr>
          <w:i/>
          <w:iCs/>
        </w:rPr>
      </w:pPr>
      <w:r w:rsidRPr="002B1B27">
        <w:rPr>
          <w:i/>
          <w:iCs/>
        </w:rPr>
        <w:t>Discriminatory abuse - Treating a person in a way which does not respect their race, religion, sex, disability, culture, ethnicity or sexuality.</w:t>
      </w:r>
    </w:p>
    <w:p w14:paraId="22D73407" w14:textId="77777777" w:rsidR="002B1B27" w:rsidRPr="002B1B27" w:rsidRDefault="002B1B27" w:rsidP="002B1B27">
      <w:pPr>
        <w:pStyle w:val="ListParagraph"/>
        <w:numPr>
          <w:ilvl w:val="0"/>
          <w:numId w:val="14"/>
        </w:numPr>
        <w:ind w:left="720"/>
        <w:rPr>
          <w:i/>
          <w:iCs/>
        </w:rPr>
      </w:pPr>
      <w:r w:rsidRPr="002B1B27">
        <w:rPr>
          <w:i/>
          <w:iCs/>
        </w:rPr>
        <w:t>Organisational abuse - Where routines and rules make a person alter his/her lifestyle and culture to fit in with the institution.</w:t>
      </w:r>
    </w:p>
    <w:p w14:paraId="04B3E54A" w14:textId="77777777" w:rsidR="002B1B27" w:rsidRPr="002B1B27" w:rsidRDefault="002B1B27" w:rsidP="002B1B27">
      <w:pPr>
        <w:pStyle w:val="ListParagraph"/>
        <w:numPr>
          <w:ilvl w:val="0"/>
          <w:numId w:val="14"/>
        </w:numPr>
        <w:ind w:left="720"/>
        <w:rPr>
          <w:i/>
          <w:iCs/>
        </w:rPr>
      </w:pPr>
      <w:r w:rsidRPr="002B1B27">
        <w:rPr>
          <w:i/>
          <w:iCs/>
        </w:rPr>
        <w:t>Financial - Taking money and/or property without permission. Using pressure to control a person’s money/property/ benefits. Taking or offering any financial inducements.</w:t>
      </w:r>
    </w:p>
    <w:p w14:paraId="586C5A2F" w14:textId="77777777" w:rsidR="002B1B27" w:rsidRPr="002B1B27" w:rsidRDefault="002B1B27" w:rsidP="002B1B27">
      <w:pPr>
        <w:pStyle w:val="ListParagraph"/>
        <w:numPr>
          <w:ilvl w:val="0"/>
          <w:numId w:val="14"/>
        </w:numPr>
        <w:ind w:left="720"/>
        <w:rPr>
          <w:i/>
          <w:iCs/>
        </w:rPr>
      </w:pPr>
      <w:r w:rsidRPr="002B1B27">
        <w:rPr>
          <w:i/>
          <w:iCs/>
          <w:lang w:val="en-US"/>
        </w:rPr>
        <w:t xml:space="preserve">Modern Slavery / Trafficking – </w:t>
      </w:r>
      <w:r w:rsidRPr="002B1B27">
        <w:t>Smuggling is defined as the facilitation of entry to the UK either secretly or by deception (whether for profit or otherwise). Trafficking involves the transportation of persons in the UK in order to exploit them by the use of force, violence, deception, intimidation, coercion or abuse of their vulnerability.</w:t>
      </w:r>
    </w:p>
    <w:p w14:paraId="4FCCB4A9" w14:textId="77777777" w:rsidR="002B1B27" w:rsidRPr="002B1B27" w:rsidRDefault="002B1B27" w:rsidP="002B1B27">
      <w:pPr>
        <w:pStyle w:val="ListParagraph"/>
        <w:numPr>
          <w:ilvl w:val="0"/>
          <w:numId w:val="14"/>
        </w:numPr>
        <w:ind w:left="720"/>
        <w:rPr>
          <w:i/>
          <w:iCs/>
        </w:rPr>
      </w:pPr>
      <w:r w:rsidRPr="002B1B27">
        <w:rPr>
          <w:bCs/>
          <w:i/>
          <w:iCs/>
          <w:lang w:val="en-US"/>
        </w:rPr>
        <w:t xml:space="preserve">Radicalisation - </w:t>
      </w:r>
      <w:r w:rsidRPr="002B1B27">
        <w:rPr>
          <w:i/>
        </w:rPr>
        <w:t>is a process by which an individual or group comes to adopt increasingly extreme political, social, or religious ideals and aspirations that (1) reject or undermine the status quo or (2) reject and/or undermine contemporary ideas and expressions of freedom of choice.</w:t>
      </w:r>
    </w:p>
    <w:p w14:paraId="7B3B8D56" w14:textId="77777777" w:rsidR="002B1B27" w:rsidRPr="002B1B27" w:rsidRDefault="002B1B27" w:rsidP="002B1B27">
      <w:pPr>
        <w:pStyle w:val="ListParagraph"/>
        <w:ind w:left="0"/>
        <w:rPr>
          <w:b/>
          <w:lang w:val="en-US"/>
        </w:rPr>
      </w:pPr>
    </w:p>
    <w:p w14:paraId="36AA0332" w14:textId="77777777" w:rsidR="002B1B27" w:rsidRPr="002B1B27" w:rsidRDefault="002B1B27" w:rsidP="002B1B27">
      <w:pPr>
        <w:pStyle w:val="ListParagraph"/>
        <w:ind w:left="0"/>
        <w:rPr>
          <w:lang w:val="en-US"/>
        </w:rPr>
      </w:pPr>
      <w:r w:rsidRPr="002B1B27">
        <w:rPr>
          <w:lang w:val="en-US"/>
        </w:rPr>
        <w:t xml:space="preserve">Any staff member who is the subject of allegations must be suspended from providing any services under this contract until the matter is resolved to the satisfaction of the Commissioner. Where appropriate a report should be made to the local authority – for those working with children and young people to the LADO [Local Authority Designated Officer]. </w:t>
      </w:r>
    </w:p>
    <w:p w14:paraId="33495EAB" w14:textId="77777777" w:rsidR="002B1B27" w:rsidRPr="002B1B27" w:rsidRDefault="002B1B27" w:rsidP="002B1B27">
      <w:pPr>
        <w:pStyle w:val="ListParagraph"/>
        <w:ind w:left="0"/>
        <w:rPr>
          <w:b/>
          <w:iCs/>
        </w:rPr>
      </w:pPr>
    </w:p>
    <w:p w14:paraId="20C1A73B" w14:textId="1C06C840" w:rsidR="002B1B27" w:rsidRPr="002B1B27" w:rsidRDefault="002B1B27" w:rsidP="002B1B27">
      <w:pPr>
        <w:pStyle w:val="ListParagraph"/>
        <w:ind w:left="0"/>
        <w:rPr>
          <w:iCs/>
        </w:rPr>
      </w:pPr>
      <w:r w:rsidRPr="002B1B27">
        <w:rPr>
          <w:iCs/>
        </w:rPr>
        <w:t xml:space="preserve">The Provider will ensure that they have mechanisms in place to fulfil their duty with regard to the Independent Safeguarding Authority where they have dismissed an individual, or an individual has </w:t>
      </w:r>
      <w:r w:rsidRPr="002B1B27">
        <w:rPr>
          <w:iCs/>
        </w:rPr>
        <w:lastRenderedPageBreak/>
        <w:t xml:space="preserve">resigned, because they harmed or may harm a vulnerable person. Consideration of subsequent reporting to professional registering bodies will also be needed e.g. GMC, NMC. </w:t>
      </w:r>
    </w:p>
    <w:p w14:paraId="4039457F" w14:textId="77777777" w:rsidR="002B1B27" w:rsidRPr="002B1B27" w:rsidRDefault="002B1B27" w:rsidP="002B1B27">
      <w:pPr>
        <w:pStyle w:val="ListParagraph"/>
        <w:ind w:left="0"/>
        <w:rPr>
          <w:b/>
          <w:i/>
          <w:iCs/>
        </w:rPr>
      </w:pPr>
    </w:p>
    <w:p w14:paraId="702BE26A" w14:textId="3DD271D3" w:rsidR="002B1B27" w:rsidRPr="002B1B27" w:rsidRDefault="002B1B27" w:rsidP="002B1B27">
      <w:pPr>
        <w:pStyle w:val="ListParagraph"/>
        <w:ind w:left="0"/>
        <w:rPr>
          <w:b/>
          <w:iCs/>
        </w:rPr>
      </w:pPr>
      <w:r>
        <w:rPr>
          <w:b/>
          <w:bCs/>
          <w:iCs/>
        </w:rPr>
        <w:t>5.</w:t>
      </w:r>
      <w:r w:rsidRPr="002B1B27">
        <w:rPr>
          <w:b/>
          <w:bCs/>
          <w:iCs/>
        </w:rPr>
        <w:t>5</w:t>
      </w:r>
      <w:r>
        <w:rPr>
          <w:b/>
          <w:bCs/>
          <w:iCs/>
        </w:rPr>
        <w:t xml:space="preserve"> </w:t>
      </w:r>
      <w:r w:rsidRPr="002B1B27">
        <w:rPr>
          <w:b/>
          <w:bCs/>
          <w:iCs/>
        </w:rPr>
        <w:t>Domestic Abuse and Sexual Violence</w:t>
      </w:r>
    </w:p>
    <w:p w14:paraId="4D6583EB" w14:textId="77777777" w:rsidR="002B1B27" w:rsidRDefault="002B1B27" w:rsidP="002B1B27">
      <w:pPr>
        <w:pStyle w:val="ListParagraph"/>
        <w:ind w:left="0"/>
        <w:rPr>
          <w:b/>
          <w:iCs/>
        </w:rPr>
      </w:pPr>
    </w:p>
    <w:p w14:paraId="5E99EF12" w14:textId="77777777" w:rsidR="002B1B27" w:rsidRPr="0044663A" w:rsidRDefault="002B1B27" w:rsidP="002B1B27">
      <w:pPr>
        <w:pStyle w:val="ListParagraph"/>
        <w:ind w:left="0"/>
        <w:rPr>
          <w:iCs/>
        </w:rPr>
      </w:pPr>
      <w:r w:rsidRPr="0044663A">
        <w:rPr>
          <w:iCs/>
        </w:rPr>
        <w:t xml:space="preserve">Domestic Abuse is defined by the Home Office as </w:t>
      </w:r>
    </w:p>
    <w:p w14:paraId="52757B67" w14:textId="77777777" w:rsidR="002B1B27" w:rsidRPr="0044663A" w:rsidRDefault="002B1B27" w:rsidP="002B1B27">
      <w:pPr>
        <w:pStyle w:val="ListParagraph"/>
        <w:ind w:left="0"/>
        <w:rPr>
          <w:i/>
          <w:iCs/>
        </w:rPr>
      </w:pPr>
      <w:r w:rsidRPr="0044663A">
        <w:rPr>
          <w:i/>
          <w:iCs/>
        </w:rPr>
        <w:t xml:space="preserve">‘Any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psychological, physical, sexual, financial, and emotional’. </w:t>
      </w:r>
    </w:p>
    <w:p w14:paraId="4AB797C8" w14:textId="77777777" w:rsidR="002B1B27" w:rsidRPr="0044663A" w:rsidRDefault="002B1B27" w:rsidP="002B1B27">
      <w:pPr>
        <w:pStyle w:val="ListParagraph"/>
        <w:ind w:left="0"/>
        <w:rPr>
          <w:i/>
          <w:iCs/>
        </w:rPr>
      </w:pPr>
    </w:p>
    <w:p w14:paraId="000BED8C" w14:textId="0FDCE29C" w:rsidR="002B1B27" w:rsidRPr="0044663A" w:rsidRDefault="002B1B27" w:rsidP="002B1B27">
      <w:pPr>
        <w:pStyle w:val="ListParagraph"/>
        <w:ind w:left="0"/>
        <w:rPr>
          <w:iCs/>
        </w:rPr>
      </w:pPr>
      <w:r w:rsidRPr="0044663A">
        <w:rPr>
          <w:iCs/>
        </w:rPr>
        <w:t>The Provider will recognise the linkages to their service delivery and practice of those they support who are subject to domestic violence, including harm caused to</w:t>
      </w:r>
      <w:r w:rsidRPr="0044663A">
        <w:t xml:space="preserve"> </w:t>
      </w:r>
      <w:r w:rsidRPr="0044663A">
        <w:rPr>
          <w:iCs/>
        </w:rPr>
        <w:t xml:space="preserve">primary victims and to their children. It is essential that the </w:t>
      </w:r>
      <w:r w:rsidR="00BA3D8B">
        <w:rPr>
          <w:iCs/>
        </w:rPr>
        <w:t>Provider</w:t>
      </w:r>
      <w:r w:rsidRPr="0044663A">
        <w:rPr>
          <w:iCs/>
        </w:rPr>
        <w:t xml:space="preserve"> ensures the safeguarding lead has oversight of domestic and sexual violence also. This will ensure a clear single point of contact for all safeguarding matters with wider system partners. </w:t>
      </w:r>
    </w:p>
    <w:p w14:paraId="0046A7E1" w14:textId="77777777" w:rsidR="002B1B27" w:rsidRPr="0044663A" w:rsidRDefault="002B1B27" w:rsidP="002B1B27">
      <w:pPr>
        <w:pStyle w:val="ListParagraph"/>
        <w:ind w:left="0"/>
        <w:rPr>
          <w:iCs/>
        </w:rPr>
      </w:pPr>
    </w:p>
    <w:p w14:paraId="64A4C024" w14:textId="2ACB2A19" w:rsidR="002B1B27" w:rsidRPr="0044663A" w:rsidRDefault="002B1B27" w:rsidP="002B1B27">
      <w:pPr>
        <w:pStyle w:val="ListParagraph"/>
        <w:ind w:left="0"/>
        <w:rPr>
          <w:iCs/>
        </w:rPr>
      </w:pPr>
      <w:r w:rsidRPr="0044663A">
        <w:rPr>
          <w:iCs/>
        </w:rPr>
        <w:t xml:space="preserve">The Provider is expected to engage with the Domestic Abuse Partnership and Multi Agency Risk Assessment Conference [MARAC] where the safety of those at high risk is co-ordinated across agencies. </w:t>
      </w:r>
    </w:p>
    <w:p w14:paraId="4A82A729" w14:textId="77777777" w:rsidR="002B1B27" w:rsidRPr="0044663A" w:rsidRDefault="002B1B27" w:rsidP="002B1B27">
      <w:pPr>
        <w:pStyle w:val="ListParagraph"/>
        <w:ind w:left="0"/>
        <w:rPr>
          <w:iCs/>
        </w:rPr>
      </w:pPr>
    </w:p>
    <w:p w14:paraId="1F6C0C55" w14:textId="465F6817" w:rsidR="002B1B27" w:rsidRPr="0044663A" w:rsidRDefault="002B1B27" w:rsidP="002B1B27">
      <w:pPr>
        <w:pStyle w:val="ListParagraph"/>
        <w:ind w:left="0"/>
        <w:rPr>
          <w:iCs/>
        </w:rPr>
      </w:pPr>
      <w:r w:rsidRPr="0044663A">
        <w:rPr>
          <w:iCs/>
        </w:rPr>
        <w:t xml:space="preserve">There is a requirement that </w:t>
      </w:r>
      <w:r w:rsidR="00BA3D8B">
        <w:rPr>
          <w:iCs/>
        </w:rPr>
        <w:t>the Provider</w:t>
      </w:r>
      <w:r w:rsidRPr="0044663A">
        <w:rPr>
          <w:iCs/>
        </w:rPr>
        <w:t xml:space="preserve"> use</w:t>
      </w:r>
      <w:r w:rsidR="00BA3D8B">
        <w:rPr>
          <w:iCs/>
        </w:rPr>
        <w:t>s</w:t>
      </w:r>
      <w:r w:rsidRPr="0044663A">
        <w:rPr>
          <w:iCs/>
        </w:rPr>
        <w:t xml:space="preserve"> the CAADA-DASH RIC [Risk Identification Checklist], and refers on to MARAC for those at high risk and or supports access to specialist support for lower risk victims as appropriate.</w:t>
      </w:r>
    </w:p>
    <w:p w14:paraId="1153B31A" w14:textId="77777777" w:rsidR="002B1B27" w:rsidRPr="0044663A" w:rsidRDefault="002B1B27" w:rsidP="002B1B27">
      <w:pPr>
        <w:pStyle w:val="ListParagraph"/>
        <w:ind w:left="0"/>
        <w:rPr>
          <w:iCs/>
        </w:rPr>
      </w:pPr>
    </w:p>
    <w:p w14:paraId="0F21E589" w14:textId="60F5AE4E" w:rsidR="002B1B27" w:rsidRPr="0044663A" w:rsidRDefault="002B1B27" w:rsidP="002B1B27">
      <w:pPr>
        <w:pStyle w:val="ListParagraph"/>
        <w:ind w:left="0"/>
        <w:rPr>
          <w:iCs/>
        </w:rPr>
      </w:pPr>
      <w:r w:rsidRPr="0044663A">
        <w:rPr>
          <w:iCs/>
        </w:rPr>
        <w:t xml:space="preserve">The Provider will promote specialist service access for staff, communities and families through the 24/7 Domestic Abuse Hub so that specialist support can be offered at the earliest indications of abuse. </w:t>
      </w:r>
    </w:p>
    <w:p w14:paraId="530AB2CD" w14:textId="77777777" w:rsidR="002B1B27" w:rsidRPr="0044663A" w:rsidRDefault="002B1B27" w:rsidP="002B1B27">
      <w:pPr>
        <w:pStyle w:val="ListParagraph"/>
        <w:ind w:left="0"/>
        <w:rPr>
          <w:iCs/>
        </w:rPr>
      </w:pPr>
    </w:p>
    <w:p w14:paraId="226F6547" w14:textId="37D58D37" w:rsidR="002B1B27" w:rsidRPr="0044663A" w:rsidRDefault="002B1B27" w:rsidP="002B1B27">
      <w:pPr>
        <w:pStyle w:val="ListParagraph"/>
        <w:ind w:left="0"/>
        <w:rPr>
          <w:iCs/>
        </w:rPr>
      </w:pPr>
      <w:r w:rsidRPr="0044663A">
        <w:rPr>
          <w:iCs/>
        </w:rPr>
        <w:t xml:space="preserve">The Provider will be particularly attentive to the links between domestic abuse, mental ill health and substance misuse and seek to be involved in integrated responses so that families experience co-ordinated interventions and support, particularly where these issues constitute risks to children. </w:t>
      </w:r>
    </w:p>
    <w:p w14:paraId="16975877" w14:textId="77777777" w:rsidR="002B1B27" w:rsidRPr="0044663A" w:rsidRDefault="002B1B27" w:rsidP="002B1B27">
      <w:pPr>
        <w:pStyle w:val="ListParagraph"/>
        <w:ind w:left="0"/>
        <w:rPr>
          <w:iCs/>
        </w:rPr>
      </w:pPr>
    </w:p>
    <w:p w14:paraId="268D2A96" w14:textId="43C3D462" w:rsidR="002B1B27" w:rsidRPr="0044663A" w:rsidRDefault="002B1B27" w:rsidP="002B1B27">
      <w:pPr>
        <w:pStyle w:val="ListParagraph"/>
        <w:ind w:left="0"/>
        <w:rPr>
          <w:iCs/>
        </w:rPr>
      </w:pPr>
      <w:r w:rsidRPr="0044663A">
        <w:rPr>
          <w:iCs/>
        </w:rPr>
        <w:t xml:space="preserve">The Provider will always consider the potential risks to children caused by domestic abuse and other adult issues and follow their safeguarding procedures as a priority. </w:t>
      </w:r>
    </w:p>
    <w:p w14:paraId="1972EFCF" w14:textId="77777777" w:rsidR="0044663A" w:rsidRPr="0044663A" w:rsidRDefault="0044663A" w:rsidP="002B1B27">
      <w:pPr>
        <w:pStyle w:val="ListParagraph"/>
        <w:ind w:left="0"/>
        <w:rPr>
          <w:iCs/>
        </w:rPr>
      </w:pPr>
    </w:p>
    <w:p w14:paraId="10A79583" w14:textId="128CB880" w:rsidR="002B1B27" w:rsidRPr="0044663A" w:rsidRDefault="0044663A" w:rsidP="002B1B27">
      <w:pPr>
        <w:pStyle w:val="ListParagraph"/>
        <w:ind w:left="0"/>
        <w:rPr>
          <w:iCs/>
        </w:rPr>
      </w:pPr>
      <w:r w:rsidRPr="0044663A">
        <w:rPr>
          <w:iCs/>
        </w:rPr>
        <w:t>The Provider</w:t>
      </w:r>
      <w:r w:rsidR="002B1B27" w:rsidRPr="0044663A">
        <w:rPr>
          <w:iCs/>
        </w:rPr>
        <w:t xml:space="preserve"> will promote pathways to sexual abuse support services including the Sexual Assault Referral Centre a</w:t>
      </w:r>
      <w:r w:rsidR="00BA3D8B">
        <w:rPr>
          <w:iCs/>
        </w:rPr>
        <w:t>nd the commissioned aftercare Provider</w:t>
      </w:r>
      <w:r w:rsidR="002B1B27" w:rsidRPr="0044663A">
        <w:rPr>
          <w:iCs/>
        </w:rPr>
        <w:t xml:space="preserve">. </w:t>
      </w:r>
      <w:r w:rsidRPr="0044663A">
        <w:rPr>
          <w:iCs/>
        </w:rPr>
        <w:t>The Provider is</w:t>
      </w:r>
      <w:r w:rsidR="002B1B27" w:rsidRPr="0044663A">
        <w:rPr>
          <w:iCs/>
        </w:rPr>
        <w:t xml:space="preserve"> expected to be knowledgeable about sexual violence and exploitation and the appropriate referral pathways for children and adults. Specialist support services for sexual violence are commissioned at sub regional level, and include the Sexual Assault Referral Centre (SARC) at St Marys Hospital in Manchester and the Rape and Sexual Abuse Support Centre (RSASC). While support is commissioned at a pan Cheshire level support services are delivered locally in bases accessible by victims.</w:t>
      </w:r>
    </w:p>
    <w:p w14:paraId="79F07986" w14:textId="77777777" w:rsidR="0044663A" w:rsidRPr="0044663A" w:rsidRDefault="0044663A" w:rsidP="002B1B27">
      <w:pPr>
        <w:pStyle w:val="ListParagraph"/>
        <w:ind w:left="0"/>
        <w:rPr>
          <w:iCs/>
        </w:rPr>
      </w:pPr>
    </w:p>
    <w:p w14:paraId="081F6DFA" w14:textId="44BB70C8" w:rsidR="002B1B27" w:rsidRPr="0044663A" w:rsidRDefault="002B1B27" w:rsidP="002B1B27">
      <w:pPr>
        <w:pStyle w:val="ListParagraph"/>
        <w:ind w:left="0"/>
        <w:rPr>
          <w:iCs/>
        </w:rPr>
      </w:pPr>
      <w:r w:rsidRPr="0044663A">
        <w:rPr>
          <w:iCs/>
        </w:rPr>
        <w:lastRenderedPageBreak/>
        <w:t xml:space="preserve">It is known that those who are abused and those who abuse will also be among the service user group and the </w:t>
      </w:r>
      <w:r w:rsidR="00BA3D8B">
        <w:rPr>
          <w:iCs/>
        </w:rPr>
        <w:t>Provider</w:t>
      </w:r>
      <w:r w:rsidRPr="0044663A">
        <w:rPr>
          <w:iCs/>
        </w:rPr>
        <w:t xml:space="preserve"> must take all steps to support staff in their work with service users. The </w:t>
      </w:r>
      <w:proofErr w:type="spellStart"/>
      <w:r w:rsidR="0044663A" w:rsidRPr="0044663A">
        <w:rPr>
          <w:iCs/>
        </w:rPr>
        <w:t>The</w:t>
      </w:r>
      <w:proofErr w:type="spellEnd"/>
      <w:r w:rsidR="0044663A" w:rsidRPr="0044663A">
        <w:rPr>
          <w:iCs/>
        </w:rPr>
        <w:t xml:space="preserve"> Provider</w:t>
      </w:r>
      <w:r w:rsidRPr="0044663A">
        <w:rPr>
          <w:iCs/>
        </w:rPr>
        <w:t xml:space="preserve"> will also recognise that staff may be personally affected by domestic abuse and this will be accounted for in their own HR policies. </w:t>
      </w:r>
    </w:p>
    <w:p w14:paraId="4572ACF2" w14:textId="77777777" w:rsidR="0044663A" w:rsidRPr="0044663A" w:rsidRDefault="0044663A" w:rsidP="002B1B27">
      <w:pPr>
        <w:pStyle w:val="ListParagraph"/>
        <w:ind w:left="0"/>
        <w:rPr>
          <w:iCs/>
        </w:rPr>
      </w:pPr>
    </w:p>
    <w:p w14:paraId="38CAC9D1" w14:textId="6C957903" w:rsidR="002B1B27" w:rsidRPr="0044663A" w:rsidRDefault="002B1B27" w:rsidP="002B1B27">
      <w:pPr>
        <w:pStyle w:val="ListParagraph"/>
        <w:ind w:left="0"/>
        <w:rPr>
          <w:i/>
          <w:iCs/>
        </w:rPr>
      </w:pPr>
      <w:r w:rsidRPr="0044663A">
        <w:rPr>
          <w:iCs/>
        </w:rPr>
        <w:t>The</w:t>
      </w:r>
      <w:r w:rsidR="0044663A" w:rsidRPr="0044663A">
        <w:rPr>
          <w:iCs/>
        </w:rPr>
        <w:t xml:space="preserve"> Providers </w:t>
      </w:r>
      <w:r w:rsidRPr="0044663A">
        <w:rPr>
          <w:iCs/>
        </w:rPr>
        <w:t>practice approach must include support to those who are harmed and</w:t>
      </w:r>
      <w:r w:rsidRPr="0044663A">
        <w:rPr>
          <w:i/>
          <w:iCs/>
        </w:rPr>
        <w:t xml:space="preserve"> </w:t>
      </w:r>
      <w:r w:rsidRPr="0044663A">
        <w:rPr>
          <w:iCs/>
        </w:rPr>
        <w:t>accountability for those who harm others including promoting the use of criminal sanctions and voluntary change programmes.</w:t>
      </w:r>
      <w:r w:rsidRPr="0044663A">
        <w:rPr>
          <w:i/>
          <w:iCs/>
        </w:rPr>
        <w:t xml:space="preserve"> </w:t>
      </w:r>
    </w:p>
    <w:p w14:paraId="56AD2107" w14:textId="77777777" w:rsidR="002B1B27" w:rsidRPr="002B1B27" w:rsidRDefault="002B1B27" w:rsidP="002B1B27">
      <w:pPr>
        <w:pStyle w:val="ListParagraph"/>
        <w:ind w:left="360"/>
        <w:rPr>
          <w:b/>
        </w:rPr>
      </w:pPr>
    </w:p>
    <w:p w14:paraId="2078CEE0" w14:textId="7B517258" w:rsidR="001219F8" w:rsidRPr="001219F8" w:rsidRDefault="001219F8" w:rsidP="001219F8">
      <w:pPr>
        <w:pStyle w:val="ListParagraph"/>
        <w:numPr>
          <w:ilvl w:val="0"/>
          <w:numId w:val="10"/>
        </w:numPr>
        <w:ind w:left="284" w:hanging="284"/>
        <w:rPr>
          <w:b/>
        </w:rPr>
      </w:pPr>
      <w:r w:rsidRPr="001219F8">
        <w:rPr>
          <w:b/>
        </w:rPr>
        <w:t xml:space="preserve">Communication &amp; Marketing </w:t>
      </w:r>
    </w:p>
    <w:p w14:paraId="3AC1A655" w14:textId="5C8922B1" w:rsidR="001219F8" w:rsidRPr="001219F8" w:rsidRDefault="001219F8" w:rsidP="001219F8">
      <w:pPr>
        <w:numPr>
          <w:ilvl w:val="0"/>
          <w:numId w:val="19"/>
        </w:numPr>
      </w:pPr>
      <w:r w:rsidRPr="001219F8">
        <w:t>The Provider will ensure proactive and innovative approaches to marketing and communications with all stakeholders to provide information &amp; advice and ensure social marketing is maximised and behaviour change secured within Cheshire East</w:t>
      </w:r>
    </w:p>
    <w:p w14:paraId="3216E0D3" w14:textId="77777777" w:rsidR="001219F8" w:rsidRPr="001219F8" w:rsidRDefault="001219F8" w:rsidP="001219F8">
      <w:pPr>
        <w:numPr>
          <w:ilvl w:val="0"/>
          <w:numId w:val="19"/>
        </w:numPr>
      </w:pPr>
      <w:r w:rsidRPr="001219F8">
        <w:t>Communication methods and materials need to be suitable for a variety of audiences – children, young people, adults, families, parents, partners, carers, professionals, general public, businesses – providing timely and straight forward information and guidance accounting for language and a range of literacy levels</w:t>
      </w:r>
    </w:p>
    <w:p w14:paraId="32BBBF3E" w14:textId="77777777" w:rsidR="001219F8" w:rsidRPr="001219F8" w:rsidRDefault="001219F8" w:rsidP="001219F8">
      <w:pPr>
        <w:numPr>
          <w:ilvl w:val="0"/>
          <w:numId w:val="19"/>
        </w:numPr>
      </w:pPr>
      <w:r w:rsidRPr="001219F8">
        <w:t>Communication materials will be current / dated and reviewed quarterly to assure the commissioner that they represent an accurate picture of the sexual health services in Cheshire East</w:t>
      </w:r>
    </w:p>
    <w:p w14:paraId="67A47707" w14:textId="6862496D" w:rsidR="001219F8" w:rsidRPr="001219F8" w:rsidRDefault="001219F8" w:rsidP="001219F8">
      <w:pPr>
        <w:numPr>
          <w:ilvl w:val="0"/>
          <w:numId w:val="19"/>
        </w:numPr>
      </w:pPr>
      <w:r w:rsidRPr="001219F8">
        <w:t xml:space="preserve">The marketing strategy will be reviewed annually to ensure approaches’ are current and in line with evidence based practice in achieving behaviour change and in providing safe care and support. </w:t>
      </w:r>
      <w:r>
        <w:t>The Provider</w:t>
      </w:r>
      <w:r w:rsidRPr="001219F8">
        <w:t xml:space="preserve"> will work with commissioners and take account of service user / patient, parent, partner, carer, and wider stakeholder experiences in the review of the marketing strategy. As well as work proactively with others involved in health, Care and Wellbeing campaigns to ensure communication coherence  </w:t>
      </w:r>
    </w:p>
    <w:p w14:paraId="2B7728A7" w14:textId="579D0F2D" w:rsidR="001219F8" w:rsidRPr="001219F8" w:rsidRDefault="001219F8" w:rsidP="001219F8">
      <w:pPr>
        <w:numPr>
          <w:ilvl w:val="0"/>
          <w:numId w:val="19"/>
        </w:numPr>
      </w:pPr>
      <w:r>
        <w:t>The Provider</w:t>
      </w:r>
      <w:r w:rsidRPr="001219F8">
        <w:t xml:space="preserve"> will work with the commissioner in the development of media campaigns</w:t>
      </w:r>
    </w:p>
    <w:p w14:paraId="155F51BB" w14:textId="0C574847" w:rsidR="001219F8" w:rsidRPr="001219F8" w:rsidRDefault="001219F8" w:rsidP="001219F8">
      <w:pPr>
        <w:numPr>
          <w:ilvl w:val="0"/>
          <w:numId w:val="19"/>
        </w:numPr>
      </w:pPr>
      <w:r w:rsidRPr="001219F8">
        <w:t xml:space="preserve">Communication channels for all professionals  require  </w:t>
      </w:r>
      <w:r w:rsidR="005E1295">
        <w:t xml:space="preserve">the Provider </w:t>
      </w:r>
      <w:r w:rsidRPr="001219F8">
        <w:t xml:space="preserve">to ensure communications are in place and current information is shared service delivery and development </w:t>
      </w:r>
    </w:p>
    <w:p w14:paraId="04CF3C38" w14:textId="0DBB2E7F" w:rsidR="001219F8" w:rsidRPr="001219F8" w:rsidRDefault="005E1295" w:rsidP="001219F8">
      <w:pPr>
        <w:numPr>
          <w:ilvl w:val="0"/>
          <w:numId w:val="19"/>
        </w:numPr>
      </w:pPr>
      <w:r>
        <w:t>The Provider</w:t>
      </w:r>
      <w:r w:rsidR="001219F8" w:rsidRPr="001219F8">
        <w:t xml:space="preserve"> will ensure the maintenance of an effective, efficient, proactive and robust professional network – linking closely with other connected service providers on a regular basis to ensure the highest quality of care / support for service users / patients, parents, partners, families and carers.</w:t>
      </w:r>
    </w:p>
    <w:p w14:paraId="1D45D62F" w14:textId="7079A305" w:rsidR="001219F8" w:rsidRPr="001219F8" w:rsidRDefault="001219F8" w:rsidP="001219F8">
      <w:pPr>
        <w:numPr>
          <w:ilvl w:val="0"/>
          <w:numId w:val="19"/>
        </w:numPr>
      </w:pPr>
      <w:r w:rsidRPr="001219F8">
        <w:t>Communication channels for all professionals are required, and</w:t>
      </w:r>
      <w:r w:rsidR="005E1295">
        <w:t xml:space="preserve"> the Provider</w:t>
      </w:r>
      <w:r w:rsidRPr="001219F8">
        <w:t xml:space="preserve"> will ensure communications are in place and current service information / developments are shared</w:t>
      </w:r>
      <w:r w:rsidR="005E1295">
        <w:t>.</w:t>
      </w:r>
      <w:r w:rsidRPr="001219F8">
        <w:t xml:space="preserve"> </w:t>
      </w:r>
    </w:p>
    <w:p w14:paraId="18F172F2" w14:textId="77777777" w:rsidR="002B1B27" w:rsidRDefault="002B1B27" w:rsidP="001219F8">
      <w:pPr>
        <w:rPr>
          <w:b/>
        </w:rPr>
      </w:pPr>
    </w:p>
    <w:p w14:paraId="7FDB253D" w14:textId="77777777" w:rsidR="00EE1797" w:rsidRDefault="00EE1797" w:rsidP="006520F8">
      <w:pPr>
        <w:rPr>
          <w:b/>
        </w:rPr>
      </w:pPr>
    </w:p>
    <w:p w14:paraId="153080FC" w14:textId="49371C42" w:rsidR="00EE1797" w:rsidRDefault="00EE1797" w:rsidP="00EE1797">
      <w:pPr>
        <w:pStyle w:val="ListParagraph"/>
        <w:numPr>
          <w:ilvl w:val="0"/>
          <w:numId w:val="10"/>
        </w:numPr>
        <w:ind w:left="284" w:hanging="284"/>
        <w:rPr>
          <w:b/>
        </w:rPr>
      </w:pPr>
      <w:r>
        <w:rPr>
          <w:b/>
        </w:rPr>
        <w:lastRenderedPageBreak/>
        <w:t>Governance Arrangements</w:t>
      </w:r>
    </w:p>
    <w:p w14:paraId="6243E76B" w14:textId="7C455541" w:rsidR="00EE1797" w:rsidRDefault="00EE1797" w:rsidP="00E531AF">
      <w:pPr>
        <w:spacing w:after="0"/>
      </w:pPr>
      <w:r>
        <w:t>The Provider will be required to report to the Children and Young People’s Mental Health Strategy Group on a quarterly basis as described within section 4.‘</w:t>
      </w:r>
      <w:r w:rsidRPr="00EE1797">
        <w:t>Outcomes and Key Performance Indicators</w:t>
      </w:r>
      <w:r>
        <w:t>’.  The Strategy Group is accountable to the Cheshire East Health and Wellbeing Board.</w:t>
      </w:r>
    </w:p>
    <w:p w14:paraId="4DE4AAC7" w14:textId="77777777" w:rsidR="00E531AF" w:rsidRDefault="00E531AF" w:rsidP="00E531AF">
      <w:pPr>
        <w:spacing w:after="0"/>
      </w:pPr>
    </w:p>
    <w:p w14:paraId="587873D3" w14:textId="77777777" w:rsidR="00E531AF" w:rsidRDefault="00E531AF" w:rsidP="00E531AF">
      <w:pPr>
        <w:spacing w:after="0"/>
      </w:pPr>
    </w:p>
    <w:p w14:paraId="4E706748" w14:textId="3779BBE0" w:rsidR="00EE1797" w:rsidRDefault="00E531AF" w:rsidP="00E531AF">
      <w:pPr>
        <w:pStyle w:val="ListParagraph"/>
        <w:numPr>
          <w:ilvl w:val="0"/>
          <w:numId w:val="10"/>
        </w:numPr>
        <w:spacing w:after="0"/>
        <w:ind w:left="284" w:hanging="284"/>
        <w:rPr>
          <w:b/>
        </w:rPr>
      </w:pPr>
      <w:r>
        <w:rPr>
          <w:b/>
        </w:rPr>
        <w:t>Information Governance</w:t>
      </w:r>
    </w:p>
    <w:p w14:paraId="6BD36DB0" w14:textId="77777777" w:rsidR="00E531AF" w:rsidRDefault="00E531AF" w:rsidP="00E531AF">
      <w:pPr>
        <w:spacing w:after="0"/>
        <w:rPr>
          <w:b/>
        </w:rPr>
      </w:pPr>
    </w:p>
    <w:p w14:paraId="3F81D68F" w14:textId="0ABA02FA" w:rsidR="00E531AF" w:rsidRPr="00E531AF" w:rsidRDefault="00E531AF" w:rsidP="00C73A93">
      <w:pPr>
        <w:spacing w:after="0"/>
        <w:rPr>
          <w:b/>
        </w:rPr>
      </w:pPr>
      <w:r w:rsidRPr="00E531AF">
        <w:rPr>
          <w:b/>
        </w:rPr>
        <w:t xml:space="preserve">8.1 Data Sharing </w:t>
      </w:r>
    </w:p>
    <w:p w14:paraId="5079CA0E" w14:textId="77777777" w:rsidR="00C73A93" w:rsidRDefault="00C73A93" w:rsidP="00C73A93">
      <w:pPr>
        <w:spacing w:after="0"/>
      </w:pPr>
    </w:p>
    <w:p w14:paraId="69514D91" w14:textId="14A0B869" w:rsidR="00F00775" w:rsidRPr="00F00775" w:rsidRDefault="00F00775" w:rsidP="00F00775">
      <w:pPr>
        <w:spacing w:after="0"/>
      </w:pPr>
      <w:r>
        <w:t xml:space="preserve">In relation to </w:t>
      </w:r>
      <w:r w:rsidRPr="00E531AF">
        <w:t>Person identifiable data</w:t>
      </w:r>
      <w:r>
        <w:t xml:space="preserve"> (PID) t</w:t>
      </w:r>
      <w:r w:rsidR="00E531AF">
        <w:t>he P</w:t>
      </w:r>
      <w:r w:rsidR="00E531AF" w:rsidRPr="00E531AF">
        <w:t>rovider</w:t>
      </w:r>
      <w:r>
        <w:t xml:space="preserve"> is the</w:t>
      </w:r>
      <w:r w:rsidR="00E531AF">
        <w:t xml:space="preserve"> (Data </w:t>
      </w:r>
      <w:r>
        <w:t>Controller</w:t>
      </w:r>
      <w:r w:rsidR="00E531AF">
        <w:t>)</w:t>
      </w:r>
      <w:r>
        <w:t>.  For PID</w:t>
      </w:r>
      <w:r w:rsidRPr="00F00775">
        <w:t xml:space="preserve"> required by the Council for the purposes of quality assurance, performance management and contract management, that the Council and the </w:t>
      </w:r>
      <w:r>
        <w:t>Provider</w:t>
      </w:r>
      <w:r w:rsidRPr="00F00775">
        <w:t xml:space="preserve"> will be </w:t>
      </w:r>
      <w:r>
        <w:t>(J</w:t>
      </w:r>
      <w:r w:rsidRPr="00F00775">
        <w:t>oint Data Controllers</w:t>
      </w:r>
      <w:r>
        <w:t>).  The Provider</w:t>
      </w:r>
      <w:r w:rsidRPr="00F00775">
        <w:t xml:space="preserve"> will</w:t>
      </w:r>
      <w:r>
        <w:t xml:space="preserve"> therefore</w:t>
      </w:r>
      <w:r w:rsidRPr="00F00775">
        <w:t xml:space="preserve"> be required to develop a data sharing agreement with Cheshire East Council during the mobilisation of the service.</w:t>
      </w:r>
    </w:p>
    <w:p w14:paraId="37BA7CB7" w14:textId="77777777" w:rsidR="00F00775" w:rsidRDefault="00F00775" w:rsidP="00C73A93">
      <w:pPr>
        <w:spacing w:after="0"/>
      </w:pPr>
    </w:p>
    <w:p w14:paraId="325C87B7" w14:textId="1D575E3C" w:rsidR="00E531AF" w:rsidRDefault="00E531AF" w:rsidP="00F00775">
      <w:pPr>
        <w:spacing w:after="0"/>
      </w:pPr>
      <w:r w:rsidRPr="00E531AF">
        <w:t xml:space="preserve">PID will only be accessed by authorised staff where the individual has given consent.  Where consent is not given by the individual only anonymised or aggregate data will be accessed. </w:t>
      </w:r>
      <w:r>
        <w:t xml:space="preserve"> </w:t>
      </w:r>
      <w:r w:rsidRPr="00E531AF">
        <w:t>All P</w:t>
      </w:r>
      <w:r w:rsidR="00F00775">
        <w:t>I</w:t>
      </w:r>
      <w:r w:rsidRPr="00E531AF">
        <w:t>D will be handled in accordance the data sharing agreement.</w:t>
      </w:r>
    </w:p>
    <w:p w14:paraId="06AFDDA9" w14:textId="77777777" w:rsidR="00F00775" w:rsidRDefault="00F00775" w:rsidP="00F00775">
      <w:pPr>
        <w:spacing w:after="0"/>
      </w:pPr>
    </w:p>
    <w:p w14:paraId="538E73BB" w14:textId="77777777" w:rsidR="00E531AF" w:rsidRDefault="00E531AF" w:rsidP="00F00775">
      <w:pPr>
        <w:pStyle w:val="ListParagraph"/>
        <w:spacing w:after="0"/>
        <w:ind w:left="0"/>
        <w:rPr>
          <w:b/>
          <w:bCs/>
        </w:rPr>
      </w:pPr>
      <w:r>
        <w:rPr>
          <w:b/>
          <w:bCs/>
        </w:rPr>
        <w:t xml:space="preserve">8.2 </w:t>
      </w:r>
      <w:r w:rsidRPr="00E531AF">
        <w:rPr>
          <w:b/>
          <w:bCs/>
        </w:rPr>
        <w:t>Record Keeping</w:t>
      </w:r>
    </w:p>
    <w:p w14:paraId="6B49591E" w14:textId="77777777" w:rsidR="00C73A93" w:rsidRDefault="00C73A93" w:rsidP="00C73A93">
      <w:pPr>
        <w:pStyle w:val="ListParagraph"/>
        <w:spacing w:after="0"/>
        <w:ind w:left="0"/>
        <w:rPr>
          <w:bCs/>
        </w:rPr>
      </w:pPr>
    </w:p>
    <w:p w14:paraId="450A4A67" w14:textId="5E08AAC6" w:rsidR="00E531AF" w:rsidRPr="00E531AF" w:rsidRDefault="00E531AF" w:rsidP="00C73A93">
      <w:pPr>
        <w:pStyle w:val="ListParagraph"/>
        <w:spacing w:after="0"/>
        <w:ind w:left="0"/>
        <w:rPr>
          <w:bCs/>
        </w:rPr>
      </w:pPr>
      <w:r w:rsidRPr="00E531AF">
        <w:rPr>
          <w:bCs/>
        </w:rPr>
        <w:t>The Provider</w:t>
      </w:r>
      <w:r w:rsidRPr="00E531AF">
        <w:t xml:space="preserve"> will</w:t>
      </w:r>
      <w:r w:rsidR="00C73A93">
        <w:t>:</w:t>
      </w:r>
    </w:p>
    <w:p w14:paraId="36D52D95" w14:textId="77777777" w:rsidR="00E531AF" w:rsidRPr="00E531AF" w:rsidRDefault="00E531AF" w:rsidP="00E531AF">
      <w:pPr>
        <w:pStyle w:val="ListParagraph"/>
        <w:numPr>
          <w:ilvl w:val="0"/>
          <w:numId w:val="21"/>
        </w:numPr>
      </w:pPr>
      <w:r w:rsidRPr="00E531AF">
        <w:t>Create and keep records which are adequate, consistent and necessary for statutory, legal and business requirements.</w:t>
      </w:r>
    </w:p>
    <w:p w14:paraId="2B4270A4" w14:textId="77777777" w:rsidR="00E531AF" w:rsidRPr="00E531AF" w:rsidRDefault="00E531AF" w:rsidP="00E531AF">
      <w:pPr>
        <w:pStyle w:val="ListParagraph"/>
        <w:numPr>
          <w:ilvl w:val="0"/>
          <w:numId w:val="21"/>
        </w:numPr>
      </w:pPr>
      <w:r w:rsidRPr="00E531AF">
        <w:t>Achieve a systematic, orderly and consistent creation, retention, appraisal and disposal procedures for records throughout their life cycle.</w:t>
      </w:r>
    </w:p>
    <w:p w14:paraId="2EE8104E" w14:textId="77777777" w:rsidR="00E531AF" w:rsidRPr="00E531AF" w:rsidRDefault="00E531AF" w:rsidP="00E531AF">
      <w:pPr>
        <w:pStyle w:val="ListParagraph"/>
        <w:numPr>
          <w:ilvl w:val="0"/>
          <w:numId w:val="21"/>
        </w:numPr>
      </w:pPr>
      <w:r w:rsidRPr="00E531AF">
        <w:t>Provide systems which maintain appropriate confidentiality, security and integrity for records and their storage and use.</w:t>
      </w:r>
    </w:p>
    <w:p w14:paraId="17C65A2E" w14:textId="77777777" w:rsidR="00E531AF" w:rsidRPr="00E531AF" w:rsidRDefault="00E531AF" w:rsidP="00E531AF">
      <w:pPr>
        <w:pStyle w:val="ListParagraph"/>
        <w:numPr>
          <w:ilvl w:val="0"/>
          <w:numId w:val="21"/>
        </w:numPr>
      </w:pPr>
      <w:r w:rsidRPr="00E531AF">
        <w:t xml:space="preserve">Provide clear and efficient access for employees and others who have a legitimate right of access to the records in compliance with current IG legislation.  </w:t>
      </w:r>
    </w:p>
    <w:p w14:paraId="2F7E4205" w14:textId="77777777" w:rsidR="00E531AF" w:rsidRPr="00E531AF" w:rsidRDefault="00E531AF" w:rsidP="00E531AF">
      <w:pPr>
        <w:pStyle w:val="ListParagraph"/>
        <w:numPr>
          <w:ilvl w:val="0"/>
          <w:numId w:val="21"/>
        </w:numPr>
      </w:pPr>
      <w:r w:rsidRPr="00E531AF">
        <w:t>To provide training and guidance on legal and ethical responsibilities and operational good practice for all staff involved in records management.</w:t>
      </w:r>
    </w:p>
    <w:p w14:paraId="19B79335" w14:textId="053FE5F2" w:rsidR="00E531AF" w:rsidRPr="00C73A93" w:rsidRDefault="00E531AF" w:rsidP="00E531AF">
      <w:pPr>
        <w:pStyle w:val="ListParagraph"/>
        <w:numPr>
          <w:ilvl w:val="0"/>
          <w:numId w:val="21"/>
        </w:numPr>
        <w:rPr>
          <w:bCs/>
          <w:iCs/>
        </w:rPr>
      </w:pPr>
      <w:r w:rsidRPr="00C73A93">
        <w:rPr>
          <w:iCs/>
        </w:rPr>
        <w:t xml:space="preserve">Compliance to current Cheshire East policies. </w:t>
      </w:r>
    </w:p>
    <w:p w14:paraId="3297267B" w14:textId="77777777" w:rsidR="00E531AF" w:rsidRPr="00C73A93" w:rsidRDefault="00E531AF" w:rsidP="00C73A93">
      <w:pPr>
        <w:pStyle w:val="ListParagraph"/>
        <w:numPr>
          <w:ilvl w:val="0"/>
          <w:numId w:val="21"/>
        </w:numPr>
        <w:spacing w:after="0"/>
        <w:rPr>
          <w:bCs/>
        </w:rPr>
      </w:pPr>
      <w:r w:rsidRPr="00E531AF">
        <w:t>Comply with information governance requirements for any future service transition arrangements.</w:t>
      </w:r>
    </w:p>
    <w:p w14:paraId="56604499" w14:textId="77777777" w:rsidR="00C73A93" w:rsidRPr="00E531AF" w:rsidRDefault="00C73A93" w:rsidP="00C73A93">
      <w:pPr>
        <w:pStyle w:val="ListParagraph"/>
        <w:spacing w:after="0"/>
        <w:rPr>
          <w:bCs/>
        </w:rPr>
      </w:pPr>
    </w:p>
    <w:p w14:paraId="206AF566" w14:textId="77777777" w:rsidR="00C73A93" w:rsidRDefault="00C73A93" w:rsidP="00C73A93">
      <w:pPr>
        <w:spacing w:after="0"/>
        <w:ind w:left="360"/>
      </w:pPr>
      <w:r w:rsidRPr="00C73A93">
        <w:t xml:space="preserve">The </w:t>
      </w:r>
      <w:r w:rsidR="00E531AF" w:rsidRPr="00C73A93">
        <w:t>Provider</w:t>
      </w:r>
      <w:r w:rsidRPr="00C73A93">
        <w:t xml:space="preserve"> </w:t>
      </w:r>
      <w:r w:rsidR="00E531AF" w:rsidRPr="00C73A93">
        <w:t>will ensure that all members of staff are contractually bound by confidentiality agreements</w:t>
      </w:r>
      <w:r>
        <w:t>.</w:t>
      </w:r>
      <w:r w:rsidR="00E531AF" w:rsidRPr="00C73A93">
        <w:t xml:space="preserve"> </w:t>
      </w:r>
    </w:p>
    <w:p w14:paraId="463477C0" w14:textId="77777777" w:rsidR="00C73A93" w:rsidRDefault="00C73A93" w:rsidP="00C73A93">
      <w:pPr>
        <w:spacing w:after="0"/>
        <w:ind w:left="360"/>
      </w:pPr>
    </w:p>
    <w:p w14:paraId="73E46DEF" w14:textId="42551DAD" w:rsidR="00C73A93" w:rsidRDefault="00E531AF" w:rsidP="00C73A93">
      <w:pPr>
        <w:spacing w:after="0"/>
        <w:ind w:left="360"/>
      </w:pPr>
      <w:r w:rsidRPr="00C73A93">
        <w:t xml:space="preserve">Appropriate technical and organisational measures will be taken against unauthorised or unlawful processing of personal data and against accidental loss or destruction </w:t>
      </w:r>
      <w:r w:rsidR="00C73A93" w:rsidRPr="00C73A93">
        <w:t>of, or damage to, personal data.</w:t>
      </w:r>
    </w:p>
    <w:p w14:paraId="65E2D63E" w14:textId="77777777" w:rsidR="00C73A93" w:rsidRDefault="00C73A93" w:rsidP="00C73A93">
      <w:pPr>
        <w:spacing w:after="0"/>
        <w:ind w:left="360"/>
      </w:pPr>
    </w:p>
    <w:p w14:paraId="25BAD2C8" w14:textId="14372D9C" w:rsidR="00C73A93" w:rsidRDefault="00C73A93" w:rsidP="00C73A93">
      <w:pPr>
        <w:spacing w:after="0"/>
        <w:ind w:left="360"/>
        <w:rPr>
          <w:b/>
          <w:bCs/>
        </w:rPr>
      </w:pPr>
      <w:r>
        <w:rPr>
          <w:b/>
        </w:rPr>
        <w:lastRenderedPageBreak/>
        <w:t>8.3</w:t>
      </w:r>
      <w:r w:rsidRPr="00C73A93">
        <w:rPr>
          <w:b/>
        </w:rPr>
        <w:t xml:space="preserve"> </w:t>
      </w:r>
      <w:r w:rsidR="00E531AF" w:rsidRPr="00C73A93">
        <w:rPr>
          <w:b/>
          <w:bCs/>
        </w:rPr>
        <w:t>Storage of information</w:t>
      </w:r>
    </w:p>
    <w:p w14:paraId="4A41EC07" w14:textId="77777777" w:rsidR="00C73A93" w:rsidRDefault="00C73A93" w:rsidP="00C73A93">
      <w:pPr>
        <w:spacing w:after="0"/>
        <w:ind w:left="360"/>
        <w:rPr>
          <w:b/>
        </w:rPr>
      </w:pPr>
    </w:p>
    <w:p w14:paraId="0A8472BB" w14:textId="0D0EB898" w:rsidR="00E531AF" w:rsidRDefault="00C73A93" w:rsidP="00C73A93">
      <w:pPr>
        <w:spacing w:after="0"/>
        <w:ind w:left="360"/>
      </w:pPr>
      <w:r>
        <w:t xml:space="preserve">The </w:t>
      </w:r>
      <w:r w:rsidR="00E531AF" w:rsidRPr="00C73A93">
        <w:t>Provider</w:t>
      </w:r>
      <w:r>
        <w:t xml:space="preserve"> has</w:t>
      </w:r>
      <w:r w:rsidR="00E531AF" w:rsidRPr="00C73A93">
        <w:t xml:space="preserve"> a duty to make arrangements for the safe-keeping and eventual disposal of their records. </w:t>
      </w:r>
    </w:p>
    <w:p w14:paraId="74CF6238" w14:textId="77777777" w:rsidR="00F00775" w:rsidRDefault="00F00775" w:rsidP="00C73A93">
      <w:pPr>
        <w:spacing w:after="0"/>
        <w:ind w:left="360"/>
      </w:pPr>
    </w:p>
    <w:p w14:paraId="52F7E286" w14:textId="77777777" w:rsidR="00F00775" w:rsidRPr="00C73A93" w:rsidRDefault="00F00775" w:rsidP="00C73A93">
      <w:pPr>
        <w:spacing w:after="0"/>
        <w:ind w:left="360"/>
      </w:pPr>
    </w:p>
    <w:p w14:paraId="454284B6" w14:textId="14257E5A" w:rsidR="00CE5727" w:rsidRDefault="00620082" w:rsidP="006520F8">
      <w:r>
        <w:rPr>
          <w:b/>
        </w:rPr>
        <w:t>Appendix 1</w:t>
      </w:r>
      <w:r w:rsidR="006520F8" w:rsidRPr="006520F8">
        <w:rPr>
          <w:b/>
        </w:rPr>
        <w:t xml:space="preserve"> - Thrive Model</w:t>
      </w:r>
      <w:r w:rsidR="008506E9">
        <w:rPr>
          <w:noProof/>
          <w:lang w:eastAsia="en-GB"/>
        </w:rPr>
        <w:drawing>
          <wp:inline distT="0" distB="0" distL="0" distR="0" wp14:anchorId="4A8B7AFD" wp14:editId="4ED9E64E">
            <wp:extent cx="5803900" cy="45783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3EA0DAA" w14:textId="77777777" w:rsidR="002F0535" w:rsidRDefault="002F0535" w:rsidP="00CE5727">
      <w:pPr>
        <w:rPr>
          <w:b/>
        </w:rPr>
        <w:sectPr w:rsidR="002F0535">
          <w:pgSz w:w="11906" w:h="16838"/>
          <w:pgMar w:top="1440" w:right="1440" w:bottom="1440" w:left="1440" w:header="708" w:footer="708" w:gutter="0"/>
          <w:cols w:space="708"/>
          <w:docGrid w:linePitch="360"/>
        </w:sectPr>
      </w:pPr>
    </w:p>
    <w:p w14:paraId="651AFA8A" w14:textId="02F48CFE" w:rsidR="00CE5727" w:rsidRDefault="002F0535" w:rsidP="00CE5727">
      <w:pPr>
        <w:rPr>
          <w:b/>
        </w:rPr>
      </w:pPr>
      <w:proofErr w:type="spellStart"/>
      <w:r>
        <w:rPr>
          <w:b/>
        </w:rPr>
        <w:lastRenderedPageBreak/>
        <w:t>i</w:t>
      </w:r>
      <w:proofErr w:type="spellEnd"/>
      <w:r>
        <w:rPr>
          <w:b/>
        </w:rPr>
        <w:t xml:space="preserve">-Thrive Outcomes Framework </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6"/>
        <w:gridCol w:w="316"/>
        <w:gridCol w:w="2171"/>
        <w:gridCol w:w="380"/>
        <w:gridCol w:w="2106"/>
        <w:gridCol w:w="587"/>
        <w:gridCol w:w="2835"/>
        <w:gridCol w:w="2835"/>
      </w:tblGrid>
      <w:tr w:rsidR="002F0535" w:rsidRPr="002F0535" w14:paraId="1EA7ADF7" w14:textId="77777777" w:rsidTr="002F0535">
        <w:trPr>
          <w:trHeight w:val="276"/>
        </w:trPr>
        <w:tc>
          <w:tcPr>
            <w:tcW w:w="2802" w:type="dxa"/>
            <w:gridSpan w:val="2"/>
          </w:tcPr>
          <w:p w14:paraId="570A5A6C" w14:textId="77777777" w:rsidR="002F0535" w:rsidRPr="002F0535" w:rsidRDefault="002F0535" w:rsidP="002F0535">
            <w:pPr>
              <w:rPr>
                <w:b/>
              </w:rPr>
            </w:pPr>
            <w:proofErr w:type="spellStart"/>
            <w:r w:rsidRPr="002F0535">
              <w:rPr>
                <w:b/>
                <w:bCs/>
              </w:rPr>
              <w:t>i</w:t>
            </w:r>
            <w:proofErr w:type="spellEnd"/>
            <w:r w:rsidRPr="002F0535">
              <w:rPr>
                <w:b/>
                <w:bCs/>
              </w:rPr>
              <w:t xml:space="preserve">-THRIVE Outcome Framework Future In Mind Deliverable </w:t>
            </w:r>
          </w:p>
        </w:tc>
        <w:tc>
          <w:tcPr>
            <w:tcW w:w="2551" w:type="dxa"/>
            <w:gridSpan w:val="2"/>
          </w:tcPr>
          <w:p w14:paraId="433BB65A" w14:textId="77777777" w:rsidR="002F0535" w:rsidRPr="002F0535" w:rsidRDefault="002F0535" w:rsidP="002F0535">
            <w:pPr>
              <w:rPr>
                <w:b/>
              </w:rPr>
            </w:pPr>
            <w:r w:rsidRPr="002F0535">
              <w:rPr>
                <w:b/>
                <w:bCs/>
              </w:rPr>
              <w:t xml:space="preserve">How this could be delivered in an </w:t>
            </w:r>
            <w:proofErr w:type="spellStart"/>
            <w:r w:rsidRPr="002F0535">
              <w:rPr>
                <w:b/>
                <w:bCs/>
              </w:rPr>
              <w:t>i</w:t>
            </w:r>
            <w:proofErr w:type="spellEnd"/>
            <w:r w:rsidRPr="002F0535">
              <w:rPr>
                <w:b/>
                <w:bCs/>
              </w:rPr>
              <w:t xml:space="preserve">-THRIVE service </w:t>
            </w:r>
          </w:p>
        </w:tc>
        <w:tc>
          <w:tcPr>
            <w:tcW w:w="2693" w:type="dxa"/>
            <w:gridSpan w:val="2"/>
          </w:tcPr>
          <w:p w14:paraId="64CF81B8" w14:textId="77777777" w:rsidR="002F0535" w:rsidRPr="002F0535" w:rsidRDefault="002F0535" w:rsidP="002F0535">
            <w:pPr>
              <w:rPr>
                <w:b/>
              </w:rPr>
            </w:pPr>
            <w:r w:rsidRPr="002F0535">
              <w:rPr>
                <w:b/>
                <w:bCs/>
              </w:rPr>
              <w:t xml:space="preserve">Suggested Outcomes measures </w:t>
            </w:r>
          </w:p>
        </w:tc>
        <w:tc>
          <w:tcPr>
            <w:tcW w:w="2835" w:type="dxa"/>
          </w:tcPr>
          <w:p w14:paraId="07B066AF" w14:textId="77777777" w:rsidR="002F0535" w:rsidRPr="002F0535" w:rsidRDefault="002F0535" w:rsidP="002F0535">
            <w:pPr>
              <w:rPr>
                <w:b/>
              </w:rPr>
            </w:pPr>
            <w:r w:rsidRPr="002F0535">
              <w:rPr>
                <w:b/>
                <w:bCs/>
              </w:rPr>
              <w:t xml:space="preserve">Suggested Process Measures </w:t>
            </w:r>
          </w:p>
        </w:tc>
        <w:tc>
          <w:tcPr>
            <w:tcW w:w="2835" w:type="dxa"/>
          </w:tcPr>
          <w:p w14:paraId="155FFE33" w14:textId="77777777" w:rsidR="002F0535" w:rsidRPr="002F0535" w:rsidRDefault="002F0535" w:rsidP="002F0535">
            <w:pPr>
              <w:rPr>
                <w:b/>
              </w:rPr>
            </w:pPr>
            <w:r w:rsidRPr="002F0535">
              <w:rPr>
                <w:b/>
                <w:bCs/>
              </w:rPr>
              <w:t xml:space="preserve">Suggested Balancing Measures </w:t>
            </w:r>
          </w:p>
        </w:tc>
      </w:tr>
      <w:tr w:rsidR="002F0535" w:rsidRPr="002F0535" w14:paraId="255B2752" w14:textId="77777777" w:rsidTr="002F0535">
        <w:trPr>
          <w:trHeight w:val="861"/>
        </w:trPr>
        <w:tc>
          <w:tcPr>
            <w:tcW w:w="2802" w:type="dxa"/>
            <w:gridSpan w:val="2"/>
          </w:tcPr>
          <w:p w14:paraId="21C9A27E" w14:textId="77777777" w:rsidR="002F0535" w:rsidRPr="002F0535" w:rsidRDefault="002F0535" w:rsidP="002F0535">
            <w:pPr>
              <w:rPr>
                <w:b/>
              </w:rPr>
            </w:pPr>
            <w:r w:rsidRPr="002F0535">
              <w:rPr>
                <w:b/>
              </w:rPr>
              <w:t xml:space="preserve">Improved resilience in CYP </w:t>
            </w:r>
          </w:p>
        </w:tc>
        <w:tc>
          <w:tcPr>
            <w:tcW w:w="2551" w:type="dxa"/>
            <w:gridSpan w:val="2"/>
          </w:tcPr>
          <w:p w14:paraId="4F6B735F" w14:textId="77777777" w:rsidR="002F0535" w:rsidRPr="002F0535" w:rsidRDefault="002F0535" w:rsidP="002F0535">
            <w:pPr>
              <w:rPr>
                <w:b/>
              </w:rPr>
            </w:pPr>
            <w:r w:rsidRPr="002F0535">
              <w:rPr>
                <w:b/>
              </w:rPr>
              <w:t xml:space="preserve">THRIVING: Provide improved access to prevention &amp; resilience building programmes </w:t>
            </w:r>
          </w:p>
        </w:tc>
        <w:tc>
          <w:tcPr>
            <w:tcW w:w="2693" w:type="dxa"/>
            <w:gridSpan w:val="2"/>
          </w:tcPr>
          <w:p w14:paraId="6835D4CF" w14:textId="77777777" w:rsidR="002F0535" w:rsidRPr="002F0535" w:rsidRDefault="002F0535" w:rsidP="002F0535">
            <w:pPr>
              <w:rPr>
                <w:b/>
              </w:rPr>
            </w:pPr>
            <w:r w:rsidRPr="002F0535">
              <w:rPr>
                <w:b/>
              </w:rPr>
              <w:t xml:space="preserve">There are a range of self-report measures of emotional wellbeing that can be used in schools/ community settings. These include: SWEMWBS (Short Warwick Edinburgh Mental Wellbeing Scale), Strengths &amp; Difficulties Questionnaire (SDQ), Social Skills Improvement System (SSIS), Student Resilience Scale (SRS). </w:t>
            </w:r>
          </w:p>
        </w:tc>
        <w:tc>
          <w:tcPr>
            <w:tcW w:w="2835" w:type="dxa"/>
          </w:tcPr>
          <w:p w14:paraId="7431E61C" w14:textId="77777777" w:rsidR="002F0535" w:rsidRPr="002F0535" w:rsidRDefault="002F0535" w:rsidP="002F0535">
            <w:pPr>
              <w:rPr>
                <w:b/>
              </w:rPr>
            </w:pPr>
            <w:r w:rsidRPr="002F0535">
              <w:rPr>
                <w:b/>
              </w:rPr>
              <w:t xml:space="preserve">Resilience building programmes are available in the community, Number (N) &amp; % of CYP accessing resilience building &amp; prevention programmes </w:t>
            </w:r>
          </w:p>
        </w:tc>
        <w:tc>
          <w:tcPr>
            <w:tcW w:w="2835" w:type="dxa"/>
          </w:tcPr>
          <w:p w14:paraId="3955A301" w14:textId="77777777" w:rsidR="002F0535" w:rsidRPr="002F0535" w:rsidRDefault="002F0535" w:rsidP="002F0535">
            <w:pPr>
              <w:rPr>
                <w:b/>
              </w:rPr>
            </w:pPr>
            <w:r w:rsidRPr="002F0535">
              <w:rPr>
                <w:b/>
              </w:rPr>
              <w:t xml:space="preserve">Cost </w:t>
            </w:r>
          </w:p>
        </w:tc>
      </w:tr>
      <w:tr w:rsidR="002F0535" w:rsidRPr="002F0535" w14:paraId="63B097E1" w14:textId="77777777" w:rsidTr="002F0535">
        <w:trPr>
          <w:trHeight w:val="177"/>
        </w:trPr>
        <w:tc>
          <w:tcPr>
            <w:tcW w:w="13716" w:type="dxa"/>
            <w:gridSpan w:val="8"/>
          </w:tcPr>
          <w:p w14:paraId="350032FB" w14:textId="77777777" w:rsidR="002F0535" w:rsidRPr="002F0535" w:rsidRDefault="002F0535" w:rsidP="002F0535">
            <w:pPr>
              <w:rPr>
                <w:b/>
              </w:rPr>
            </w:pPr>
            <w:r w:rsidRPr="002F0535">
              <w:rPr>
                <w:b/>
              </w:rPr>
              <w:t xml:space="preserve">Capacity of services </w:t>
            </w:r>
          </w:p>
        </w:tc>
      </w:tr>
      <w:tr w:rsidR="002F0535" w:rsidRPr="002F0535" w14:paraId="3400D7FB" w14:textId="77777777" w:rsidTr="002F0535">
        <w:trPr>
          <w:trHeight w:val="276"/>
        </w:trPr>
        <w:tc>
          <w:tcPr>
            <w:tcW w:w="4973" w:type="dxa"/>
            <w:gridSpan w:val="3"/>
          </w:tcPr>
          <w:p w14:paraId="08BF84A2" w14:textId="77777777" w:rsidR="002F0535" w:rsidRPr="002F0535" w:rsidRDefault="002F0535" w:rsidP="002F0535">
            <w:pPr>
              <w:rPr>
                <w:b/>
              </w:rPr>
            </w:pPr>
            <w:r w:rsidRPr="002F0535">
              <w:rPr>
                <w:b/>
              </w:rPr>
              <w:t xml:space="preserve">Early intervention services in place, N &amp; % CYP accessing early intervention services </w:t>
            </w:r>
          </w:p>
        </w:tc>
        <w:tc>
          <w:tcPr>
            <w:tcW w:w="8743" w:type="dxa"/>
            <w:gridSpan w:val="5"/>
          </w:tcPr>
          <w:p w14:paraId="364FF1ED" w14:textId="77777777" w:rsidR="002F0535" w:rsidRPr="002F0535" w:rsidRDefault="002F0535" w:rsidP="002F0535">
            <w:pPr>
              <w:rPr>
                <w:b/>
              </w:rPr>
            </w:pPr>
            <w:r w:rsidRPr="002F0535">
              <w:rPr>
                <w:b/>
              </w:rPr>
              <w:t xml:space="preserve">Administrative burden </w:t>
            </w:r>
          </w:p>
        </w:tc>
      </w:tr>
      <w:tr w:rsidR="002F0535" w:rsidRPr="002F0535" w14:paraId="55798CF9" w14:textId="77777777" w:rsidTr="002F0535">
        <w:trPr>
          <w:trHeight w:val="471"/>
        </w:trPr>
        <w:tc>
          <w:tcPr>
            <w:tcW w:w="13716" w:type="dxa"/>
            <w:gridSpan w:val="8"/>
          </w:tcPr>
          <w:p w14:paraId="1F6A8B95" w14:textId="77777777" w:rsidR="002F0535" w:rsidRPr="002F0535" w:rsidRDefault="002F0535" w:rsidP="002F0535">
            <w:pPr>
              <w:rPr>
                <w:b/>
              </w:rPr>
            </w:pPr>
            <w:r w:rsidRPr="002F0535">
              <w:rPr>
                <w:b/>
              </w:rPr>
              <w:t xml:space="preserve">Cascade Framework: This framework has been developed by CORC to provide a framework for analysing how well schools and CAMHS work together. </w:t>
            </w:r>
          </w:p>
        </w:tc>
      </w:tr>
      <w:tr w:rsidR="002F0535" w:rsidRPr="002F0535" w14:paraId="1279EA84" w14:textId="77777777" w:rsidTr="002F0535">
        <w:trPr>
          <w:trHeight w:val="1642"/>
        </w:trPr>
        <w:tc>
          <w:tcPr>
            <w:tcW w:w="2802" w:type="dxa"/>
            <w:gridSpan w:val="2"/>
          </w:tcPr>
          <w:p w14:paraId="33220EFD" w14:textId="77777777" w:rsidR="002F0535" w:rsidRPr="002F0535" w:rsidRDefault="002F0535" w:rsidP="002F0535">
            <w:pPr>
              <w:rPr>
                <w:b/>
              </w:rPr>
            </w:pPr>
            <w:r w:rsidRPr="002F0535">
              <w:rPr>
                <w:b/>
              </w:rPr>
              <w:lastRenderedPageBreak/>
              <w:t xml:space="preserve">Improved Access to mental health support for CYP &amp; their families </w:t>
            </w:r>
          </w:p>
        </w:tc>
        <w:tc>
          <w:tcPr>
            <w:tcW w:w="2551" w:type="dxa"/>
            <w:gridSpan w:val="2"/>
          </w:tcPr>
          <w:p w14:paraId="3CA5D448" w14:textId="77777777" w:rsidR="002F0535" w:rsidRPr="002F0535" w:rsidRDefault="002F0535" w:rsidP="002F0535">
            <w:pPr>
              <w:rPr>
                <w:b/>
              </w:rPr>
            </w:pPr>
            <w:r w:rsidRPr="002F0535">
              <w:rPr>
                <w:b/>
              </w:rPr>
              <w:t xml:space="preserve">ADVICE &amp; SIGNPOSTING: Access &amp; Assessment: Multi-agency, most experienced/skilled staff carrying out assessment, advice and signposting into all parts of the system (not just health), building capacity for signposting in professionals across the system (education, social care, health and 3rd sector), utilising shared decision making to ensure needs based care according to CYP's needs and preferences. </w:t>
            </w:r>
          </w:p>
        </w:tc>
        <w:tc>
          <w:tcPr>
            <w:tcW w:w="2693" w:type="dxa"/>
            <w:gridSpan w:val="2"/>
          </w:tcPr>
          <w:p w14:paraId="40CD95DD" w14:textId="77777777" w:rsidR="002F0535" w:rsidRPr="002F0535" w:rsidRDefault="002F0535" w:rsidP="002F0535">
            <w:pPr>
              <w:rPr>
                <w:b/>
              </w:rPr>
            </w:pPr>
            <w:r w:rsidRPr="002F0535">
              <w:rPr>
                <w:b/>
              </w:rPr>
              <w:t xml:space="preserve">Patient Experience Measures e.g. Experience of services questionnaire </w:t>
            </w:r>
          </w:p>
        </w:tc>
        <w:tc>
          <w:tcPr>
            <w:tcW w:w="2835" w:type="dxa"/>
          </w:tcPr>
          <w:p w14:paraId="29FB129B" w14:textId="77777777" w:rsidR="002F0535" w:rsidRPr="002F0535" w:rsidRDefault="002F0535" w:rsidP="002F0535">
            <w:pPr>
              <w:rPr>
                <w:b/>
              </w:rPr>
            </w:pPr>
            <w:r w:rsidRPr="002F0535">
              <w:rPr>
                <w:b/>
              </w:rPr>
              <w:t xml:space="preserve">Waiting time (days &amp; weeks): it would be expected that with highly skilled staff undertaking assessment, decisions and signposting are more efficient, reducing waiting times. </w:t>
            </w:r>
          </w:p>
        </w:tc>
        <w:tc>
          <w:tcPr>
            <w:tcW w:w="2835" w:type="dxa"/>
          </w:tcPr>
          <w:p w14:paraId="20059D8D" w14:textId="77777777" w:rsidR="002F0535" w:rsidRPr="002F0535" w:rsidRDefault="002F0535" w:rsidP="002F0535">
            <w:pPr>
              <w:rPr>
                <w:b/>
              </w:rPr>
            </w:pPr>
            <w:r w:rsidRPr="002F0535">
              <w:rPr>
                <w:b/>
              </w:rPr>
              <w:t xml:space="preserve">No reduction in therapeutic time below that recommended by NICE guidance (number of sessions). </w:t>
            </w:r>
          </w:p>
        </w:tc>
      </w:tr>
      <w:tr w:rsidR="002F0535" w:rsidRPr="002F0535" w14:paraId="3A44FAC5" w14:textId="77777777" w:rsidTr="002F0535">
        <w:trPr>
          <w:trHeight w:val="861"/>
        </w:trPr>
        <w:tc>
          <w:tcPr>
            <w:tcW w:w="4973" w:type="dxa"/>
            <w:gridSpan w:val="3"/>
          </w:tcPr>
          <w:p w14:paraId="6A267795" w14:textId="77777777" w:rsidR="002F0535" w:rsidRPr="002F0535" w:rsidRDefault="002F0535" w:rsidP="002F0535">
            <w:pPr>
              <w:rPr>
                <w:b/>
              </w:rPr>
            </w:pPr>
            <w:r w:rsidRPr="002F0535">
              <w:rPr>
                <w:b/>
              </w:rPr>
              <w:t xml:space="preserve">Number &amp; % of CYP seen (expect the proportion of CYP seen relative to prevalence to increase - currently only 25-30% of CYP who would benefit form care are able to access it. With effective assessment, advice &amp; signposting we would expect increased efficiency and a larger proportion to be able to access care). </w:t>
            </w:r>
          </w:p>
        </w:tc>
        <w:tc>
          <w:tcPr>
            <w:tcW w:w="8743" w:type="dxa"/>
            <w:gridSpan w:val="5"/>
          </w:tcPr>
          <w:p w14:paraId="60C680B8" w14:textId="77777777" w:rsidR="002F0535" w:rsidRPr="002F0535" w:rsidRDefault="002F0535" w:rsidP="002F0535">
            <w:pPr>
              <w:rPr>
                <w:b/>
              </w:rPr>
            </w:pPr>
            <w:r w:rsidRPr="002F0535">
              <w:rPr>
                <w:b/>
              </w:rPr>
              <w:t xml:space="preserve">No increase in adverse events </w:t>
            </w:r>
          </w:p>
        </w:tc>
      </w:tr>
      <w:tr w:rsidR="002F0535" w:rsidRPr="002F0535" w14:paraId="06B67925" w14:textId="77777777" w:rsidTr="002F0535">
        <w:trPr>
          <w:trHeight w:val="177"/>
        </w:trPr>
        <w:tc>
          <w:tcPr>
            <w:tcW w:w="4973" w:type="dxa"/>
            <w:gridSpan w:val="3"/>
          </w:tcPr>
          <w:p w14:paraId="03552EF0" w14:textId="77777777" w:rsidR="002F0535" w:rsidRPr="002F0535" w:rsidRDefault="002F0535" w:rsidP="002F0535">
            <w:pPr>
              <w:rPr>
                <w:b/>
              </w:rPr>
            </w:pPr>
            <w:r w:rsidRPr="002F0535">
              <w:rPr>
                <w:b/>
              </w:rPr>
              <w:t xml:space="preserve">Number of assessments per CYP (aim to reduce multiple assessments) </w:t>
            </w:r>
          </w:p>
        </w:tc>
        <w:tc>
          <w:tcPr>
            <w:tcW w:w="8743" w:type="dxa"/>
            <w:gridSpan w:val="5"/>
          </w:tcPr>
          <w:p w14:paraId="75F658B8" w14:textId="77777777" w:rsidR="002F0535" w:rsidRPr="002F0535" w:rsidRDefault="002F0535" w:rsidP="002F0535">
            <w:pPr>
              <w:rPr>
                <w:b/>
              </w:rPr>
            </w:pPr>
            <w:r w:rsidRPr="002F0535">
              <w:rPr>
                <w:b/>
              </w:rPr>
              <w:t xml:space="preserve">No increase in DNAs </w:t>
            </w:r>
          </w:p>
        </w:tc>
      </w:tr>
      <w:tr w:rsidR="002F0535" w:rsidRPr="002F0535" w14:paraId="697C1198" w14:textId="77777777" w:rsidTr="002F0535">
        <w:trPr>
          <w:trHeight w:val="275"/>
        </w:trPr>
        <w:tc>
          <w:tcPr>
            <w:tcW w:w="13716" w:type="dxa"/>
            <w:gridSpan w:val="8"/>
          </w:tcPr>
          <w:p w14:paraId="21523305" w14:textId="77777777" w:rsidR="002F0535" w:rsidRPr="002F0535" w:rsidRDefault="002F0535" w:rsidP="002F0535">
            <w:pPr>
              <w:rPr>
                <w:b/>
              </w:rPr>
            </w:pPr>
            <w:r w:rsidRPr="002F0535">
              <w:rPr>
                <w:b/>
              </w:rPr>
              <w:lastRenderedPageBreak/>
              <w:t xml:space="preserve">No increase in threshold for entry into services </w:t>
            </w:r>
          </w:p>
        </w:tc>
      </w:tr>
      <w:tr w:rsidR="002F0535" w:rsidRPr="002F0535" w14:paraId="2F270858" w14:textId="77777777" w:rsidTr="002F0535">
        <w:trPr>
          <w:trHeight w:val="764"/>
        </w:trPr>
        <w:tc>
          <w:tcPr>
            <w:tcW w:w="2486" w:type="dxa"/>
          </w:tcPr>
          <w:p w14:paraId="57BBD8B2" w14:textId="77777777" w:rsidR="002F0535" w:rsidRPr="002F0535" w:rsidRDefault="002F0535" w:rsidP="002F0535">
            <w:pPr>
              <w:rPr>
                <w:b/>
              </w:rPr>
            </w:pPr>
            <w:r w:rsidRPr="002F0535">
              <w:rPr>
                <w:b/>
              </w:rPr>
              <w:t xml:space="preserve">There would be more CYP who are signposted into appropriate alternative community providers and make use of self-care approaches, which are in line with their needs and preferences. </w:t>
            </w:r>
          </w:p>
        </w:tc>
        <w:tc>
          <w:tcPr>
            <w:tcW w:w="2487" w:type="dxa"/>
            <w:gridSpan w:val="2"/>
          </w:tcPr>
          <w:p w14:paraId="5C7514C1" w14:textId="77777777" w:rsidR="002F0535" w:rsidRPr="002F0535" w:rsidRDefault="002F0535" w:rsidP="002F0535">
            <w:pPr>
              <w:rPr>
                <w:b/>
              </w:rPr>
            </w:pPr>
            <w:r w:rsidRPr="002F0535">
              <w:rPr>
                <w:b/>
              </w:rPr>
              <w:t xml:space="preserve">Economic measures of health service usage </w:t>
            </w:r>
          </w:p>
        </w:tc>
        <w:tc>
          <w:tcPr>
            <w:tcW w:w="2486" w:type="dxa"/>
            <w:gridSpan w:val="2"/>
          </w:tcPr>
          <w:p w14:paraId="12AA2621" w14:textId="77777777" w:rsidR="002F0535" w:rsidRPr="002F0535" w:rsidRDefault="002F0535" w:rsidP="002F0535">
            <w:pPr>
              <w:rPr>
                <w:b/>
              </w:rPr>
            </w:pPr>
            <w:r w:rsidRPr="002F0535">
              <w:rPr>
                <w:b/>
              </w:rPr>
              <w:t xml:space="preserve">Number &amp; proportion of CYP who are assessed and are signposted into services other than CAMHS/ Children's Services </w:t>
            </w:r>
          </w:p>
        </w:tc>
        <w:tc>
          <w:tcPr>
            <w:tcW w:w="6257" w:type="dxa"/>
            <w:gridSpan w:val="3"/>
          </w:tcPr>
          <w:p w14:paraId="248576B0" w14:textId="77777777" w:rsidR="002F0535" w:rsidRPr="002F0535" w:rsidRDefault="002F0535" w:rsidP="002F0535">
            <w:pPr>
              <w:rPr>
                <w:b/>
              </w:rPr>
            </w:pPr>
            <w:r w:rsidRPr="002F0535">
              <w:rPr>
                <w:b/>
              </w:rPr>
              <w:t xml:space="preserve">CYPs feel that signposting was helpful &amp; appropriate </w:t>
            </w:r>
          </w:p>
        </w:tc>
      </w:tr>
      <w:tr w:rsidR="002F0535" w:rsidRPr="002F0535" w14:paraId="1220A0B8" w14:textId="77777777" w:rsidTr="002F0535">
        <w:trPr>
          <w:trHeight w:val="177"/>
        </w:trPr>
        <w:tc>
          <w:tcPr>
            <w:tcW w:w="4973" w:type="dxa"/>
            <w:gridSpan w:val="3"/>
          </w:tcPr>
          <w:p w14:paraId="0777D99C" w14:textId="77777777" w:rsidR="002F0535" w:rsidRPr="002F0535" w:rsidRDefault="002F0535" w:rsidP="002F0535">
            <w:pPr>
              <w:rPr>
                <w:b/>
              </w:rPr>
            </w:pPr>
            <w:r w:rsidRPr="002F0535">
              <w:rPr>
                <w:b/>
              </w:rPr>
              <w:t xml:space="preserve">Number &amp; proportion of CYP who choose self-care approaches </w:t>
            </w:r>
          </w:p>
        </w:tc>
        <w:tc>
          <w:tcPr>
            <w:tcW w:w="8743" w:type="dxa"/>
            <w:gridSpan w:val="5"/>
          </w:tcPr>
          <w:p w14:paraId="1BE3EDA5" w14:textId="77777777" w:rsidR="002F0535" w:rsidRPr="002F0535" w:rsidRDefault="002F0535" w:rsidP="002F0535">
            <w:pPr>
              <w:rPr>
                <w:b/>
              </w:rPr>
            </w:pPr>
            <w:r w:rsidRPr="002F0535">
              <w:rPr>
                <w:b/>
              </w:rPr>
              <w:t xml:space="preserve">No increase in DNAs </w:t>
            </w:r>
          </w:p>
        </w:tc>
      </w:tr>
      <w:tr w:rsidR="002F0535" w:rsidRPr="002F0535" w14:paraId="27FB4583" w14:textId="77777777" w:rsidTr="002F0535">
        <w:trPr>
          <w:trHeight w:val="275"/>
        </w:trPr>
        <w:tc>
          <w:tcPr>
            <w:tcW w:w="13716" w:type="dxa"/>
            <w:gridSpan w:val="8"/>
          </w:tcPr>
          <w:p w14:paraId="08C27B27" w14:textId="77777777" w:rsidR="002F0535" w:rsidRPr="002F0535" w:rsidRDefault="002F0535" w:rsidP="002F0535">
            <w:pPr>
              <w:rPr>
                <w:b/>
              </w:rPr>
            </w:pPr>
            <w:r w:rsidRPr="002F0535">
              <w:rPr>
                <w:b/>
              </w:rPr>
              <w:t xml:space="preserve">No increased burden on primary care </w:t>
            </w:r>
          </w:p>
        </w:tc>
      </w:tr>
      <w:tr w:rsidR="002F0535" w:rsidRPr="002F0535" w14:paraId="7FA124F8" w14:textId="77777777" w:rsidTr="002F0535">
        <w:trPr>
          <w:trHeight w:val="275"/>
        </w:trPr>
        <w:tc>
          <w:tcPr>
            <w:tcW w:w="2486" w:type="dxa"/>
          </w:tcPr>
          <w:p w14:paraId="6DA66ADC" w14:textId="77777777" w:rsidR="002F0535" w:rsidRPr="002F0535" w:rsidRDefault="002F0535" w:rsidP="002F0535">
            <w:pPr>
              <w:rPr>
                <w:b/>
              </w:rPr>
            </w:pPr>
            <w:r w:rsidRPr="002F0535">
              <w:rPr>
                <w:b/>
              </w:rPr>
              <w:t xml:space="preserve">CYP &amp; their families are able to participate in SDM process that enables </w:t>
            </w:r>
          </w:p>
        </w:tc>
        <w:tc>
          <w:tcPr>
            <w:tcW w:w="2487" w:type="dxa"/>
            <w:gridSpan w:val="2"/>
          </w:tcPr>
          <w:p w14:paraId="245E6393" w14:textId="77777777" w:rsidR="002F0535" w:rsidRPr="002F0535" w:rsidRDefault="002F0535" w:rsidP="002F0535">
            <w:pPr>
              <w:rPr>
                <w:b/>
              </w:rPr>
            </w:pPr>
            <w:proofErr w:type="spellStart"/>
            <w:r w:rsidRPr="002F0535">
              <w:rPr>
                <w:b/>
              </w:rPr>
              <w:t>CollaboRATE</w:t>
            </w:r>
            <w:proofErr w:type="spellEnd"/>
            <w:r w:rsidRPr="002F0535">
              <w:rPr>
                <w:b/>
              </w:rPr>
              <w:t xml:space="preserve"> (patient reported measure of the quality of the SDM process) </w:t>
            </w:r>
          </w:p>
        </w:tc>
        <w:tc>
          <w:tcPr>
            <w:tcW w:w="2486" w:type="dxa"/>
            <w:gridSpan w:val="2"/>
          </w:tcPr>
          <w:p w14:paraId="541EB65F" w14:textId="77777777" w:rsidR="002F0535" w:rsidRPr="002F0535" w:rsidRDefault="002F0535" w:rsidP="002F0535">
            <w:pPr>
              <w:rPr>
                <w:b/>
              </w:rPr>
            </w:pPr>
            <w:r w:rsidRPr="002F0535">
              <w:rPr>
                <w:b/>
              </w:rPr>
              <w:t xml:space="preserve">Number &amp; % of CYP participating in SDM process </w:t>
            </w:r>
          </w:p>
        </w:tc>
        <w:tc>
          <w:tcPr>
            <w:tcW w:w="6257" w:type="dxa"/>
            <w:gridSpan w:val="3"/>
          </w:tcPr>
          <w:p w14:paraId="39474EA7" w14:textId="77777777" w:rsidR="002F0535" w:rsidRPr="002F0535" w:rsidRDefault="002F0535" w:rsidP="002F0535">
            <w:pPr>
              <w:rPr>
                <w:b/>
              </w:rPr>
            </w:pPr>
            <w:r w:rsidRPr="002F0535">
              <w:rPr>
                <w:b/>
              </w:rPr>
              <w:t xml:space="preserve">Ensure CYP satisfaction remains constant. </w:t>
            </w:r>
          </w:p>
        </w:tc>
      </w:tr>
    </w:tbl>
    <w:p w14:paraId="64144929" w14:textId="77777777" w:rsidR="002F0535" w:rsidRPr="002F0535" w:rsidRDefault="002F0535" w:rsidP="00CE5727">
      <w:pPr>
        <w:rPr>
          <w:b/>
        </w:rPr>
      </w:pPr>
    </w:p>
    <w:p w14:paraId="79478887" w14:textId="77777777" w:rsidR="002F0535" w:rsidRDefault="002F0535" w:rsidP="00CE5727"/>
    <w:p w14:paraId="484D8CB1" w14:textId="77777777" w:rsidR="00CE5727" w:rsidRDefault="00CE5727"/>
    <w:p w14:paraId="621B40A2" w14:textId="77777777" w:rsidR="00CE5727" w:rsidRDefault="00CE5727"/>
    <w:sectPr w:rsidR="00CE5727" w:rsidSect="002F0535">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D02"/>
    <w:multiLevelType w:val="hybridMultilevel"/>
    <w:tmpl w:val="E0B4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A174BB"/>
    <w:multiLevelType w:val="hybridMultilevel"/>
    <w:tmpl w:val="6AA240A0"/>
    <w:lvl w:ilvl="0" w:tplc="00000001">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EC96D8D"/>
    <w:multiLevelType w:val="multilevel"/>
    <w:tmpl w:val="198675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201C0C"/>
    <w:multiLevelType w:val="hybridMultilevel"/>
    <w:tmpl w:val="94E45B38"/>
    <w:lvl w:ilvl="0" w:tplc="F9E08832">
      <w:start w:val="1"/>
      <w:numFmt w:val="bullet"/>
      <w:lvlText w:val=""/>
      <w:lvlJc w:val="left"/>
      <w:pPr>
        <w:ind w:left="720" w:hanging="360"/>
      </w:pPr>
      <w:rPr>
        <w:rFonts w:asciiTheme="minorHAnsi" w:hAnsiTheme="minorHAnsi"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7380213"/>
    <w:multiLevelType w:val="multilevel"/>
    <w:tmpl w:val="FAF8BF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641954"/>
    <w:multiLevelType w:val="hybridMultilevel"/>
    <w:tmpl w:val="E89E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4B3CE6"/>
    <w:multiLevelType w:val="hybridMultilevel"/>
    <w:tmpl w:val="AAB46AE0"/>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nsid w:val="30E33ABF"/>
    <w:multiLevelType w:val="hybridMultilevel"/>
    <w:tmpl w:val="ED684E10"/>
    <w:lvl w:ilvl="0" w:tplc="A9CA5DBC">
      <w:numFmt w:val="bullet"/>
      <w:lvlText w:val="•"/>
      <w:lvlJc w:val="left"/>
      <w:pPr>
        <w:ind w:left="720" w:hanging="360"/>
      </w:pPr>
      <w:rPr>
        <w:rFonts w:ascii="Arial" w:eastAsia="Times New Roman"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E56DA1"/>
    <w:multiLevelType w:val="hybridMultilevel"/>
    <w:tmpl w:val="320C62CE"/>
    <w:lvl w:ilvl="0" w:tplc="A9CA5DBC">
      <w:numFmt w:val="bullet"/>
      <w:lvlText w:val="•"/>
      <w:lvlJc w:val="left"/>
      <w:pPr>
        <w:ind w:left="1440" w:hanging="360"/>
      </w:pPr>
      <w:rPr>
        <w:rFonts w:ascii="Arial" w:eastAsia="Times New Roman" w:hAnsi="Arial"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9">
    <w:nsid w:val="39F6443F"/>
    <w:multiLevelType w:val="hybridMultilevel"/>
    <w:tmpl w:val="F8CC2E1C"/>
    <w:lvl w:ilvl="0" w:tplc="00000001">
      <w:start w:val="1"/>
      <w:numFmt w:val="bullet"/>
      <w:lvlText w:val="•"/>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CA94D9A"/>
    <w:multiLevelType w:val="hybridMultilevel"/>
    <w:tmpl w:val="70226448"/>
    <w:lvl w:ilvl="0" w:tplc="89108F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260448"/>
    <w:multiLevelType w:val="hybridMultilevel"/>
    <w:tmpl w:val="BCCA2F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58073B1"/>
    <w:multiLevelType w:val="hybridMultilevel"/>
    <w:tmpl w:val="E682A570"/>
    <w:lvl w:ilvl="0" w:tplc="62F24E9C">
      <w:start w:val="1"/>
      <w:numFmt w:val="bullet"/>
      <w:lvlText w:val=""/>
      <w:lvlJc w:val="left"/>
      <w:pPr>
        <w:ind w:left="720" w:hanging="360"/>
      </w:pPr>
      <w:rPr>
        <w:rFonts w:asciiTheme="minorHAnsi" w:hAnsiTheme="minorHAns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823B4E"/>
    <w:multiLevelType w:val="hybridMultilevel"/>
    <w:tmpl w:val="F620ED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8711F5B"/>
    <w:multiLevelType w:val="hybridMultilevel"/>
    <w:tmpl w:val="76AE4E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DF401D"/>
    <w:multiLevelType w:val="hybridMultilevel"/>
    <w:tmpl w:val="A12C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D61AC"/>
    <w:multiLevelType w:val="hybridMultilevel"/>
    <w:tmpl w:val="C1403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B810113"/>
    <w:multiLevelType w:val="hybridMultilevel"/>
    <w:tmpl w:val="7EF6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58430A"/>
    <w:multiLevelType w:val="hybridMultilevel"/>
    <w:tmpl w:val="16C6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371512"/>
    <w:multiLevelType w:val="hybridMultilevel"/>
    <w:tmpl w:val="33523572"/>
    <w:lvl w:ilvl="0" w:tplc="62F24E9C">
      <w:start w:val="1"/>
      <w:numFmt w:val="bullet"/>
      <w:lvlText w:val=""/>
      <w:lvlJc w:val="left"/>
      <w:pPr>
        <w:ind w:left="720" w:hanging="360"/>
      </w:pPr>
      <w:rPr>
        <w:rFonts w:asciiTheme="minorHAnsi" w:hAnsiTheme="minorHAns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506EFA"/>
    <w:multiLevelType w:val="hybridMultilevel"/>
    <w:tmpl w:val="78F278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C16EBA"/>
    <w:multiLevelType w:val="hybridMultilevel"/>
    <w:tmpl w:val="C938F2B6"/>
    <w:lvl w:ilvl="0" w:tplc="A9CA5DBC">
      <w:numFmt w:val="bullet"/>
      <w:lvlText w:val="•"/>
      <w:lvlJc w:val="left"/>
      <w:pPr>
        <w:ind w:left="1440" w:hanging="360"/>
      </w:pPr>
      <w:rPr>
        <w:rFonts w:ascii="Arial" w:eastAsia="Times New Roman" w:hAnsi="Aria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3"/>
  </w:num>
  <w:num w:numId="2">
    <w:abstractNumId w:val="11"/>
  </w:num>
  <w:num w:numId="3">
    <w:abstractNumId w:val="15"/>
  </w:num>
  <w:num w:numId="4">
    <w:abstractNumId w:val="5"/>
  </w:num>
  <w:num w:numId="5">
    <w:abstractNumId w:val="16"/>
  </w:num>
  <w:num w:numId="6">
    <w:abstractNumId w:val="0"/>
  </w:num>
  <w:num w:numId="7">
    <w:abstractNumId w:val="18"/>
  </w:num>
  <w:num w:numId="8">
    <w:abstractNumId w:val="10"/>
  </w:num>
  <w:num w:numId="9">
    <w:abstractNumId w:val="14"/>
  </w:num>
  <w:num w:numId="10">
    <w:abstractNumId w:val="4"/>
  </w:num>
  <w:num w:numId="11">
    <w:abstractNumId w:val="2"/>
  </w:num>
  <w:num w:numId="12">
    <w:abstractNumId w:val="21"/>
  </w:num>
  <w:num w:numId="13">
    <w:abstractNumId w:val="3"/>
  </w:num>
  <w:num w:numId="14">
    <w:abstractNumId w:val="8"/>
  </w:num>
  <w:num w:numId="15">
    <w:abstractNumId w:val="20"/>
  </w:num>
  <w:num w:numId="16">
    <w:abstractNumId w:val="12"/>
  </w:num>
  <w:num w:numId="17">
    <w:abstractNumId w:val="19"/>
  </w:num>
  <w:num w:numId="18">
    <w:abstractNumId w:val="7"/>
  </w:num>
  <w:num w:numId="19">
    <w:abstractNumId w:val="17"/>
  </w:num>
  <w:num w:numId="20">
    <w:abstractNumId w:val="6"/>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27"/>
    <w:rsid w:val="00007598"/>
    <w:rsid w:val="00016487"/>
    <w:rsid w:val="000A4725"/>
    <w:rsid w:val="000B0A9E"/>
    <w:rsid w:val="000C29B6"/>
    <w:rsid w:val="001219F8"/>
    <w:rsid w:val="00130050"/>
    <w:rsid w:val="0013404A"/>
    <w:rsid w:val="001A5B9B"/>
    <w:rsid w:val="001C3C2A"/>
    <w:rsid w:val="001E5635"/>
    <w:rsid w:val="00202B20"/>
    <w:rsid w:val="002A268A"/>
    <w:rsid w:val="002B1B27"/>
    <w:rsid w:val="002F0535"/>
    <w:rsid w:val="002F3934"/>
    <w:rsid w:val="003639FD"/>
    <w:rsid w:val="003C6276"/>
    <w:rsid w:val="003C7DE9"/>
    <w:rsid w:val="00417D86"/>
    <w:rsid w:val="004326A0"/>
    <w:rsid w:val="0043704A"/>
    <w:rsid w:val="00440FC6"/>
    <w:rsid w:val="00444DE7"/>
    <w:rsid w:val="0044663A"/>
    <w:rsid w:val="004D5ABE"/>
    <w:rsid w:val="005A5E74"/>
    <w:rsid w:val="005D7A1D"/>
    <w:rsid w:val="005E1295"/>
    <w:rsid w:val="00602ED1"/>
    <w:rsid w:val="006057DB"/>
    <w:rsid w:val="00606B56"/>
    <w:rsid w:val="00620082"/>
    <w:rsid w:val="006520F8"/>
    <w:rsid w:val="00704119"/>
    <w:rsid w:val="00721093"/>
    <w:rsid w:val="00761C98"/>
    <w:rsid w:val="00790240"/>
    <w:rsid w:val="007C126D"/>
    <w:rsid w:val="00803051"/>
    <w:rsid w:val="00816702"/>
    <w:rsid w:val="008506E9"/>
    <w:rsid w:val="009308CC"/>
    <w:rsid w:val="00956BFC"/>
    <w:rsid w:val="00A552F5"/>
    <w:rsid w:val="00A57C39"/>
    <w:rsid w:val="00A60B26"/>
    <w:rsid w:val="00A823A9"/>
    <w:rsid w:val="00AE0432"/>
    <w:rsid w:val="00B8255B"/>
    <w:rsid w:val="00BA3D8B"/>
    <w:rsid w:val="00C06995"/>
    <w:rsid w:val="00C361B4"/>
    <w:rsid w:val="00C73A93"/>
    <w:rsid w:val="00CA3EBB"/>
    <w:rsid w:val="00CA42C8"/>
    <w:rsid w:val="00CA4F89"/>
    <w:rsid w:val="00CB2021"/>
    <w:rsid w:val="00CE5727"/>
    <w:rsid w:val="00D16D1E"/>
    <w:rsid w:val="00D33660"/>
    <w:rsid w:val="00D5256E"/>
    <w:rsid w:val="00D66ACF"/>
    <w:rsid w:val="00D8138A"/>
    <w:rsid w:val="00D95E90"/>
    <w:rsid w:val="00DE0E51"/>
    <w:rsid w:val="00E0190C"/>
    <w:rsid w:val="00E407F5"/>
    <w:rsid w:val="00E531AF"/>
    <w:rsid w:val="00E738E1"/>
    <w:rsid w:val="00EB0FDE"/>
    <w:rsid w:val="00EB1F37"/>
    <w:rsid w:val="00EE1797"/>
    <w:rsid w:val="00F00775"/>
    <w:rsid w:val="00F3238B"/>
    <w:rsid w:val="00FB2A9D"/>
    <w:rsid w:val="00FD126F"/>
    <w:rsid w:val="00FF42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E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727"/>
    <w:pPr>
      <w:ind w:left="720"/>
      <w:contextualSpacing/>
    </w:pPr>
  </w:style>
  <w:style w:type="character" w:styleId="Hyperlink">
    <w:name w:val="Hyperlink"/>
    <w:basedOn w:val="DefaultParagraphFont"/>
    <w:uiPriority w:val="99"/>
    <w:unhideWhenUsed/>
    <w:rsid w:val="00F3238B"/>
    <w:rPr>
      <w:color w:val="0000FF" w:themeColor="hyperlink"/>
      <w:u w:val="single"/>
    </w:rPr>
  </w:style>
  <w:style w:type="table" w:styleId="TableGrid">
    <w:name w:val="Table Grid"/>
    <w:basedOn w:val="TableNormal"/>
    <w:uiPriority w:val="59"/>
    <w:rsid w:val="00C0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DE9"/>
    <w:rPr>
      <w:sz w:val="16"/>
      <w:szCs w:val="16"/>
    </w:rPr>
  </w:style>
  <w:style w:type="paragraph" w:styleId="CommentText">
    <w:name w:val="annotation text"/>
    <w:basedOn w:val="Normal"/>
    <w:link w:val="CommentTextChar"/>
    <w:uiPriority w:val="99"/>
    <w:semiHidden/>
    <w:unhideWhenUsed/>
    <w:rsid w:val="003C7DE9"/>
    <w:pPr>
      <w:spacing w:line="240" w:lineRule="auto"/>
    </w:pPr>
    <w:rPr>
      <w:sz w:val="20"/>
      <w:szCs w:val="20"/>
    </w:rPr>
  </w:style>
  <w:style w:type="character" w:customStyle="1" w:styleId="CommentTextChar">
    <w:name w:val="Comment Text Char"/>
    <w:basedOn w:val="DefaultParagraphFont"/>
    <w:link w:val="CommentText"/>
    <w:uiPriority w:val="99"/>
    <w:semiHidden/>
    <w:rsid w:val="003C7DE9"/>
    <w:rPr>
      <w:sz w:val="20"/>
      <w:szCs w:val="20"/>
    </w:rPr>
  </w:style>
  <w:style w:type="paragraph" w:styleId="CommentSubject">
    <w:name w:val="annotation subject"/>
    <w:basedOn w:val="CommentText"/>
    <w:next w:val="CommentText"/>
    <w:link w:val="CommentSubjectChar"/>
    <w:uiPriority w:val="99"/>
    <w:semiHidden/>
    <w:unhideWhenUsed/>
    <w:rsid w:val="003C7DE9"/>
    <w:rPr>
      <w:b/>
      <w:bCs/>
    </w:rPr>
  </w:style>
  <w:style w:type="character" w:customStyle="1" w:styleId="CommentSubjectChar">
    <w:name w:val="Comment Subject Char"/>
    <w:basedOn w:val="CommentTextChar"/>
    <w:link w:val="CommentSubject"/>
    <w:uiPriority w:val="99"/>
    <w:semiHidden/>
    <w:rsid w:val="003C7DE9"/>
    <w:rPr>
      <w:b/>
      <w:bCs/>
      <w:sz w:val="20"/>
      <w:szCs w:val="20"/>
    </w:rPr>
  </w:style>
  <w:style w:type="paragraph" w:styleId="BalloonText">
    <w:name w:val="Balloon Text"/>
    <w:basedOn w:val="Normal"/>
    <w:link w:val="BalloonTextChar"/>
    <w:uiPriority w:val="99"/>
    <w:semiHidden/>
    <w:unhideWhenUsed/>
    <w:rsid w:val="003C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DE9"/>
    <w:rPr>
      <w:rFonts w:ascii="Tahoma" w:hAnsi="Tahoma" w:cs="Tahoma"/>
      <w:sz w:val="16"/>
      <w:szCs w:val="16"/>
    </w:rPr>
  </w:style>
  <w:style w:type="character" w:styleId="FollowedHyperlink">
    <w:name w:val="FollowedHyperlink"/>
    <w:basedOn w:val="DefaultParagraphFont"/>
    <w:uiPriority w:val="99"/>
    <w:semiHidden/>
    <w:unhideWhenUsed/>
    <w:rsid w:val="004326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727"/>
    <w:pPr>
      <w:ind w:left="720"/>
      <w:contextualSpacing/>
    </w:pPr>
  </w:style>
  <w:style w:type="character" w:styleId="Hyperlink">
    <w:name w:val="Hyperlink"/>
    <w:basedOn w:val="DefaultParagraphFont"/>
    <w:uiPriority w:val="99"/>
    <w:unhideWhenUsed/>
    <w:rsid w:val="00F3238B"/>
    <w:rPr>
      <w:color w:val="0000FF" w:themeColor="hyperlink"/>
      <w:u w:val="single"/>
    </w:rPr>
  </w:style>
  <w:style w:type="table" w:styleId="TableGrid">
    <w:name w:val="Table Grid"/>
    <w:basedOn w:val="TableNormal"/>
    <w:uiPriority w:val="59"/>
    <w:rsid w:val="00C0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DE9"/>
    <w:rPr>
      <w:sz w:val="16"/>
      <w:szCs w:val="16"/>
    </w:rPr>
  </w:style>
  <w:style w:type="paragraph" w:styleId="CommentText">
    <w:name w:val="annotation text"/>
    <w:basedOn w:val="Normal"/>
    <w:link w:val="CommentTextChar"/>
    <w:uiPriority w:val="99"/>
    <w:semiHidden/>
    <w:unhideWhenUsed/>
    <w:rsid w:val="003C7DE9"/>
    <w:pPr>
      <w:spacing w:line="240" w:lineRule="auto"/>
    </w:pPr>
    <w:rPr>
      <w:sz w:val="20"/>
      <w:szCs w:val="20"/>
    </w:rPr>
  </w:style>
  <w:style w:type="character" w:customStyle="1" w:styleId="CommentTextChar">
    <w:name w:val="Comment Text Char"/>
    <w:basedOn w:val="DefaultParagraphFont"/>
    <w:link w:val="CommentText"/>
    <w:uiPriority w:val="99"/>
    <w:semiHidden/>
    <w:rsid w:val="003C7DE9"/>
    <w:rPr>
      <w:sz w:val="20"/>
      <w:szCs w:val="20"/>
    </w:rPr>
  </w:style>
  <w:style w:type="paragraph" w:styleId="CommentSubject">
    <w:name w:val="annotation subject"/>
    <w:basedOn w:val="CommentText"/>
    <w:next w:val="CommentText"/>
    <w:link w:val="CommentSubjectChar"/>
    <w:uiPriority w:val="99"/>
    <w:semiHidden/>
    <w:unhideWhenUsed/>
    <w:rsid w:val="003C7DE9"/>
    <w:rPr>
      <w:b/>
      <w:bCs/>
    </w:rPr>
  </w:style>
  <w:style w:type="character" w:customStyle="1" w:styleId="CommentSubjectChar">
    <w:name w:val="Comment Subject Char"/>
    <w:basedOn w:val="CommentTextChar"/>
    <w:link w:val="CommentSubject"/>
    <w:uiPriority w:val="99"/>
    <w:semiHidden/>
    <w:rsid w:val="003C7DE9"/>
    <w:rPr>
      <w:b/>
      <w:bCs/>
      <w:sz w:val="20"/>
      <w:szCs w:val="20"/>
    </w:rPr>
  </w:style>
  <w:style w:type="paragraph" w:styleId="BalloonText">
    <w:name w:val="Balloon Text"/>
    <w:basedOn w:val="Normal"/>
    <w:link w:val="BalloonTextChar"/>
    <w:uiPriority w:val="99"/>
    <w:semiHidden/>
    <w:unhideWhenUsed/>
    <w:rsid w:val="003C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DE9"/>
    <w:rPr>
      <w:rFonts w:ascii="Tahoma" w:hAnsi="Tahoma" w:cs="Tahoma"/>
      <w:sz w:val="16"/>
      <w:szCs w:val="16"/>
    </w:rPr>
  </w:style>
  <w:style w:type="character" w:styleId="FollowedHyperlink">
    <w:name w:val="FollowedHyperlink"/>
    <w:basedOn w:val="DefaultParagraphFont"/>
    <w:uiPriority w:val="99"/>
    <w:semiHidden/>
    <w:unhideWhenUsed/>
    <w:rsid w:val="00432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1482">
      <w:bodyDiv w:val="1"/>
      <w:marLeft w:val="0"/>
      <w:marRight w:val="0"/>
      <w:marTop w:val="0"/>
      <w:marBottom w:val="0"/>
      <w:divBdr>
        <w:top w:val="none" w:sz="0" w:space="0" w:color="auto"/>
        <w:left w:val="none" w:sz="0" w:space="0" w:color="auto"/>
        <w:bottom w:val="none" w:sz="0" w:space="0" w:color="auto"/>
        <w:right w:val="none" w:sz="0" w:space="0" w:color="auto"/>
      </w:divBdr>
    </w:div>
    <w:div w:id="17756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cheshireeast.gov.uk/Services/1074/Crewe-0-16-Child-and" TargetMode="External"/><Relationship Id="rId13" Type="http://schemas.openxmlformats.org/officeDocument/2006/relationships/hyperlink" Target="http://www.cheshireeast.gov.uk/care-and-support/healthy-lifestyles/domestic_abuse/domestic_abuse.aspx" TargetMode="External"/><Relationship Id="rId18" Type="http://schemas.openxmlformats.org/officeDocument/2006/relationships/diagramData" Target="diagrams/data1.xml"/><Relationship Id="rId3" Type="http://schemas.microsoft.com/office/2007/relationships/stylesWithEffects" Target="stylesWithEffects.xml"/><Relationship Id="rId21" Type="http://schemas.openxmlformats.org/officeDocument/2006/relationships/diagramColors" Target="diagrams/colors1.xml"/><Relationship Id="rId7" Type="http://schemas.openxmlformats.org/officeDocument/2006/relationships/hyperlink" Target="http://www.cheshireeast.gov.uk/schools/schools.aspx" TargetMode="External"/><Relationship Id="rId12" Type="http://schemas.openxmlformats.org/officeDocument/2006/relationships/hyperlink" Target="http://www.cheshireeast.gov.uk/children_and_families/checs.aspx" TargetMode="External"/><Relationship Id="rId17" Type="http://schemas.openxmlformats.org/officeDocument/2006/relationships/hyperlink" Target="https://www.gov.uk/government/publications/working-together-to-safeguard-children--2" TargetMode="External"/><Relationship Id="rId2" Type="http://schemas.openxmlformats.org/officeDocument/2006/relationships/styles" Target="styles.xml"/><Relationship Id="rId16" Type="http://schemas.openxmlformats.org/officeDocument/2006/relationships/hyperlink" Target="https://www.gov.uk/government/publications/care-act-2014-statutory-guidance-for-implementation" TargetMode="External"/><Relationship Id="rId20"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hyperlink" Target="http://www.annafreud.org/service-improvement/service-improvement-resources/thrive/" TargetMode="External"/><Relationship Id="rId11" Type="http://schemas.openxmlformats.org/officeDocument/2006/relationships/hyperlink" Target="https://ice.cheshireeast.gov.uk/Services/887/Just-Drop-In-You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eshireeast.gov.uk/care-and-support/vulnerable-adults/vulnerable-adults.aspx" TargetMode="External"/><Relationship Id="rId23" Type="http://schemas.openxmlformats.org/officeDocument/2006/relationships/fontTable" Target="fontTable.xml"/><Relationship Id="rId10" Type="http://schemas.openxmlformats.org/officeDocument/2006/relationships/hyperlink" Target="https://ice.cheshireeast.gov.uk/Services/1070/Visyon"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s://ice.cheshireeast.gov.uk/Services/1076/16-19-Service-CAMH" TargetMode="External"/><Relationship Id="rId14" Type="http://schemas.openxmlformats.org/officeDocument/2006/relationships/hyperlink" Target="http://www.cheshireeastlscb.org.uk/professionals/procedures-and-guidance.aspx"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1821DF-5200-4D81-BD6A-2C16F4F5A32C}"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n-GB"/>
        </a:p>
      </dgm:t>
    </dgm:pt>
    <dgm:pt modelId="{61C0CA9E-2C92-46EF-82BF-990284EBFC60}">
      <dgm:prSet phldrT="[Text]"/>
      <dgm:spPr>
        <a:xfrm>
          <a:off x="912632" y="356321"/>
          <a:ext cx="1909033" cy="1909033"/>
        </a:xfrm>
        <a:prstGeom prst="pieWedge">
          <a:avLst/>
        </a:prstGeom>
        <a:solidFill>
          <a:srgbClr val="ABDB77"/>
        </a:solidFill>
        <a:ln w="25400" cap="flat" cmpd="sng" algn="ctr">
          <a:solidFill>
            <a:sysClr val="window" lastClr="FFFFFF">
              <a:hueOff val="0"/>
              <a:satOff val="0"/>
              <a:lumOff val="0"/>
              <a:alphaOff val="0"/>
            </a:sysClr>
          </a:solidFill>
          <a:prstDash val="solid"/>
        </a:ln>
        <a:effectLst/>
      </dgm:spPr>
      <dgm:t>
        <a:bodyPr/>
        <a:lstStyle/>
        <a:p>
          <a:r>
            <a:rPr lang="en-GB" b="1">
              <a:solidFill>
                <a:sysClr val="windowText" lastClr="000000"/>
              </a:solidFill>
              <a:latin typeface="Calibri"/>
              <a:ea typeface="+mn-ea"/>
              <a:cs typeface="+mn-cs"/>
            </a:rPr>
            <a:t>Getting Advice </a:t>
          </a:r>
        </a:p>
        <a:p>
          <a:r>
            <a:rPr lang="en-GB">
              <a:solidFill>
                <a:sysClr val="windowText" lastClr="000000"/>
              </a:solidFill>
              <a:latin typeface="Calibri"/>
              <a:ea typeface="+mn-ea"/>
              <a:cs typeface="+mn-cs"/>
            </a:rPr>
            <a:t>Signposting, self-management and one off contact</a:t>
          </a:r>
        </a:p>
        <a:p>
          <a:endParaRPr lang="en-GB">
            <a:solidFill>
              <a:sysClr val="window" lastClr="FFFFFF"/>
            </a:solidFill>
            <a:latin typeface="Calibri"/>
            <a:ea typeface="+mn-ea"/>
            <a:cs typeface="+mn-cs"/>
          </a:endParaRPr>
        </a:p>
        <a:p>
          <a:endParaRPr lang="en-GB">
            <a:solidFill>
              <a:sysClr val="window" lastClr="FFFFFF"/>
            </a:solidFill>
            <a:latin typeface="Calibri"/>
            <a:ea typeface="+mn-ea"/>
            <a:cs typeface="+mn-cs"/>
          </a:endParaRPr>
        </a:p>
      </dgm:t>
    </dgm:pt>
    <dgm:pt modelId="{524C40D1-D282-4F7F-9A72-18F482182992}" type="parTrans" cxnId="{67C1E3C2-DF64-4CA9-8C62-8DD2F05E7C43}">
      <dgm:prSet/>
      <dgm:spPr/>
      <dgm:t>
        <a:bodyPr/>
        <a:lstStyle/>
        <a:p>
          <a:endParaRPr lang="en-GB"/>
        </a:p>
      </dgm:t>
    </dgm:pt>
    <dgm:pt modelId="{22A65305-FF4B-4AC2-8DAB-795DC2613D41}" type="sibTrans" cxnId="{67C1E3C2-DF64-4CA9-8C62-8DD2F05E7C43}">
      <dgm:prSet/>
      <dgm:spPr/>
      <dgm:t>
        <a:bodyPr/>
        <a:lstStyle/>
        <a:p>
          <a:endParaRPr lang="en-GB"/>
        </a:p>
      </dgm:t>
    </dgm:pt>
    <dgm:pt modelId="{D503847A-817A-4A00-9426-02451BBA4056}">
      <dgm:prSet phldrT="[Text]"/>
      <dgm:spPr>
        <a:xfrm rot="5400000">
          <a:off x="2909843" y="356321"/>
          <a:ext cx="1909033" cy="1909033"/>
        </a:xfrm>
        <a:prstGeom prst="pieWedge">
          <a:avLst/>
        </a:prstGeom>
        <a:solidFill>
          <a:srgbClr val="53D2FF"/>
        </a:solidFill>
        <a:ln w="25400" cap="flat" cmpd="sng" algn="ctr">
          <a:solidFill>
            <a:sysClr val="window" lastClr="FFFFFF">
              <a:hueOff val="0"/>
              <a:satOff val="0"/>
              <a:lumOff val="0"/>
              <a:alphaOff val="0"/>
            </a:sysClr>
          </a:solidFill>
          <a:prstDash val="solid"/>
        </a:ln>
        <a:effectLst/>
      </dgm:spPr>
      <dgm:t>
        <a:bodyPr/>
        <a:lstStyle/>
        <a:p>
          <a:r>
            <a:rPr lang="en-GB" b="1">
              <a:solidFill>
                <a:sysClr val="windowText" lastClr="000000"/>
              </a:solidFill>
              <a:latin typeface="Calibri"/>
              <a:ea typeface="+mn-ea"/>
              <a:cs typeface="+mn-cs"/>
            </a:rPr>
            <a:t>Getting Help</a:t>
          </a:r>
        </a:p>
        <a:p>
          <a:r>
            <a:rPr lang="en-GB">
              <a:solidFill>
                <a:sysClr val="windowText" lastClr="000000"/>
              </a:solidFill>
              <a:latin typeface="Calibri"/>
              <a:ea typeface="+mn-ea"/>
              <a:cs typeface="+mn-cs"/>
            </a:rPr>
            <a:t>Goal Focussed, evidence informed &amp; outcome focussed interventions</a:t>
          </a:r>
        </a:p>
        <a:p>
          <a:endParaRPr lang="en-GB">
            <a:solidFill>
              <a:sysClr val="windowText" lastClr="000000"/>
            </a:solidFill>
            <a:latin typeface="Calibri"/>
            <a:ea typeface="+mn-ea"/>
            <a:cs typeface="+mn-cs"/>
          </a:endParaRPr>
        </a:p>
      </dgm:t>
    </dgm:pt>
    <dgm:pt modelId="{01F75F2B-488E-479E-A90F-2AAE5844A6E2}" type="parTrans" cxnId="{6273BE93-721B-4B1D-ACD2-0BA08D284489}">
      <dgm:prSet/>
      <dgm:spPr/>
      <dgm:t>
        <a:bodyPr/>
        <a:lstStyle/>
        <a:p>
          <a:endParaRPr lang="en-GB"/>
        </a:p>
      </dgm:t>
    </dgm:pt>
    <dgm:pt modelId="{043CA97B-11F5-409E-B3AF-46F8CE922B4B}" type="sibTrans" cxnId="{6273BE93-721B-4B1D-ACD2-0BA08D284489}">
      <dgm:prSet/>
      <dgm:spPr/>
      <dgm:t>
        <a:bodyPr/>
        <a:lstStyle/>
        <a:p>
          <a:endParaRPr lang="en-GB"/>
        </a:p>
      </dgm:t>
    </dgm:pt>
    <dgm:pt modelId="{48329024-CEDB-4C9E-861B-DBD2C6E780CD}">
      <dgm:prSet phldrT="[Text]"/>
      <dgm:spPr>
        <a:xfrm rot="10800000">
          <a:off x="2909843" y="2353532"/>
          <a:ext cx="1909033" cy="1909033"/>
        </a:xfrm>
        <a:prstGeom prst="pieWedge">
          <a:avLst/>
        </a:prstGeom>
        <a:solidFill>
          <a:srgbClr val="AA72D4"/>
        </a:solidFill>
        <a:ln w="25400" cap="flat" cmpd="sng" algn="ctr">
          <a:solidFill>
            <a:sysClr val="window" lastClr="FFFFFF">
              <a:hueOff val="0"/>
              <a:satOff val="0"/>
              <a:lumOff val="0"/>
              <a:alphaOff val="0"/>
            </a:sysClr>
          </a:solidFill>
          <a:prstDash val="solid"/>
        </a:ln>
        <a:effectLst/>
      </dgm:spPr>
      <dgm:t>
        <a:bodyPr/>
        <a:lstStyle/>
        <a:p>
          <a:endParaRPr lang="en-GB" b="1">
            <a:solidFill>
              <a:sysClr val="window" lastClr="FFFFFF"/>
            </a:solidFill>
            <a:latin typeface="Calibri"/>
            <a:ea typeface="+mn-ea"/>
            <a:cs typeface="+mn-cs"/>
          </a:endParaRPr>
        </a:p>
        <a:p>
          <a:endParaRPr lang="en-GB" b="1">
            <a:solidFill>
              <a:sysClr val="windowText" lastClr="000000"/>
            </a:solidFill>
            <a:latin typeface="Calibri"/>
            <a:ea typeface="+mn-ea"/>
            <a:cs typeface="+mn-cs"/>
          </a:endParaRPr>
        </a:p>
        <a:p>
          <a:r>
            <a:rPr lang="en-GB" b="1">
              <a:solidFill>
                <a:sysClr val="windowText" lastClr="000000"/>
              </a:solidFill>
              <a:latin typeface="Calibri"/>
              <a:ea typeface="+mn-ea"/>
              <a:cs typeface="+mn-cs"/>
            </a:rPr>
            <a:t>Getting More Help</a:t>
          </a:r>
        </a:p>
        <a:p>
          <a:r>
            <a:rPr lang="en-GB">
              <a:solidFill>
                <a:sysClr val="windowText" lastClr="000000"/>
              </a:solidFill>
              <a:latin typeface="Calibri"/>
              <a:ea typeface="+mn-ea"/>
              <a:cs typeface="+mn-cs"/>
            </a:rPr>
            <a:t>Extensive Treatment</a:t>
          </a:r>
        </a:p>
      </dgm:t>
    </dgm:pt>
    <dgm:pt modelId="{1CACFB38-B177-4D5C-B11B-ACB3A42865BD}" type="parTrans" cxnId="{AD9D146B-A83D-4EDA-B16E-1F24FF8F89A7}">
      <dgm:prSet/>
      <dgm:spPr/>
      <dgm:t>
        <a:bodyPr/>
        <a:lstStyle/>
        <a:p>
          <a:endParaRPr lang="en-GB"/>
        </a:p>
      </dgm:t>
    </dgm:pt>
    <dgm:pt modelId="{B6DB03E6-A941-4956-A451-ACC00A470B3A}" type="sibTrans" cxnId="{AD9D146B-A83D-4EDA-B16E-1F24FF8F89A7}">
      <dgm:prSet/>
      <dgm:spPr/>
      <dgm:t>
        <a:bodyPr/>
        <a:lstStyle/>
        <a:p>
          <a:endParaRPr lang="en-GB"/>
        </a:p>
      </dgm:t>
    </dgm:pt>
    <dgm:pt modelId="{6A49BD56-2BE9-41CD-BE26-D2614834B59A}">
      <dgm:prSet phldrT="[Text]"/>
      <dgm:spPr>
        <a:xfrm rot="16200000">
          <a:off x="912632" y="2353532"/>
          <a:ext cx="1909033" cy="1909033"/>
        </a:xfrm>
        <a:prstGeom prst="pieWedge">
          <a:avLst/>
        </a:prstGeom>
        <a:solidFill>
          <a:srgbClr val="F79646">
            <a:lumMod val="60000"/>
            <a:lumOff val="40000"/>
          </a:srgbClr>
        </a:solidFill>
        <a:ln w="25400" cap="flat" cmpd="sng" algn="ctr">
          <a:solidFill>
            <a:sysClr val="window" lastClr="FFFFFF">
              <a:hueOff val="0"/>
              <a:satOff val="0"/>
              <a:lumOff val="0"/>
              <a:alphaOff val="0"/>
            </a:sysClr>
          </a:solidFill>
          <a:prstDash val="solid"/>
        </a:ln>
        <a:effectLst/>
      </dgm:spPr>
      <dgm:t>
        <a:bodyPr/>
        <a:lstStyle/>
        <a:p>
          <a:endParaRPr lang="en-GB">
            <a:solidFill>
              <a:sysClr val="windowText" lastClr="000000"/>
            </a:solidFill>
            <a:latin typeface="Calibri"/>
            <a:ea typeface="+mn-ea"/>
            <a:cs typeface="+mn-cs"/>
          </a:endParaRPr>
        </a:p>
        <a:p>
          <a:endParaRPr lang="en-GB">
            <a:solidFill>
              <a:sysClr val="windowText" lastClr="000000"/>
            </a:solidFill>
            <a:latin typeface="Calibri"/>
            <a:ea typeface="+mn-ea"/>
            <a:cs typeface="+mn-cs"/>
          </a:endParaRPr>
        </a:p>
        <a:p>
          <a:endParaRPr lang="en-GB">
            <a:solidFill>
              <a:sysClr val="windowText" lastClr="000000"/>
            </a:solidFill>
            <a:latin typeface="Calibri"/>
            <a:ea typeface="+mn-ea"/>
            <a:cs typeface="+mn-cs"/>
          </a:endParaRPr>
        </a:p>
        <a:p>
          <a:r>
            <a:rPr lang="en-GB" b="1">
              <a:solidFill>
                <a:sysClr val="windowText" lastClr="000000"/>
              </a:solidFill>
              <a:latin typeface="Calibri"/>
              <a:ea typeface="+mn-ea"/>
              <a:cs typeface="+mn-cs"/>
            </a:rPr>
            <a:t>Getting Risk Support</a:t>
          </a:r>
        </a:p>
        <a:p>
          <a:r>
            <a:rPr lang="en-GB">
              <a:solidFill>
                <a:sysClr val="windowText" lastClr="000000"/>
              </a:solidFill>
              <a:latin typeface="Calibri"/>
              <a:ea typeface="+mn-ea"/>
              <a:cs typeface="+mn-cs"/>
            </a:rPr>
            <a:t>Risk Management and crisis support</a:t>
          </a:r>
        </a:p>
      </dgm:t>
    </dgm:pt>
    <dgm:pt modelId="{361A2BF4-8058-4A90-966E-2542F469DF8D}" type="parTrans" cxnId="{C1771BCE-A182-40AB-8DE8-B32E3E3307BF}">
      <dgm:prSet/>
      <dgm:spPr/>
      <dgm:t>
        <a:bodyPr/>
        <a:lstStyle/>
        <a:p>
          <a:endParaRPr lang="en-GB"/>
        </a:p>
      </dgm:t>
    </dgm:pt>
    <dgm:pt modelId="{89671ED9-266F-401B-AC26-285756DCEAEE}" type="sibTrans" cxnId="{C1771BCE-A182-40AB-8DE8-B32E3E3307BF}">
      <dgm:prSet/>
      <dgm:spPr/>
      <dgm:t>
        <a:bodyPr/>
        <a:lstStyle/>
        <a:p>
          <a:endParaRPr lang="en-GB"/>
        </a:p>
      </dgm:t>
    </dgm:pt>
    <dgm:pt modelId="{851A34EE-3AFC-4EAC-8160-DF3A92914A9B}" type="pres">
      <dgm:prSet presAssocID="{3F1821DF-5200-4D81-BD6A-2C16F4F5A32C}" presName="cycleMatrixDiagram" presStyleCnt="0">
        <dgm:presLayoutVars>
          <dgm:chMax val="1"/>
          <dgm:dir/>
          <dgm:animLvl val="lvl"/>
          <dgm:resizeHandles val="exact"/>
        </dgm:presLayoutVars>
      </dgm:prSet>
      <dgm:spPr/>
      <dgm:t>
        <a:bodyPr/>
        <a:lstStyle/>
        <a:p>
          <a:endParaRPr lang="en-GB"/>
        </a:p>
      </dgm:t>
    </dgm:pt>
    <dgm:pt modelId="{039D806B-0FAE-49D7-A65E-B430810A2792}" type="pres">
      <dgm:prSet presAssocID="{3F1821DF-5200-4D81-BD6A-2C16F4F5A32C}" presName="children" presStyleCnt="0"/>
      <dgm:spPr/>
    </dgm:pt>
    <dgm:pt modelId="{1F3BB877-4B95-4E92-B643-712D94DF48A0}" type="pres">
      <dgm:prSet presAssocID="{3F1821DF-5200-4D81-BD6A-2C16F4F5A32C}" presName="childPlaceholder" presStyleCnt="0"/>
      <dgm:spPr/>
    </dgm:pt>
    <dgm:pt modelId="{1E1C0ADC-DF1C-40F9-BCAD-6930842F8590}" type="pres">
      <dgm:prSet presAssocID="{3F1821DF-5200-4D81-BD6A-2C16F4F5A32C}" presName="circle" presStyleCnt="0"/>
      <dgm:spPr/>
    </dgm:pt>
    <dgm:pt modelId="{2F94A614-71E7-40B4-933A-110754175B77}" type="pres">
      <dgm:prSet presAssocID="{3F1821DF-5200-4D81-BD6A-2C16F4F5A32C}" presName="quadrant1" presStyleLbl="node1" presStyleIdx="0" presStyleCnt="4">
        <dgm:presLayoutVars>
          <dgm:chMax val="1"/>
          <dgm:bulletEnabled val="1"/>
        </dgm:presLayoutVars>
      </dgm:prSet>
      <dgm:spPr/>
      <dgm:t>
        <a:bodyPr/>
        <a:lstStyle/>
        <a:p>
          <a:endParaRPr lang="en-GB"/>
        </a:p>
      </dgm:t>
    </dgm:pt>
    <dgm:pt modelId="{79E03B36-9B22-4ED7-A1AB-01E9395C3E94}" type="pres">
      <dgm:prSet presAssocID="{3F1821DF-5200-4D81-BD6A-2C16F4F5A32C}" presName="quadrant2" presStyleLbl="node1" presStyleIdx="1" presStyleCnt="4">
        <dgm:presLayoutVars>
          <dgm:chMax val="1"/>
          <dgm:bulletEnabled val="1"/>
        </dgm:presLayoutVars>
      </dgm:prSet>
      <dgm:spPr/>
      <dgm:t>
        <a:bodyPr/>
        <a:lstStyle/>
        <a:p>
          <a:endParaRPr lang="en-GB"/>
        </a:p>
      </dgm:t>
    </dgm:pt>
    <dgm:pt modelId="{A076BA3E-B834-444F-995C-1BDB9F0B1C05}" type="pres">
      <dgm:prSet presAssocID="{3F1821DF-5200-4D81-BD6A-2C16F4F5A32C}" presName="quadrant3" presStyleLbl="node1" presStyleIdx="2" presStyleCnt="4">
        <dgm:presLayoutVars>
          <dgm:chMax val="1"/>
          <dgm:bulletEnabled val="1"/>
        </dgm:presLayoutVars>
      </dgm:prSet>
      <dgm:spPr/>
      <dgm:t>
        <a:bodyPr/>
        <a:lstStyle/>
        <a:p>
          <a:endParaRPr lang="en-GB"/>
        </a:p>
      </dgm:t>
    </dgm:pt>
    <dgm:pt modelId="{5BA29088-C5FF-409A-AAC0-449613C885D5}" type="pres">
      <dgm:prSet presAssocID="{3F1821DF-5200-4D81-BD6A-2C16F4F5A32C}" presName="quadrant4" presStyleLbl="node1" presStyleIdx="3" presStyleCnt="4">
        <dgm:presLayoutVars>
          <dgm:chMax val="1"/>
          <dgm:bulletEnabled val="1"/>
        </dgm:presLayoutVars>
      </dgm:prSet>
      <dgm:spPr/>
      <dgm:t>
        <a:bodyPr/>
        <a:lstStyle/>
        <a:p>
          <a:endParaRPr lang="en-GB"/>
        </a:p>
      </dgm:t>
    </dgm:pt>
    <dgm:pt modelId="{37CF29EE-CE15-4C2D-8759-542AAA1B61BB}" type="pres">
      <dgm:prSet presAssocID="{3F1821DF-5200-4D81-BD6A-2C16F4F5A32C}" presName="quadrantPlaceholder" presStyleCnt="0"/>
      <dgm:spPr/>
    </dgm:pt>
    <dgm:pt modelId="{35368A6B-07E8-46AA-8B5B-B482905F5600}" type="pres">
      <dgm:prSet presAssocID="{3F1821DF-5200-4D81-BD6A-2C16F4F5A32C}" presName="center1" presStyleLbl="fgShp" presStyleIdx="0" presStyleCnt="2"/>
      <dgm:spPr>
        <a:xfrm>
          <a:off x="2536193" y="1912646"/>
          <a:ext cx="659123" cy="573151"/>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221C0529-069C-4C0B-ABC6-C23474E256B1}" type="pres">
      <dgm:prSet presAssocID="{3F1821DF-5200-4D81-BD6A-2C16F4F5A32C}" presName="center2" presStyleLbl="fgShp" presStyleIdx="1" presStyleCnt="2"/>
      <dgm:spPr>
        <a:xfrm rot="10800000">
          <a:off x="2536193" y="2133089"/>
          <a:ext cx="659123" cy="573151"/>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Lst>
  <dgm:cxnLst>
    <dgm:cxn modelId="{6273BE93-721B-4B1D-ACD2-0BA08D284489}" srcId="{3F1821DF-5200-4D81-BD6A-2C16F4F5A32C}" destId="{D503847A-817A-4A00-9426-02451BBA4056}" srcOrd="1" destOrd="0" parTransId="{01F75F2B-488E-479E-A90F-2AAE5844A6E2}" sibTransId="{043CA97B-11F5-409E-B3AF-46F8CE922B4B}"/>
    <dgm:cxn modelId="{76C4E516-9DEA-4B00-A8AF-C68760BBF80C}" type="presOf" srcId="{D503847A-817A-4A00-9426-02451BBA4056}" destId="{79E03B36-9B22-4ED7-A1AB-01E9395C3E94}" srcOrd="0" destOrd="0" presId="urn:microsoft.com/office/officeart/2005/8/layout/cycle4"/>
    <dgm:cxn modelId="{3CDAEF0D-B6B4-4CC1-9566-B8EA43D1588C}" type="presOf" srcId="{48329024-CEDB-4C9E-861B-DBD2C6E780CD}" destId="{A076BA3E-B834-444F-995C-1BDB9F0B1C05}" srcOrd="0" destOrd="0" presId="urn:microsoft.com/office/officeart/2005/8/layout/cycle4"/>
    <dgm:cxn modelId="{2E968361-CCB5-4C5D-BCE7-17160C587A35}" type="presOf" srcId="{61C0CA9E-2C92-46EF-82BF-990284EBFC60}" destId="{2F94A614-71E7-40B4-933A-110754175B77}" srcOrd="0" destOrd="0" presId="urn:microsoft.com/office/officeart/2005/8/layout/cycle4"/>
    <dgm:cxn modelId="{C02B4774-2BB8-45FA-AB92-78A6C6D81877}" type="presOf" srcId="{6A49BD56-2BE9-41CD-BE26-D2614834B59A}" destId="{5BA29088-C5FF-409A-AAC0-449613C885D5}" srcOrd="0" destOrd="0" presId="urn:microsoft.com/office/officeart/2005/8/layout/cycle4"/>
    <dgm:cxn modelId="{C1771BCE-A182-40AB-8DE8-B32E3E3307BF}" srcId="{3F1821DF-5200-4D81-BD6A-2C16F4F5A32C}" destId="{6A49BD56-2BE9-41CD-BE26-D2614834B59A}" srcOrd="3" destOrd="0" parTransId="{361A2BF4-8058-4A90-966E-2542F469DF8D}" sibTransId="{89671ED9-266F-401B-AC26-285756DCEAEE}"/>
    <dgm:cxn modelId="{67C1E3C2-DF64-4CA9-8C62-8DD2F05E7C43}" srcId="{3F1821DF-5200-4D81-BD6A-2C16F4F5A32C}" destId="{61C0CA9E-2C92-46EF-82BF-990284EBFC60}" srcOrd="0" destOrd="0" parTransId="{524C40D1-D282-4F7F-9A72-18F482182992}" sibTransId="{22A65305-FF4B-4AC2-8DAB-795DC2613D41}"/>
    <dgm:cxn modelId="{08E4C83B-7FC9-485C-96E9-6754CB1A8B22}" type="presOf" srcId="{3F1821DF-5200-4D81-BD6A-2C16F4F5A32C}" destId="{851A34EE-3AFC-4EAC-8160-DF3A92914A9B}" srcOrd="0" destOrd="0" presId="urn:microsoft.com/office/officeart/2005/8/layout/cycle4"/>
    <dgm:cxn modelId="{AD9D146B-A83D-4EDA-B16E-1F24FF8F89A7}" srcId="{3F1821DF-5200-4D81-BD6A-2C16F4F5A32C}" destId="{48329024-CEDB-4C9E-861B-DBD2C6E780CD}" srcOrd="2" destOrd="0" parTransId="{1CACFB38-B177-4D5C-B11B-ACB3A42865BD}" sibTransId="{B6DB03E6-A941-4956-A451-ACC00A470B3A}"/>
    <dgm:cxn modelId="{EC6EB75D-B1AD-4D5C-B0C4-D0BDBBBC3EFE}" type="presParOf" srcId="{851A34EE-3AFC-4EAC-8160-DF3A92914A9B}" destId="{039D806B-0FAE-49D7-A65E-B430810A2792}" srcOrd="0" destOrd="0" presId="urn:microsoft.com/office/officeart/2005/8/layout/cycle4"/>
    <dgm:cxn modelId="{8A144D9C-E3FE-433A-A65C-1AEDC356C638}" type="presParOf" srcId="{039D806B-0FAE-49D7-A65E-B430810A2792}" destId="{1F3BB877-4B95-4E92-B643-712D94DF48A0}" srcOrd="0" destOrd="0" presId="urn:microsoft.com/office/officeart/2005/8/layout/cycle4"/>
    <dgm:cxn modelId="{10CE0958-48A6-4388-A389-DFDAFABDBB3A}" type="presParOf" srcId="{851A34EE-3AFC-4EAC-8160-DF3A92914A9B}" destId="{1E1C0ADC-DF1C-40F9-BCAD-6930842F8590}" srcOrd="1" destOrd="0" presId="urn:microsoft.com/office/officeart/2005/8/layout/cycle4"/>
    <dgm:cxn modelId="{0C03700B-53D7-4CE0-8840-AC6808188C51}" type="presParOf" srcId="{1E1C0ADC-DF1C-40F9-BCAD-6930842F8590}" destId="{2F94A614-71E7-40B4-933A-110754175B77}" srcOrd="0" destOrd="0" presId="urn:microsoft.com/office/officeart/2005/8/layout/cycle4"/>
    <dgm:cxn modelId="{A2A18F0E-05F4-4390-AD13-F6AD522ACBC4}" type="presParOf" srcId="{1E1C0ADC-DF1C-40F9-BCAD-6930842F8590}" destId="{79E03B36-9B22-4ED7-A1AB-01E9395C3E94}" srcOrd="1" destOrd="0" presId="urn:microsoft.com/office/officeart/2005/8/layout/cycle4"/>
    <dgm:cxn modelId="{54B68D16-29F7-4172-826D-552F59291B2D}" type="presParOf" srcId="{1E1C0ADC-DF1C-40F9-BCAD-6930842F8590}" destId="{A076BA3E-B834-444F-995C-1BDB9F0B1C05}" srcOrd="2" destOrd="0" presId="urn:microsoft.com/office/officeart/2005/8/layout/cycle4"/>
    <dgm:cxn modelId="{DDD9AC3F-486B-423F-AE9A-5513B3512D36}" type="presParOf" srcId="{1E1C0ADC-DF1C-40F9-BCAD-6930842F8590}" destId="{5BA29088-C5FF-409A-AAC0-449613C885D5}" srcOrd="3" destOrd="0" presId="urn:microsoft.com/office/officeart/2005/8/layout/cycle4"/>
    <dgm:cxn modelId="{CCA9FD35-1CBE-430D-8D90-5255D5A2F529}" type="presParOf" srcId="{1E1C0ADC-DF1C-40F9-BCAD-6930842F8590}" destId="{37CF29EE-CE15-4C2D-8759-542AAA1B61BB}" srcOrd="4" destOrd="0" presId="urn:microsoft.com/office/officeart/2005/8/layout/cycle4"/>
    <dgm:cxn modelId="{C1D609CE-374D-4DF9-B7AE-877664243D7D}" type="presParOf" srcId="{851A34EE-3AFC-4EAC-8160-DF3A92914A9B}" destId="{35368A6B-07E8-46AA-8B5B-B482905F5600}" srcOrd="2" destOrd="0" presId="urn:microsoft.com/office/officeart/2005/8/layout/cycle4"/>
    <dgm:cxn modelId="{3D6AF1D2-B3DD-43DC-A2EE-F990D6EB0BE4}" type="presParOf" srcId="{851A34EE-3AFC-4EAC-8160-DF3A92914A9B}" destId="{221C0529-069C-4C0B-ABC6-C23474E256B1}" srcOrd="3" destOrd="0" presId="urn:microsoft.com/office/officeart/2005/8/layout/cycle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94A614-71E7-40B4-933A-110754175B77}">
      <dsp:nvSpPr>
        <dsp:cNvPr id="0" name=""/>
        <dsp:cNvSpPr/>
      </dsp:nvSpPr>
      <dsp:spPr>
        <a:xfrm>
          <a:off x="924159" y="311384"/>
          <a:ext cx="1933145" cy="1933145"/>
        </a:xfrm>
        <a:prstGeom prst="pieWedge">
          <a:avLst/>
        </a:prstGeom>
        <a:solidFill>
          <a:srgbClr val="ABDB7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Getting Advice </a:t>
          </a:r>
        </a:p>
        <a:p>
          <a:pPr lvl="0" algn="ctr" defTabSz="488950">
            <a:lnSpc>
              <a:spcPct val="90000"/>
            </a:lnSpc>
            <a:spcBef>
              <a:spcPct val="0"/>
            </a:spcBef>
            <a:spcAft>
              <a:spcPct val="35000"/>
            </a:spcAft>
          </a:pPr>
          <a:r>
            <a:rPr lang="en-GB" sz="1100" kern="1200">
              <a:solidFill>
                <a:sysClr val="windowText" lastClr="000000"/>
              </a:solidFill>
              <a:latin typeface="Calibri"/>
              <a:ea typeface="+mn-ea"/>
              <a:cs typeface="+mn-cs"/>
            </a:rPr>
            <a:t>Signposting, self-management and one off contact</a:t>
          </a:r>
        </a:p>
        <a:p>
          <a:pPr lvl="0" algn="ctr" defTabSz="488950">
            <a:lnSpc>
              <a:spcPct val="90000"/>
            </a:lnSpc>
            <a:spcBef>
              <a:spcPct val="0"/>
            </a:spcBef>
            <a:spcAft>
              <a:spcPct val="35000"/>
            </a:spcAft>
          </a:pPr>
          <a:endParaRPr lang="en-GB" sz="1100" kern="1200">
            <a:solidFill>
              <a:sysClr val="window" lastClr="FFFFFF"/>
            </a:solidFill>
            <a:latin typeface="Calibri"/>
            <a:ea typeface="+mn-ea"/>
            <a:cs typeface="+mn-cs"/>
          </a:endParaRPr>
        </a:p>
        <a:p>
          <a:pPr lvl="0" algn="ctr" defTabSz="488950">
            <a:lnSpc>
              <a:spcPct val="90000"/>
            </a:lnSpc>
            <a:spcBef>
              <a:spcPct val="0"/>
            </a:spcBef>
            <a:spcAft>
              <a:spcPct val="35000"/>
            </a:spcAft>
          </a:pPr>
          <a:endParaRPr lang="en-GB" sz="1100" kern="1200">
            <a:solidFill>
              <a:sysClr val="window" lastClr="FFFFFF"/>
            </a:solidFill>
            <a:latin typeface="Calibri"/>
            <a:ea typeface="+mn-ea"/>
            <a:cs typeface="+mn-cs"/>
          </a:endParaRPr>
        </a:p>
      </dsp:txBody>
      <dsp:txXfrm>
        <a:off x="1490364" y="877589"/>
        <a:ext cx="1366940" cy="1366940"/>
      </dsp:txXfrm>
    </dsp:sp>
    <dsp:sp modelId="{79E03B36-9B22-4ED7-A1AB-01E9395C3E94}">
      <dsp:nvSpPr>
        <dsp:cNvPr id="0" name=""/>
        <dsp:cNvSpPr/>
      </dsp:nvSpPr>
      <dsp:spPr>
        <a:xfrm rot="5400000">
          <a:off x="2946595" y="311384"/>
          <a:ext cx="1933145" cy="1933145"/>
        </a:xfrm>
        <a:prstGeom prst="pieWedge">
          <a:avLst/>
        </a:prstGeom>
        <a:solidFill>
          <a:srgbClr val="53D2FF"/>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Getting Help</a:t>
          </a:r>
        </a:p>
        <a:p>
          <a:pPr lvl="0" algn="ctr" defTabSz="488950">
            <a:lnSpc>
              <a:spcPct val="90000"/>
            </a:lnSpc>
            <a:spcBef>
              <a:spcPct val="0"/>
            </a:spcBef>
            <a:spcAft>
              <a:spcPct val="35000"/>
            </a:spcAft>
          </a:pPr>
          <a:r>
            <a:rPr lang="en-GB" sz="1100" kern="1200">
              <a:solidFill>
                <a:sysClr val="windowText" lastClr="000000"/>
              </a:solidFill>
              <a:latin typeface="Calibri"/>
              <a:ea typeface="+mn-ea"/>
              <a:cs typeface="+mn-cs"/>
            </a:rPr>
            <a:t>Goal Focussed, evidence informed &amp; outcome focussed interventions</a:t>
          </a:r>
        </a:p>
        <a:p>
          <a:pPr lvl="0" algn="ctr" defTabSz="488950">
            <a:lnSpc>
              <a:spcPct val="90000"/>
            </a:lnSpc>
            <a:spcBef>
              <a:spcPct val="0"/>
            </a:spcBef>
            <a:spcAft>
              <a:spcPct val="35000"/>
            </a:spcAft>
          </a:pPr>
          <a:endParaRPr lang="en-GB" sz="1100" kern="1200">
            <a:solidFill>
              <a:sysClr val="windowText" lastClr="000000"/>
            </a:solidFill>
            <a:latin typeface="Calibri"/>
            <a:ea typeface="+mn-ea"/>
            <a:cs typeface="+mn-cs"/>
          </a:endParaRPr>
        </a:p>
      </dsp:txBody>
      <dsp:txXfrm rot="-5400000">
        <a:off x="2946595" y="877589"/>
        <a:ext cx="1366940" cy="1366940"/>
      </dsp:txXfrm>
    </dsp:sp>
    <dsp:sp modelId="{A076BA3E-B834-444F-995C-1BDB9F0B1C05}">
      <dsp:nvSpPr>
        <dsp:cNvPr id="0" name=""/>
        <dsp:cNvSpPr/>
      </dsp:nvSpPr>
      <dsp:spPr>
        <a:xfrm rot="10800000">
          <a:off x="2946595" y="2333820"/>
          <a:ext cx="1933145" cy="1933145"/>
        </a:xfrm>
        <a:prstGeom prst="pieWedge">
          <a:avLst/>
        </a:prstGeom>
        <a:solidFill>
          <a:srgbClr val="AA72D4"/>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endParaRPr lang="en-GB" sz="1100" b="1" kern="1200">
            <a:solidFill>
              <a:sysClr val="window" lastClr="FFFFFF"/>
            </a:solidFill>
            <a:latin typeface="Calibri"/>
            <a:ea typeface="+mn-ea"/>
            <a:cs typeface="+mn-cs"/>
          </a:endParaRPr>
        </a:p>
        <a:p>
          <a:pPr lvl="0" algn="ctr" defTabSz="488950">
            <a:lnSpc>
              <a:spcPct val="90000"/>
            </a:lnSpc>
            <a:spcBef>
              <a:spcPct val="0"/>
            </a:spcBef>
            <a:spcAft>
              <a:spcPct val="35000"/>
            </a:spcAft>
          </a:pPr>
          <a:endParaRPr lang="en-GB" sz="1100" b="1" kern="1200">
            <a:solidFill>
              <a:sysClr val="windowText" lastClr="000000"/>
            </a:solidFill>
            <a:latin typeface="Calibri"/>
            <a:ea typeface="+mn-ea"/>
            <a:cs typeface="+mn-cs"/>
          </a:endParaRPr>
        </a:p>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Getting More Help</a:t>
          </a:r>
        </a:p>
        <a:p>
          <a:pPr lvl="0" algn="ctr" defTabSz="488950">
            <a:lnSpc>
              <a:spcPct val="90000"/>
            </a:lnSpc>
            <a:spcBef>
              <a:spcPct val="0"/>
            </a:spcBef>
            <a:spcAft>
              <a:spcPct val="35000"/>
            </a:spcAft>
          </a:pPr>
          <a:r>
            <a:rPr lang="en-GB" sz="1100" kern="1200">
              <a:solidFill>
                <a:sysClr val="windowText" lastClr="000000"/>
              </a:solidFill>
              <a:latin typeface="Calibri"/>
              <a:ea typeface="+mn-ea"/>
              <a:cs typeface="+mn-cs"/>
            </a:rPr>
            <a:t>Extensive Treatment</a:t>
          </a:r>
        </a:p>
      </dsp:txBody>
      <dsp:txXfrm rot="10800000">
        <a:off x="2946595" y="2333820"/>
        <a:ext cx="1366940" cy="1366940"/>
      </dsp:txXfrm>
    </dsp:sp>
    <dsp:sp modelId="{5BA29088-C5FF-409A-AAC0-449613C885D5}">
      <dsp:nvSpPr>
        <dsp:cNvPr id="0" name=""/>
        <dsp:cNvSpPr/>
      </dsp:nvSpPr>
      <dsp:spPr>
        <a:xfrm rot="16200000">
          <a:off x="924159" y="2333820"/>
          <a:ext cx="1933145" cy="1933145"/>
        </a:xfrm>
        <a:prstGeom prst="pieWedge">
          <a:avLst/>
        </a:prstGeom>
        <a:solidFill>
          <a:srgbClr val="F79646">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endParaRPr lang="en-GB" sz="1100" kern="1200">
            <a:solidFill>
              <a:sysClr val="windowText" lastClr="000000"/>
            </a:solidFill>
            <a:latin typeface="Calibri"/>
            <a:ea typeface="+mn-ea"/>
            <a:cs typeface="+mn-cs"/>
          </a:endParaRPr>
        </a:p>
        <a:p>
          <a:pPr lvl="0" algn="ctr" defTabSz="488950">
            <a:lnSpc>
              <a:spcPct val="90000"/>
            </a:lnSpc>
            <a:spcBef>
              <a:spcPct val="0"/>
            </a:spcBef>
            <a:spcAft>
              <a:spcPct val="35000"/>
            </a:spcAft>
          </a:pPr>
          <a:endParaRPr lang="en-GB" sz="1100" kern="1200">
            <a:solidFill>
              <a:sysClr val="windowText" lastClr="000000"/>
            </a:solidFill>
            <a:latin typeface="Calibri"/>
            <a:ea typeface="+mn-ea"/>
            <a:cs typeface="+mn-cs"/>
          </a:endParaRPr>
        </a:p>
        <a:p>
          <a:pPr lvl="0" algn="ctr" defTabSz="488950">
            <a:lnSpc>
              <a:spcPct val="90000"/>
            </a:lnSpc>
            <a:spcBef>
              <a:spcPct val="0"/>
            </a:spcBef>
            <a:spcAft>
              <a:spcPct val="35000"/>
            </a:spcAft>
          </a:pPr>
          <a:endParaRPr lang="en-GB" sz="1100" kern="1200">
            <a:solidFill>
              <a:sysClr val="windowText" lastClr="000000"/>
            </a:solidFill>
            <a:latin typeface="Calibri"/>
            <a:ea typeface="+mn-ea"/>
            <a:cs typeface="+mn-cs"/>
          </a:endParaRPr>
        </a:p>
        <a:p>
          <a:pPr lvl="0" algn="ctr" defTabSz="488950">
            <a:lnSpc>
              <a:spcPct val="90000"/>
            </a:lnSpc>
            <a:spcBef>
              <a:spcPct val="0"/>
            </a:spcBef>
            <a:spcAft>
              <a:spcPct val="35000"/>
            </a:spcAft>
          </a:pPr>
          <a:r>
            <a:rPr lang="en-GB" sz="1100" b="1" kern="1200">
              <a:solidFill>
                <a:sysClr val="windowText" lastClr="000000"/>
              </a:solidFill>
              <a:latin typeface="Calibri"/>
              <a:ea typeface="+mn-ea"/>
              <a:cs typeface="+mn-cs"/>
            </a:rPr>
            <a:t>Getting Risk Support</a:t>
          </a:r>
        </a:p>
        <a:p>
          <a:pPr lvl="0" algn="ctr" defTabSz="488950">
            <a:lnSpc>
              <a:spcPct val="90000"/>
            </a:lnSpc>
            <a:spcBef>
              <a:spcPct val="0"/>
            </a:spcBef>
            <a:spcAft>
              <a:spcPct val="35000"/>
            </a:spcAft>
          </a:pPr>
          <a:r>
            <a:rPr lang="en-GB" sz="1100" kern="1200">
              <a:solidFill>
                <a:sysClr val="windowText" lastClr="000000"/>
              </a:solidFill>
              <a:latin typeface="Calibri"/>
              <a:ea typeface="+mn-ea"/>
              <a:cs typeface="+mn-cs"/>
            </a:rPr>
            <a:t>Risk Management and crisis support</a:t>
          </a:r>
        </a:p>
      </dsp:txBody>
      <dsp:txXfrm rot="5400000">
        <a:off x="1490364" y="2333820"/>
        <a:ext cx="1366940" cy="1366940"/>
      </dsp:txXfrm>
    </dsp:sp>
    <dsp:sp modelId="{35368A6B-07E8-46AA-8B5B-B482905F5600}">
      <dsp:nvSpPr>
        <dsp:cNvPr id="0" name=""/>
        <dsp:cNvSpPr/>
      </dsp:nvSpPr>
      <dsp:spPr>
        <a:xfrm>
          <a:off x="2568225" y="1887366"/>
          <a:ext cx="667448" cy="580390"/>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221C0529-069C-4C0B-ABC6-C23474E256B1}">
      <dsp:nvSpPr>
        <dsp:cNvPr id="0" name=""/>
        <dsp:cNvSpPr/>
      </dsp:nvSpPr>
      <dsp:spPr>
        <a:xfrm rot="10800000">
          <a:off x="2568225" y="2110593"/>
          <a:ext cx="667448" cy="580390"/>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369B8EA0</Template>
  <TotalTime>67</TotalTime>
  <Pages>15</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Lucy</dc:creator>
  <cp:lastModifiedBy>BROUGH, Shelley</cp:lastModifiedBy>
  <cp:revision>13</cp:revision>
  <cp:lastPrinted>2016-07-12T13:59:00Z</cp:lastPrinted>
  <dcterms:created xsi:type="dcterms:W3CDTF">2016-10-28T14:03:00Z</dcterms:created>
  <dcterms:modified xsi:type="dcterms:W3CDTF">2016-11-04T12:05:00Z</dcterms:modified>
</cp:coreProperties>
</file>