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3B34E" w14:textId="759E8F5C" w:rsidR="00E847CC" w:rsidRDefault="00E847CC" w:rsidP="001100ED">
      <w:pPr>
        <w:spacing w:after="0"/>
        <w:rPr>
          <w:b/>
          <w:color w:val="244061" w:themeColor="accent1" w:themeShade="80"/>
          <w:sz w:val="32"/>
          <w:szCs w:val="32"/>
        </w:rPr>
      </w:pPr>
      <w:r>
        <w:rPr>
          <w:noProof/>
          <w:lang w:eastAsia="en-GB"/>
        </w:rPr>
        <w:drawing>
          <wp:inline distT="0" distB="0" distL="0" distR="0" wp14:anchorId="1A35269E" wp14:editId="65A492BF">
            <wp:extent cx="5951122" cy="3964473"/>
            <wp:effectExtent l="0" t="0" r="0" b="0"/>
            <wp:docPr id="2" name="Picture 2" descr="B9775 Pioneer Place Burnley CGI View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9775 Pioneer Place Burnley CGI View 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4237" cy="3966548"/>
                    </a:xfrm>
                    <a:prstGeom prst="rect">
                      <a:avLst/>
                    </a:prstGeom>
                    <a:noFill/>
                    <a:ln>
                      <a:noFill/>
                    </a:ln>
                  </pic:spPr>
                </pic:pic>
              </a:graphicData>
            </a:graphic>
          </wp:inline>
        </w:drawing>
      </w:r>
    </w:p>
    <w:p w14:paraId="400D1B49" w14:textId="77777777" w:rsidR="00C06203" w:rsidRDefault="00C06203" w:rsidP="001100ED">
      <w:pPr>
        <w:spacing w:after="0"/>
        <w:rPr>
          <w:b/>
          <w:color w:val="244061" w:themeColor="accent1" w:themeShade="80"/>
          <w:sz w:val="32"/>
          <w:szCs w:val="32"/>
        </w:rPr>
      </w:pPr>
    </w:p>
    <w:p w14:paraId="61831B60" w14:textId="05BB5191" w:rsidR="001100ED" w:rsidRPr="001100ED" w:rsidRDefault="000441B3" w:rsidP="001100ED">
      <w:pPr>
        <w:spacing w:after="0"/>
        <w:rPr>
          <w:b/>
          <w:color w:val="244061" w:themeColor="accent1" w:themeShade="80"/>
          <w:sz w:val="32"/>
          <w:szCs w:val="32"/>
        </w:rPr>
      </w:pPr>
      <w:r>
        <w:rPr>
          <w:b/>
          <w:color w:val="244061" w:themeColor="accent1" w:themeShade="80"/>
          <w:sz w:val="32"/>
          <w:szCs w:val="32"/>
        </w:rPr>
        <w:t>Pioneer Place</w:t>
      </w:r>
      <w:r w:rsidR="00B1791E">
        <w:rPr>
          <w:b/>
          <w:color w:val="244061" w:themeColor="accent1" w:themeShade="80"/>
          <w:sz w:val="32"/>
          <w:szCs w:val="32"/>
        </w:rPr>
        <w:t>, Burnley</w:t>
      </w:r>
    </w:p>
    <w:p w14:paraId="7DBE1EF8" w14:textId="77777777" w:rsidR="001100ED" w:rsidRPr="001100ED" w:rsidRDefault="001100ED" w:rsidP="001100ED">
      <w:pPr>
        <w:spacing w:after="0"/>
        <w:rPr>
          <w:color w:val="244061" w:themeColor="accent1" w:themeShade="80"/>
        </w:rPr>
      </w:pPr>
    </w:p>
    <w:p w14:paraId="01B6FBEB" w14:textId="7E0C4387" w:rsidR="001100ED" w:rsidRDefault="00C06203" w:rsidP="001100ED">
      <w:pPr>
        <w:spacing w:after="0"/>
        <w:rPr>
          <w:color w:val="244061" w:themeColor="accent1" w:themeShade="80"/>
          <w:sz w:val="36"/>
          <w:szCs w:val="36"/>
        </w:rPr>
      </w:pPr>
      <w:r>
        <w:rPr>
          <w:color w:val="244061" w:themeColor="accent1" w:themeShade="80"/>
          <w:sz w:val="36"/>
          <w:szCs w:val="36"/>
        </w:rPr>
        <w:t>Appointment of Cost Consultants</w:t>
      </w:r>
      <w:r w:rsidR="0018799E">
        <w:rPr>
          <w:color w:val="244061" w:themeColor="accent1" w:themeShade="80"/>
          <w:sz w:val="36"/>
          <w:szCs w:val="36"/>
        </w:rPr>
        <w:t xml:space="preserve"> to advise the Council during the development of</w:t>
      </w:r>
      <w:r>
        <w:rPr>
          <w:color w:val="244061" w:themeColor="accent1" w:themeShade="80"/>
          <w:sz w:val="36"/>
          <w:szCs w:val="36"/>
        </w:rPr>
        <w:t xml:space="preserve"> </w:t>
      </w:r>
      <w:r w:rsidR="0018799E">
        <w:rPr>
          <w:color w:val="244061" w:themeColor="accent1" w:themeShade="80"/>
          <w:sz w:val="36"/>
          <w:szCs w:val="36"/>
        </w:rPr>
        <w:t xml:space="preserve">the </w:t>
      </w:r>
      <w:r>
        <w:rPr>
          <w:color w:val="244061" w:themeColor="accent1" w:themeShade="80"/>
          <w:sz w:val="36"/>
          <w:szCs w:val="36"/>
        </w:rPr>
        <w:t xml:space="preserve">leisure-led mix use </w:t>
      </w:r>
      <w:r w:rsidR="00B1791E">
        <w:rPr>
          <w:color w:val="244061" w:themeColor="accent1" w:themeShade="80"/>
          <w:sz w:val="36"/>
          <w:szCs w:val="36"/>
        </w:rPr>
        <w:t xml:space="preserve">town centre </w:t>
      </w:r>
      <w:r>
        <w:rPr>
          <w:color w:val="244061" w:themeColor="accent1" w:themeShade="80"/>
          <w:sz w:val="36"/>
          <w:szCs w:val="36"/>
        </w:rPr>
        <w:t>scheme</w:t>
      </w:r>
      <w:r w:rsidR="00617632">
        <w:rPr>
          <w:color w:val="244061" w:themeColor="accent1" w:themeShade="80"/>
          <w:sz w:val="36"/>
          <w:szCs w:val="36"/>
        </w:rPr>
        <w:t>.</w:t>
      </w:r>
    </w:p>
    <w:p w14:paraId="1C9B1DFD" w14:textId="77777777" w:rsidR="00617632" w:rsidRDefault="00617632" w:rsidP="001100ED">
      <w:pPr>
        <w:spacing w:after="0"/>
        <w:rPr>
          <w:color w:val="244061" w:themeColor="accent1" w:themeShade="80"/>
          <w:sz w:val="36"/>
          <w:szCs w:val="36"/>
        </w:rPr>
      </w:pPr>
    </w:p>
    <w:p w14:paraId="74D03020" w14:textId="7F992CD0" w:rsidR="00E847CC" w:rsidRDefault="00E847CC" w:rsidP="001100ED">
      <w:pPr>
        <w:spacing w:after="0"/>
        <w:rPr>
          <w:color w:val="244061" w:themeColor="accent1" w:themeShade="80"/>
          <w:sz w:val="36"/>
          <w:szCs w:val="36"/>
        </w:rPr>
      </w:pPr>
    </w:p>
    <w:p w14:paraId="54B50C48" w14:textId="77777777" w:rsidR="00E847CC" w:rsidRDefault="00E847CC" w:rsidP="001100ED">
      <w:pPr>
        <w:spacing w:after="0"/>
        <w:rPr>
          <w:color w:val="244061" w:themeColor="accent1" w:themeShade="80"/>
          <w:sz w:val="36"/>
          <w:szCs w:val="36"/>
        </w:rPr>
      </w:pPr>
    </w:p>
    <w:p w14:paraId="63EB2888" w14:textId="3F4A78B0" w:rsidR="001100ED" w:rsidRPr="00617632" w:rsidRDefault="001100ED" w:rsidP="00617632">
      <w:pPr>
        <w:spacing w:after="0"/>
        <w:rPr>
          <w:color w:val="244061" w:themeColor="accent1" w:themeShade="80"/>
          <w:sz w:val="24"/>
          <w:szCs w:val="24"/>
        </w:rPr>
      </w:pPr>
    </w:p>
    <w:p w14:paraId="66EC8394" w14:textId="77777777" w:rsidR="00617632" w:rsidRDefault="00617632" w:rsidP="001100ED">
      <w:pPr>
        <w:spacing w:after="0"/>
        <w:rPr>
          <w:b/>
          <w:color w:val="244061" w:themeColor="accent1" w:themeShade="80"/>
          <w:sz w:val="32"/>
          <w:szCs w:val="32"/>
        </w:rPr>
      </w:pPr>
    </w:p>
    <w:p w14:paraId="4F7ED228" w14:textId="77777777" w:rsidR="001100ED" w:rsidRPr="001100ED" w:rsidRDefault="001100ED" w:rsidP="001100ED">
      <w:pPr>
        <w:spacing w:after="0"/>
        <w:rPr>
          <w:b/>
          <w:color w:val="244061" w:themeColor="accent1" w:themeShade="80"/>
          <w:sz w:val="32"/>
          <w:szCs w:val="32"/>
        </w:rPr>
      </w:pPr>
      <w:r w:rsidRPr="001100ED">
        <w:rPr>
          <w:b/>
          <w:color w:val="244061" w:themeColor="accent1" w:themeShade="80"/>
          <w:sz w:val="32"/>
          <w:szCs w:val="32"/>
        </w:rPr>
        <w:t>Tender Brief</w:t>
      </w:r>
    </w:p>
    <w:p w14:paraId="0BF6C4B5" w14:textId="77777777" w:rsidR="00617632" w:rsidRDefault="00617632" w:rsidP="001100ED">
      <w:pPr>
        <w:spacing w:after="0"/>
        <w:rPr>
          <w:color w:val="244061" w:themeColor="accent1" w:themeShade="80"/>
          <w:sz w:val="24"/>
          <w:szCs w:val="24"/>
        </w:rPr>
      </w:pPr>
    </w:p>
    <w:p w14:paraId="4F5136D3" w14:textId="34E0F050" w:rsidR="001100ED" w:rsidRDefault="001100ED" w:rsidP="001100ED">
      <w:pPr>
        <w:spacing w:after="0"/>
        <w:rPr>
          <w:color w:val="244061" w:themeColor="accent1" w:themeShade="80"/>
          <w:sz w:val="24"/>
          <w:szCs w:val="24"/>
        </w:rPr>
      </w:pPr>
      <w:r>
        <w:rPr>
          <w:color w:val="244061" w:themeColor="accent1" w:themeShade="80"/>
          <w:sz w:val="24"/>
          <w:szCs w:val="24"/>
        </w:rPr>
        <w:t>Date of issue:</w:t>
      </w:r>
      <w:r w:rsidR="00AB12BD">
        <w:rPr>
          <w:color w:val="244061" w:themeColor="accent1" w:themeShade="80"/>
          <w:sz w:val="24"/>
          <w:szCs w:val="24"/>
        </w:rPr>
        <w:t xml:space="preserve"> </w:t>
      </w:r>
      <w:r w:rsidR="00997720">
        <w:rPr>
          <w:color w:val="244061" w:themeColor="accent1" w:themeShade="80"/>
          <w:sz w:val="24"/>
          <w:szCs w:val="24"/>
        </w:rPr>
        <w:t>2</w:t>
      </w:r>
      <w:r w:rsidR="00D45EE0">
        <w:rPr>
          <w:color w:val="244061" w:themeColor="accent1" w:themeShade="80"/>
          <w:sz w:val="24"/>
          <w:szCs w:val="24"/>
        </w:rPr>
        <w:t>2</w:t>
      </w:r>
      <w:r w:rsidR="00D45EE0" w:rsidRPr="00D45EE0">
        <w:rPr>
          <w:color w:val="244061" w:themeColor="accent1" w:themeShade="80"/>
          <w:sz w:val="24"/>
          <w:szCs w:val="24"/>
          <w:vertAlign w:val="superscript"/>
        </w:rPr>
        <w:t>nd</w:t>
      </w:r>
      <w:r w:rsidR="00D45EE0">
        <w:rPr>
          <w:color w:val="244061" w:themeColor="accent1" w:themeShade="80"/>
          <w:sz w:val="24"/>
          <w:szCs w:val="24"/>
        </w:rPr>
        <w:t xml:space="preserve"> </w:t>
      </w:r>
      <w:r w:rsidR="0018799E">
        <w:rPr>
          <w:color w:val="244061" w:themeColor="accent1" w:themeShade="80"/>
          <w:sz w:val="24"/>
          <w:szCs w:val="24"/>
        </w:rPr>
        <w:t>May</w:t>
      </w:r>
      <w:r w:rsidR="00A97937">
        <w:rPr>
          <w:color w:val="244061" w:themeColor="accent1" w:themeShade="80"/>
          <w:sz w:val="24"/>
          <w:szCs w:val="24"/>
        </w:rPr>
        <w:t xml:space="preserve"> 2018</w:t>
      </w:r>
    </w:p>
    <w:p w14:paraId="1D4358F1" w14:textId="092E5EB1" w:rsidR="00617632" w:rsidRDefault="00617632" w:rsidP="001100ED">
      <w:pPr>
        <w:spacing w:after="0"/>
        <w:rPr>
          <w:color w:val="244061" w:themeColor="accent1" w:themeShade="80"/>
          <w:sz w:val="24"/>
          <w:szCs w:val="24"/>
        </w:rPr>
      </w:pPr>
    </w:p>
    <w:p w14:paraId="5A675ECE" w14:textId="0C6234F2" w:rsidR="00614019" w:rsidRDefault="00614019" w:rsidP="001100ED">
      <w:pPr>
        <w:spacing w:after="0"/>
        <w:rPr>
          <w:color w:val="244061" w:themeColor="accent1" w:themeShade="80"/>
          <w:sz w:val="24"/>
          <w:szCs w:val="24"/>
        </w:rPr>
      </w:pPr>
    </w:p>
    <w:p w14:paraId="7FF24586" w14:textId="77777777" w:rsidR="00614019" w:rsidRDefault="00614019" w:rsidP="001100ED">
      <w:pPr>
        <w:spacing w:after="0"/>
        <w:rPr>
          <w:color w:val="244061" w:themeColor="accent1" w:themeShade="80"/>
          <w:sz w:val="24"/>
          <w:szCs w:val="24"/>
        </w:rPr>
      </w:pPr>
    </w:p>
    <w:p w14:paraId="1BE0989E" w14:textId="77777777" w:rsidR="001100ED" w:rsidRPr="005632B1" w:rsidRDefault="001100ED" w:rsidP="00423E44">
      <w:pPr>
        <w:pStyle w:val="IntenseQuote"/>
      </w:pPr>
      <w:r w:rsidRPr="005632B1">
        <w:lastRenderedPageBreak/>
        <w:t>Purpose</w:t>
      </w:r>
    </w:p>
    <w:p w14:paraId="1D9A7BBD" w14:textId="767D0BD4" w:rsidR="00B1791E" w:rsidRDefault="001100ED" w:rsidP="009C32AF">
      <w:pPr>
        <w:pStyle w:val="ListParagraph"/>
      </w:pPr>
      <w:r w:rsidRPr="00E847CC">
        <w:t>Burnley C</w:t>
      </w:r>
      <w:r w:rsidR="00B1791E">
        <w:t xml:space="preserve">ouncil requires the support of </w:t>
      </w:r>
      <w:r w:rsidR="009124E7">
        <w:t>a</w:t>
      </w:r>
      <w:r w:rsidR="0018799E">
        <w:t>n</w:t>
      </w:r>
      <w:r w:rsidR="009124E7">
        <w:t xml:space="preserve"> </w:t>
      </w:r>
      <w:r w:rsidR="00B1791E">
        <w:t>experienced cost consultant</w:t>
      </w:r>
      <w:r w:rsidR="000570FE">
        <w:t xml:space="preserve"> </w:t>
      </w:r>
      <w:r w:rsidR="00B1791E">
        <w:t xml:space="preserve">during the pre-development </w:t>
      </w:r>
      <w:r w:rsidR="002F565D">
        <w:t>and delivery</w:t>
      </w:r>
      <w:r w:rsidR="008004FF">
        <w:t xml:space="preserve"> </w:t>
      </w:r>
      <w:r w:rsidR="00B1791E">
        <w:t>phase</w:t>
      </w:r>
      <w:r w:rsidR="000441B3">
        <w:t xml:space="preserve"> </w:t>
      </w:r>
      <w:r w:rsidR="00B1791E">
        <w:t>of a major new leisure and retail scheme</w:t>
      </w:r>
      <w:r w:rsidR="00AE68F7" w:rsidRPr="00E847CC">
        <w:t>.</w:t>
      </w:r>
      <w:r w:rsidR="00B1791E">
        <w:t xml:space="preserve">  </w:t>
      </w:r>
      <w:r w:rsidR="000441B3">
        <w:t xml:space="preserve"> </w:t>
      </w:r>
    </w:p>
    <w:p w14:paraId="6DE2B831" w14:textId="77777777" w:rsidR="00AE68F7" w:rsidRPr="00E847CC" w:rsidRDefault="00AE68F7" w:rsidP="00423E44">
      <w:pPr>
        <w:pStyle w:val="IntenseQuote"/>
      </w:pPr>
      <w:r w:rsidRPr="005632B1">
        <w:t>Background</w:t>
      </w:r>
    </w:p>
    <w:p w14:paraId="5653E36E" w14:textId="0210D2A5" w:rsidR="000441B3" w:rsidRDefault="000441B3" w:rsidP="009C32AF">
      <w:pPr>
        <w:pStyle w:val="ListParagraph"/>
      </w:pPr>
      <w:r w:rsidRPr="00006BE4">
        <w:t>The</w:t>
      </w:r>
      <w:r>
        <w:t xml:space="preserve"> Curzon Street Development site is located within Burnley town </w:t>
      </w:r>
      <w:r w:rsidRPr="00353EF5">
        <w:t>centre</w:t>
      </w:r>
      <w:r>
        <w:t xml:space="preserve"> at the northern edge of the primary </w:t>
      </w:r>
      <w:r w:rsidR="003132A4">
        <w:t>shopping area, between Burnley K</w:t>
      </w:r>
      <w:r>
        <w:t>nowledge Quarter and the Charter Walk Shopping Centre.  Located on the key gateway into the Town Centre, the site extends to 1.5ha and was previously occupied by the Co-Op (Pioneer) Supermarket which is now demolished.  The site is currently used as a pay and display car park for 250 spaces.</w:t>
      </w:r>
    </w:p>
    <w:p w14:paraId="12CAF85C" w14:textId="77777777" w:rsidR="009C32AF" w:rsidRDefault="000441B3" w:rsidP="009C32AF">
      <w:pPr>
        <w:pStyle w:val="ListParagraph"/>
      </w:pPr>
      <w:r w:rsidRPr="000441B3">
        <w:t xml:space="preserve">Following a </w:t>
      </w:r>
      <w:r w:rsidRPr="009C32AF">
        <w:t>successful</w:t>
      </w:r>
      <w:r w:rsidRPr="000441B3">
        <w:t xml:space="preserve"> OJEU procurement process, Burnley </w:t>
      </w:r>
      <w:r w:rsidR="00B1791E" w:rsidRPr="000441B3">
        <w:t>C</w:t>
      </w:r>
      <w:r w:rsidRPr="000441B3">
        <w:t>o</w:t>
      </w:r>
      <w:r w:rsidR="00B1791E" w:rsidRPr="000441B3">
        <w:t>uncil has agreed to appoint Maple Grove Developments to develop a leisure and retail scheme.  The Pioneer Place scheme is to include</w:t>
      </w:r>
      <w:r w:rsidR="009C32AF">
        <w:t xml:space="preserve">: </w:t>
      </w:r>
    </w:p>
    <w:p w14:paraId="3EF9BB72" w14:textId="12A0BA81" w:rsidR="009C32AF" w:rsidRDefault="008A0BE9" w:rsidP="009C32AF">
      <w:pPr>
        <w:pStyle w:val="ListParagraph"/>
        <w:numPr>
          <w:ilvl w:val="1"/>
          <w:numId w:val="2"/>
        </w:numPr>
      </w:pPr>
      <w:r>
        <w:t xml:space="preserve">a new 18,000 </w:t>
      </w:r>
      <w:proofErr w:type="spellStart"/>
      <w:r>
        <w:t>sqft</w:t>
      </w:r>
      <w:proofErr w:type="spellEnd"/>
      <w:r>
        <w:t xml:space="preserve"> cinema for the</w:t>
      </w:r>
      <w:r w:rsidR="00B1791E" w:rsidRPr="000441B3">
        <w:t xml:space="preserve"> relocated Reel cinema</w:t>
      </w:r>
      <w:r w:rsidR="009C32AF">
        <w:t>;</w:t>
      </w:r>
      <w:r>
        <w:t xml:space="preserve"> </w:t>
      </w:r>
    </w:p>
    <w:p w14:paraId="5C0C6D6E" w14:textId="76EE4344" w:rsidR="009C32AF" w:rsidRDefault="009C32AF" w:rsidP="009C32AF">
      <w:pPr>
        <w:pStyle w:val="ListParagraph"/>
        <w:numPr>
          <w:ilvl w:val="1"/>
          <w:numId w:val="2"/>
        </w:numPr>
      </w:pPr>
      <w:r>
        <w:t xml:space="preserve">7 restaurant units totalling </w:t>
      </w:r>
      <w:r w:rsidR="008A0BE9">
        <w:t xml:space="preserve">28,800 </w:t>
      </w:r>
      <w:proofErr w:type="spellStart"/>
      <w:r w:rsidR="008A0BE9">
        <w:t>sqft</w:t>
      </w:r>
      <w:proofErr w:type="spellEnd"/>
      <w:r>
        <w:t>;</w:t>
      </w:r>
    </w:p>
    <w:p w14:paraId="17412267" w14:textId="2D976DAF" w:rsidR="009C32AF" w:rsidRDefault="009C32AF" w:rsidP="009C32AF">
      <w:pPr>
        <w:pStyle w:val="ListParagraph"/>
        <w:numPr>
          <w:ilvl w:val="1"/>
          <w:numId w:val="2"/>
        </w:numPr>
      </w:pPr>
      <w:r>
        <w:t xml:space="preserve">3 retail units totalling 18,750 </w:t>
      </w:r>
      <w:proofErr w:type="spellStart"/>
      <w:r>
        <w:t>sqft</w:t>
      </w:r>
      <w:proofErr w:type="spellEnd"/>
      <w:r>
        <w:t>;</w:t>
      </w:r>
    </w:p>
    <w:p w14:paraId="00CA4CF5" w14:textId="2AFAA42C" w:rsidR="009C32AF" w:rsidRDefault="00B1791E" w:rsidP="009C32AF">
      <w:pPr>
        <w:pStyle w:val="ListParagraph"/>
        <w:numPr>
          <w:ilvl w:val="1"/>
          <w:numId w:val="2"/>
        </w:numPr>
      </w:pPr>
      <w:r w:rsidRPr="000441B3">
        <w:t>a public pl</w:t>
      </w:r>
      <w:r w:rsidR="003132A4">
        <w:t>aza</w:t>
      </w:r>
      <w:r w:rsidR="009C32AF">
        <w:t>;</w:t>
      </w:r>
      <w:r w:rsidR="003132A4">
        <w:t xml:space="preserve"> and</w:t>
      </w:r>
      <w:r w:rsidR="009C32AF">
        <w:t>,</w:t>
      </w:r>
    </w:p>
    <w:p w14:paraId="0FC74A2B" w14:textId="2CF4850D" w:rsidR="008A0BE9" w:rsidRDefault="003132A4" w:rsidP="009C32AF">
      <w:pPr>
        <w:pStyle w:val="ListParagraph"/>
        <w:numPr>
          <w:ilvl w:val="1"/>
          <w:numId w:val="2"/>
        </w:numPr>
      </w:pPr>
      <w:r>
        <w:t>a 125</w:t>
      </w:r>
      <w:r w:rsidR="009C32AF">
        <w:t xml:space="preserve"> </w:t>
      </w:r>
      <w:r>
        <w:t>space car</w:t>
      </w:r>
      <w:r w:rsidR="00B1791E" w:rsidRPr="000441B3">
        <w:t xml:space="preserve"> park</w:t>
      </w:r>
      <w:r w:rsidR="002060BD">
        <w:t xml:space="preserve">  </w:t>
      </w:r>
    </w:p>
    <w:p w14:paraId="1E7A3E8F" w14:textId="6DFCC849" w:rsidR="008A0BE9" w:rsidRDefault="008A0BE9" w:rsidP="009C32AF">
      <w:pPr>
        <w:pStyle w:val="ListParagraph"/>
      </w:pPr>
      <w:r>
        <w:t xml:space="preserve">In order to allow Reel to relocate, the Council has agreed to develop and provide them with a new </w:t>
      </w:r>
      <w:r w:rsidRPr="008A0BE9">
        <w:t>cinema</w:t>
      </w:r>
      <w:r>
        <w:t xml:space="preserve"> building at Pioneer Place, in exchange for their existing Manchester Road site just outside the town centre boundary.  The Manchester Road site will be transferred to the Council once the new cinema has been completed and is operational.  The Council will be taking ownership of the following at the Manchester Road site:</w:t>
      </w:r>
    </w:p>
    <w:p w14:paraId="2B5444D2" w14:textId="01F7CADE" w:rsidR="008A0BE9" w:rsidRDefault="008A0BE9" w:rsidP="009C32AF">
      <w:pPr>
        <w:pStyle w:val="ListParagraph"/>
        <w:numPr>
          <w:ilvl w:val="1"/>
          <w:numId w:val="2"/>
        </w:numPr>
      </w:pPr>
      <w:r>
        <w:t xml:space="preserve">27,700 </w:t>
      </w:r>
      <w:proofErr w:type="spellStart"/>
      <w:r>
        <w:t>sqft</w:t>
      </w:r>
      <w:proofErr w:type="spellEnd"/>
      <w:r>
        <w:t xml:space="preserve"> cinema unit with integrated (vacant) 1,580 </w:t>
      </w:r>
      <w:proofErr w:type="spellStart"/>
      <w:r>
        <w:t>sqft</w:t>
      </w:r>
      <w:proofErr w:type="spellEnd"/>
      <w:r>
        <w:t xml:space="preserve"> restaurant/ takeaway unit</w:t>
      </w:r>
      <w:r w:rsidR="009C32AF">
        <w:t xml:space="preserve"> – this is to be redeveloped for a supermarket occupier;</w:t>
      </w:r>
    </w:p>
    <w:p w14:paraId="5AE0E4DC" w14:textId="60F08951" w:rsidR="008A0BE9" w:rsidRDefault="008A0BE9" w:rsidP="009C32AF">
      <w:pPr>
        <w:pStyle w:val="ListParagraph"/>
        <w:numPr>
          <w:ilvl w:val="1"/>
          <w:numId w:val="2"/>
        </w:numPr>
      </w:pPr>
      <w:r>
        <w:t>Hollywood Star pub</w:t>
      </w:r>
      <w:r w:rsidR="009C32AF">
        <w:t>; and,</w:t>
      </w:r>
      <w:r>
        <w:t xml:space="preserve"> </w:t>
      </w:r>
    </w:p>
    <w:p w14:paraId="7C059DBB" w14:textId="2E499722" w:rsidR="009C32AF" w:rsidRDefault="009C32AF" w:rsidP="009C32AF">
      <w:pPr>
        <w:pStyle w:val="ListParagraph"/>
        <w:numPr>
          <w:ilvl w:val="1"/>
          <w:numId w:val="2"/>
        </w:numPr>
      </w:pPr>
      <w:r>
        <w:t>290 space car park.</w:t>
      </w:r>
    </w:p>
    <w:p w14:paraId="6D5A8ED6" w14:textId="792EC74C" w:rsidR="000441B3" w:rsidRDefault="0044064E" w:rsidP="009C32AF">
      <w:pPr>
        <w:pStyle w:val="ListParagraph"/>
      </w:pPr>
      <w:r>
        <w:t xml:space="preserve">Pioneer Place </w:t>
      </w:r>
      <w:r w:rsidR="000441B3">
        <w:t xml:space="preserve">represents a major opportunity to grow Burnley Town Centre with a scheme </w:t>
      </w:r>
      <w:proofErr w:type="gramStart"/>
      <w:r w:rsidR="000441B3">
        <w:t>that</w:t>
      </w:r>
      <w:proofErr w:type="gramEnd"/>
      <w:r w:rsidR="000441B3">
        <w:t xml:space="preserve"> will complement the </w:t>
      </w:r>
      <w:proofErr w:type="spellStart"/>
      <w:r w:rsidR="000441B3">
        <w:t>ongoing</w:t>
      </w:r>
      <w:proofErr w:type="spellEnd"/>
      <w:r w:rsidR="000441B3">
        <w:t xml:space="preserve"> regeneration of the town.  Redevelopment of Pioneer Place will supplement the </w:t>
      </w:r>
      <w:r w:rsidR="003132A4">
        <w:t>existing</w:t>
      </w:r>
      <w:r w:rsidR="000441B3">
        <w:t xml:space="preserve"> thriving retail</w:t>
      </w:r>
      <w:r w:rsidR="003132A4">
        <w:t xml:space="preserve"> </w:t>
      </w:r>
      <w:r w:rsidR="000441B3">
        <w:t>an</w:t>
      </w:r>
      <w:r w:rsidR="003132A4">
        <w:t>d</w:t>
      </w:r>
      <w:r w:rsidR="000441B3">
        <w:t xml:space="preserve"> service </w:t>
      </w:r>
      <w:r w:rsidR="000441B3" w:rsidRPr="00353EF5">
        <w:t>centre</w:t>
      </w:r>
      <w:r w:rsidR="000441B3">
        <w:t xml:space="preserve"> with a wider leisure, cultural and social experience during the day and into the evening that will underpin Burnley as an attractive place to live, work and visit.  </w:t>
      </w:r>
      <w:r w:rsidR="000441B3" w:rsidRPr="000441B3">
        <w:t xml:space="preserve">It is also </w:t>
      </w:r>
      <w:proofErr w:type="gramStart"/>
      <w:r w:rsidR="000441B3" w:rsidRPr="000441B3">
        <w:t>key</w:t>
      </w:r>
      <w:proofErr w:type="gramEnd"/>
      <w:r w:rsidR="000441B3" w:rsidRPr="000441B3">
        <w:t xml:space="preserve"> to the future development and growth of </w:t>
      </w:r>
      <w:proofErr w:type="spellStart"/>
      <w:r w:rsidR="000441B3" w:rsidRPr="000441B3">
        <w:t>UCLan</w:t>
      </w:r>
      <w:proofErr w:type="spellEnd"/>
      <w:r w:rsidR="009C32AF">
        <w:t xml:space="preserve"> in the town</w:t>
      </w:r>
      <w:r w:rsidR="000441B3" w:rsidRPr="000441B3">
        <w:t xml:space="preserve">, who see this development as essential in terms of providing a competitive student experience.  </w:t>
      </w:r>
    </w:p>
    <w:p w14:paraId="0D1EFE54" w14:textId="0420DE87" w:rsidR="003132A4" w:rsidRDefault="003132A4" w:rsidP="009C32AF">
      <w:pPr>
        <w:pStyle w:val="ListParagraph"/>
      </w:pPr>
      <w:r>
        <w:t xml:space="preserve">Burnley Council and Maple Grove Developments are jointly working to finalise the development details, secure tenant pre-lets, obtain detailed planning approval and secure funding for the development before commencing construction works in 2020.  Maple Grove is </w:t>
      </w:r>
      <w:r>
        <w:lastRenderedPageBreak/>
        <w:t>advised by</w:t>
      </w:r>
      <w:r w:rsidR="009C32AF">
        <w:t xml:space="preserve"> Brady Chartered Surveyors, Trevor Dawson, JLL, </w:t>
      </w:r>
      <w:proofErr w:type="spellStart"/>
      <w:proofErr w:type="gramStart"/>
      <w:r w:rsidR="009C32AF">
        <w:t>SCp</w:t>
      </w:r>
      <w:proofErr w:type="spellEnd"/>
      <w:proofErr w:type="gramEnd"/>
      <w:r w:rsidR="009C32AF">
        <w:t xml:space="preserve"> Highways Consultant, Booth King Partnership Ltd, Smith and Love and AEW Architects</w:t>
      </w:r>
      <w:r w:rsidR="0044064E">
        <w:t>.</w:t>
      </w:r>
    </w:p>
    <w:p w14:paraId="1070D66F" w14:textId="1567F4B6" w:rsidR="00104720" w:rsidRPr="00104720" w:rsidRDefault="00104720" w:rsidP="009C32AF">
      <w:pPr>
        <w:pStyle w:val="ListParagraph"/>
      </w:pPr>
      <w:r w:rsidRPr="0008664C">
        <w:t>Maple Grove Development</w:t>
      </w:r>
      <w:r>
        <w:t>s</w:t>
      </w:r>
      <w:r w:rsidRPr="0008664C">
        <w:t xml:space="preserve"> and Burnley Council are targeting March 2020 for construction works to commence on site, with Pioneer Place open September 2021 and the supermarket at Manchester Road trading by April 2022.  </w:t>
      </w:r>
    </w:p>
    <w:p w14:paraId="41F5B438" w14:textId="77777777" w:rsidR="005632B1" w:rsidRPr="005632B1" w:rsidRDefault="005632B1" w:rsidP="00423E44">
      <w:pPr>
        <w:pStyle w:val="IntenseQuote"/>
      </w:pPr>
      <w:r w:rsidRPr="005632B1">
        <w:t>Scope of Services</w:t>
      </w:r>
      <w:r>
        <w:t xml:space="preserve"> Required</w:t>
      </w:r>
    </w:p>
    <w:p w14:paraId="3D0763FD" w14:textId="525A94F3" w:rsidR="009124E7" w:rsidRDefault="009124E7" w:rsidP="009C32AF">
      <w:pPr>
        <w:pStyle w:val="ListParagraph"/>
      </w:pPr>
      <w:r>
        <w:t xml:space="preserve">The appointed </w:t>
      </w:r>
      <w:r w:rsidR="0018799E">
        <w:t>consultant</w:t>
      </w:r>
      <w:r>
        <w:t xml:space="preserve"> will be required to carry out a number of services, including but not limited to:</w:t>
      </w:r>
    </w:p>
    <w:p w14:paraId="301CE65D" w14:textId="7E855EDD" w:rsidR="00353EF5" w:rsidRDefault="0008664C" w:rsidP="009C32AF">
      <w:pPr>
        <w:pStyle w:val="ListParagraph"/>
        <w:numPr>
          <w:ilvl w:val="1"/>
          <w:numId w:val="2"/>
        </w:numPr>
      </w:pPr>
      <w:r>
        <w:t>General cost advice</w:t>
      </w:r>
      <w:r w:rsidR="009124E7">
        <w:t>, and benchmarking, relating</w:t>
      </w:r>
      <w:r>
        <w:t xml:space="preserve"> to the development including cost plan advice</w:t>
      </w:r>
      <w:r w:rsidR="008004FF">
        <w:t xml:space="preserve"> and</w:t>
      </w:r>
      <w:r>
        <w:t xml:space="preserve"> discussion and agreement with Maple Grove Developments and their advisors regarding the appropriate items, rates and costs within cost plans and appraisals.</w:t>
      </w:r>
    </w:p>
    <w:p w14:paraId="05EE5E91" w14:textId="07169FC0" w:rsidR="009124E7" w:rsidRPr="009124E7" w:rsidRDefault="009124E7" w:rsidP="009C32AF">
      <w:pPr>
        <w:pStyle w:val="ListParagraph"/>
        <w:numPr>
          <w:ilvl w:val="1"/>
          <w:numId w:val="2"/>
        </w:numPr>
      </w:pPr>
      <w:r>
        <w:t>Helping define the project budget; checking developing designs against the project budget and assessing value for money</w:t>
      </w:r>
      <w:r w:rsidR="008004FF">
        <w:t xml:space="preserve"> – drawing on the expertise of an M&amp;E Engineer and civil/structural engineer as and when required.</w:t>
      </w:r>
    </w:p>
    <w:p w14:paraId="5274D3F9" w14:textId="047F3961" w:rsidR="0008664C" w:rsidRDefault="0008664C" w:rsidP="009C32AF">
      <w:pPr>
        <w:pStyle w:val="ListParagraph"/>
        <w:numPr>
          <w:ilvl w:val="1"/>
          <w:numId w:val="2"/>
        </w:numPr>
      </w:pPr>
      <w:r>
        <w:t>General advice regarding the proposed building contract for delivery of the development</w:t>
      </w:r>
    </w:p>
    <w:p w14:paraId="03592F20" w14:textId="4865A64B" w:rsidR="00AD375F" w:rsidRDefault="0008664C" w:rsidP="00AD375F">
      <w:pPr>
        <w:pStyle w:val="ListParagraph"/>
        <w:numPr>
          <w:ilvl w:val="1"/>
          <w:numId w:val="2"/>
        </w:numPr>
      </w:pPr>
      <w:r>
        <w:t>Advice on sub-contractors tendering</w:t>
      </w:r>
      <w:r w:rsidR="009C32AF">
        <w:t xml:space="preserve"> arrangements</w:t>
      </w:r>
      <w:r>
        <w:t xml:space="preserve"> </w:t>
      </w:r>
    </w:p>
    <w:p w14:paraId="07D99A12" w14:textId="10265281" w:rsidR="0008664C" w:rsidRDefault="0008664C" w:rsidP="009C32AF">
      <w:pPr>
        <w:pStyle w:val="ListParagraph"/>
        <w:numPr>
          <w:ilvl w:val="1"/>
          <w:numId w:val="2"/>
        </w:numPr>
      </w:pPr>
      <w:r>
        <w:t>Contribution to the value engineering process – drawing on the expertise of an M&amp;E Engineer and civil/structural engineer as and when required.</w:t>
      </w:r>
    </w:p>
    <w:p w14:paraId="68C47167" w14:textId="657B7166" w:rsidR="00353EF5" w:rsidRDefault="0008664C" w:rsidP="009C32AF">
      <w:pPr>
        <w:pStyle w:val="ListParagraph"/>
        <w:numPr>
          <w:ilvl w:val="1"/>
          <w:numId w:val="2"/>
        </w:numPr>
      </w:pPr>
      <w:r>
        <w:t>Attendance at project meetings as and when required</w:t>
      </w:r>
    </w:p>
    <w:p w14:paraId="7387793A" w14:textId="14D18C05" w:rsidR="0008664C" w:rsidRDefault="0008664C" w:rsidP="009C32AF">
      <w:pPr>
        <w:pStyle w:val="ListParagraph"/>
        <w:numPr>
          <w:ilvl w:val="1"/>
          <w:numId w:val="2"/>
        </w:numPr>
      </w:pPr>
      <w:r w:rsidRPr="009D2F36">
        <w:t>If the development is successful in moving to the delivery phase, additional serv</w:t>
      </w:r>
      <w:r w:rsidR="009D2F36" w:rsidRPr="009D2F36">
        <w:t xml:space="preserve">ices will be required including </w:t>
      </w:r>
      <w:r w:rsidR="009D2F36">
        <w:t>i</w:t>
      </w:r>
      <w:r w:rsidRPr="009D2F36">
        <w:t>nspections to assess valuation of works on site and issue of certificates for payment on behalf of the Council</w:t>
      </w:r>
    </w:p>
    <w:p w14:paraId="47FA3014" w14:textId="767E8D06" w:rsidR="00382BD8" w:rsidRPr="00423E44" w:rsidRDefault="00CB4A31" w:rsidP="00423E44">
      <w:pPr>
        <w:pStyle w:val="IntenseQuote"/>
      </w:pPr>
      <w:r w:rsidRPr="00423E44">
        <w:t>Timescales</w:t>
      </w:r>
    </w:p>
    <w:p w14:paraId="799B4F04" w14:textId="46BD6373" w:rsidR="00EE159A" w:rsidRPr="00860DCD" w:rsidRDefault="00382BD8" w:rsidP="009C32AF">
      <w:pPr>
        <w:pStyle w:val="ListParagraph"/>
      </w:pPr>
      <w:r w:rsidRPr="00860DCD">
        <w:t xml:space="preserve">The timescales for the appointment of an appropriate </w:t>
      </w:r>
      <w:r w:rsidR="002322B3" w:rsidRPr="00860DCD">
        <w:t>Consultant</w:t>
      </w:r>
      <w:r w:rsidRPr="00860DCD">
        <w:t xml:space="preserve"> is shown below:</w:t>
      </w:r>
    </w:p>
    <w:tbl>
      <w:tblPr>
        <w:tblW w:w="8505" w:type="dxa"/>
        <w:tblInd w:w="675"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1E0" w:firstRow="1" w:lastRow="1" w:firstColumn="1" w:lastColumn="1" w:noHBand="0" w:noVBand="0"/>
      </w:tblPr>
      <w:tblGrid>
        <w:gridCol w:w="6804"/>
        <w:gridCol w:w="1701"/>
      </w:tblGrid>
      <w:tr w:rsidR="000A2D0F" w:rsidRPr="000A2D0F" w14:paraId="48647D23" w14:textId="77777777" w:rsidTr="00AD375F">
        <w:trPr>
          <w:trHeight w:val="289"/>
        </w:trPr>
        <w:tc>
          <w:tcPr>
            <w:tcW w:w="6804" w:type="dxa"/>
            <w:shd w:val="clear" w:color="auto" w:fill="244061" w:themeFill="accent1" w:themeFillShade="80"/>
          </w:tcPr>
          <w:p w14:paraId="3BC5CBB4" w14:textId="77777777" w:rsidR="000A2D0F" w:rsidRPr="000A2D0F" w:rsidRDefault="000A2D0F" w:rsidP="00EE159A">
            <w:pPr>
              <w:tabs>
                <w:tab w:val="left" w:pos="5279"/>
              </w:tabs>
              <w:spacing w:before="120" w:after="120" w:line="240" w:lineRule="auto"/>
              <w:ind w:left="34" w:right="403"/>
              <w:rPr>
                <w:rFonts w:eastAsia="Times New Roman" w:cstheme="minorHAnsi"/>
                <w:b/>
                <w:noProof/>
                <w:spacing w:val="-3"/>
                <w:lang w:eastAsia="en-GB"/>
              </w:rPr>
            </w:pPr>
            <w:r w:rsidRPr="000A2D0F">
              <w:rPr>
                <w:rFonts w:eastAsia="Times New Roman" w:cstheme="minorHAnsi"/>
                <w:b/>
                <w:noProof/>
                <w:spacing w:val="-3"/>
                <w:lang w:eastAsia="en-GB"/>
              </w:rPr>
              <w:t>Milestone</w:t>
            </w:r>
          </w:p>
        </w:tc>
        <w:tc>
          <w:tcPr>
            <w:tcW w:w="1701" w:type="dxa"/>
            <w:shd w:val="clear" w:color="auto" w:fill="244061" w:themeFill="accent1" w:themeFillShade="80"/>
          </w:tcPr>
          <w:p w14:paraId="2E2479E1" w14:textId="77777777" w:rsidR="000A2D0F" w:rsidRPr="000A2D0F" w:rsidRDefault="000A2D0F" w:rsidP="00EE159A">
            <w:pPr>
              <w:spacing w:before="120" w:after="120" w:line="240" w:lineRule="auto"/>
              <w:ind w:left="67" w:right="-46"/>
              <w:jc w:val="center"/>
              <w:rPr>
                <w:rFonts w:eastAsia="Times New Roman" w:cstheme="minorHAnsi"/>
                <w:b/>
                <w:noProof/>
                <w:spacing w:val="-3"/>
                <w:lang w:eastAsia="en-GB"/>
              </w:rPr>
            </w:pPr>
            <w:r w:rsidRPr="000A2D0F">
              <w:rPr>
                <w:rFonts w:eastAsia="Times New Roman" w:cstheme="minorHAnsi"/>
                <w:b/>
                <w:noProof/>
                <w:spacing w:val="-3"/>
                <w:lang w:eastAsia="en-GB"/>
              </w:rPr>
              <w:t>Indicative Date</w:t>
            </w:r>
          </w:p>
        </w:tc>
      </w:tr>
      <w:tr w:rsidR="000A2D0F" w:rsidRPr="000A2D0F" w14:paraId="05B402F2" w14:textId="77777777" w:rsidTr="00AD375F">
        <w:trPr>
          <w:trHeight w:val="416"/>
        </w:trPr>
        <w:tc>
          <w:tcPr>
            <w:tcW w:w="6804" w:type="dxa"/>
          </w:tcPr>
          <w:p w14:paraId="52217DBB" w14:textId="77777777" w:rsidR="000A2D0F" w:rsidRPr="000A2D0F" w:rsidRDefault="000A2D0F" w:rsidP="00006BE4">
            <w:pPr>
              <w:tabs>
                <w:tab w:val="left" w:pos="5279"/>
              </w:tabs>
              <w:spacing w:before="60" w:after="60" w:line="240" w:lineRule="auto"/>
              <w:ind w:left="34" w:right="403"/>
              <w:rPr>
                <w:rFonts w:eastAsia="Times New Roman" w:cstheme="minorHAnsi"/>
                <w:b/>
                <w:noProof/>
                <w:spacing w:val="-3"/>
                <w:u w:val="single"/>
                <w:lang w:eastAsia="en-GB"/>
              </w:rPr>
            </w:pPr>
            <w:r w:rsidRPr="000A2D0F">
              <w:rPr>
                <w:rFonts w:eastAsia="Times New Roman" w:cstheme="minorHAnsi"/>
                <w:noProof/>
                <w:spacing w:val="-3"/>
                <w:lang w:eastAsia="en-GB"/>
              </w:rPr>
              <w:t>Issue Invitation To Tender (ITT)</w:t>
            </w:r>
          </w:p>
        </w:tc>
        <w:tc>
          <w:tcPr>
            <w:tcW w:w="1701" w:type="dxa"/>
          </w:tcPr>
          <w:p w14:paraId="69E15CDA" w14:textId="515E16BD" w:rsidR="000A2D0F" w:rsidRPr="00997720" w:rsidRDefault="00997720" w:rsidP="00265DE7">
            <w:pPr>
              <w:spacing w:before="60" w:after="60" w:line="240" w:lineRule="auto"/>
              <w:ind w:left="67" w:right="-46"/>
              <w:jc w:val="center"/>
              <w:rPr>
                <w:rFonts w:eastAsia="Times New Roman" w:cstheme="minorHAnsi"/>
                <w:noProof/>
                <w:spacing w:val="-3"/>
                <w:lang w:eastAsia="en-GB"/>
              </w:rPr>
            </w:pPr>
            <w:r w:rsidRPr="00997720">
              <w:rPr>
                <w:rFonts w:eastAsia="Times New Roman" w:cstheme="minorHAnsi"/>
                <w:noProof/>
                <w:spacing w:val="-3"/>
                <w:lang w:eastAsia="en-GB"/>
              </w:rPr>
              <w:t>2</w:t>
            </w:r>
            <w:r w:rsidR="00265DE7">
              <w:rPr>
                <w:rFonts w:eastAsia="Times New Roman" w:cstheme="minorHAnsi"/>
                <w:noProof/>
                <w:spacing w:val="-3"/>
                <w:lang w:eastAsia="en-GB"/>
              </w:rPr>
              <w:t>2</w:t>
            </w:r>
            <w:r w:rsidR="00265DE7" w:rsidRPr="00265DE7">
              <w:rPr>
                <w:rFonts w:eastAsia="Times New Roman" w:cstheme="minorHAnsi"/>
                <w:noProof/>
                <w:spacing w:val="-3"/>
                <w:vertAlign w:val="superscript"/>
                <w:lang w:eastAsia="en-GB"/>
              </w:rPr>
              <w:t>nd</w:t>
            </w:r>
            <w:r w:rsidR="00265DE7">
              <w:rPr>
                <w:rFonts w:eastAsia="Times New Roman" w:cstheme="minorHAnsi"/>
                <w:noProof/>
                <w:spacing w:val="-3"/>
                <w:lang w:eastAsia="en-GB"/>
              </w:rPr>
              <w:t xml:space="preserve"> </w:t>
            </w:r>
            <w:bookmarkStart w:id="0" w:name="_GoBack"/>
            <w:bookmarkEnd w:id="0"/>
            <w:r w:rsidR="0018799E" w:rsidRPr="00997720">
              <w:rPr>
                <w:rFonts w:eastAsia="Times New Roman" w:cstheme="minorHAnsi"/>
                <w:noProof/>
                <w:spacing w:val="-3"/>
                <w:lang w:eastAsia="en-GB"/>
              </w:rPr>
              <w:t>May</w:t>
            </w:r>
          </w:p>
        </w:tc>
      </w:tr>
      <w:tr w:rsidR="000A2D0F" w:rsidRPr="000A2D0F" w14:paraId="31A9D93D" w14:textId="77777777" w:rsidTr="00AD375F">
        <w:trPr>
          <w:trHeight w:val="382"/>
        </w:trPr>
        <w:tc>
          <w:tcPr>
            <w:tcW w:w="6804" w:type="dxa"/>
          </w:tcPr>
          <w:p w14:paraId="65E1B908" w14:textId="77777777" w:rsidR="000A2D0F" w:rsidRPr="000A2D0F" w:rsidRDefault="000A2D0F" w:rsidP="00006BE4">
            <w:pPr>
              <w:tabs>
                <w:tab w:val="left" w:pos="5279"/>
              </w:tabs>
              <w:spacing w:before="60" w:after="60" w:line="240" w:lineRule="auto"/>
              <w:ind w:left="34" w:right="403"/>
              <w:rPr>
                <w:rFonts w:eastAsia="Times New Roman" w:cstheme="minorHAnsi"/>
                <w:noProof/>
                <w:spacing w:val="-3"/>
                <w:lang w:eastAsia="en-GB"/>
              </w:rPr>
            </w:pPr>
            <w:r w:rsidRPr="000A2D0F">
              <w:rPr>
                <w:rFonts w:eastAsia="Times New Roman" w:cstheme="minorHAnsi"/>
                <w:noProof/>
                <w:spacing w:val="-3"/>
                <w:lang w:eastAsia="en-GB"/>
              </w:rPr>
              <w:t>Form of Acknowledgement Returned</w:t>
            </w:r>
          </w:p>
        </w:tc>
        <w:tc>
          <w:tcPr>
            <w:tcW w:w="1701" w:type="dxa"/>
          </w:tcPr>
          <w:p w14:paraId="1F844DD0" w14:textId="049AF4A4" w:rsidR="000A2D0F" w:rsidRPr="00997720" w:rsidRDefault="00332F0D" w:rsidP="00332F0D">
            <w:pPr>
              <w:spacing w:before="60" w:after="60" w:line="240" w:lineRule="auto"/>
              <w:ind w:left="67" w:right="-46"/>
              <w:jc w:val="center"/>
              <w:rPr>
                <w:rFonts w:eastAsia="Times New Roman" w:cstheme="minorHAnsi"/>
                <w:noProof/>
                <w:spacing w:val="-3"/>
                <w:lang w:eastAsia="en-GB"/>
              </w:rPr>
            </w:pPr>
            <w:r>
              <w:rPr>
                <w:rFonts w:eastAsia="Times New Roman" w:cstheme="minorHAnsi"/>
                <w:noProof/>
                <w:spacing w:val="-3"/>
                <w:lang w:eastAsia="en-GB"/>
              </w:rPr>
              <w:t>12</w:t>
            </w:r>
            <w:r>
              <w:rPr>
                <w:rFonts w:eastAsia="Times New Roman" w:cstheme="minorHAnsi"/>
                <w:noProof/>
                <w:spacing w:val="-3"/>
                <w:vertAlign w:val="superscript"/>
                <w:lang w:eastAsia="en-GB"/>
              </w:rPr>
              <w:t>th</w:t>
            </w:r>
            <w:r w:rsidR="0018799E" w:rsidRPr="00997720">
              <w:rPr>
                <w:rFonts w:eastAsia="Times New Roman" w:cstheme="minorHAnsi"/>
                <w:noProof/>
                <w:spacing w:val="-3"/>
                <w:lang w:eastAsia="en-GB"/>
              </w:rPr>
              <w:t xml:space="preserve"> June</w:t>
            </w:r>
          </w:p>
        </w:tc>
      </w:tr>
      <w:tr w:rsidR="000A2D0F" w:rsidRPr="000A2D0F" w14:paraId="3C49470A" w14:textId="77777777" w:rsidTr="00AD375F">
        <w:trPr>
          <w:trHeight w:val="111"/>
        </w:trPr>
        <w:tc>
          <w:tcPr>
            <w:tcW w:w="6804" w:type="dxa"/>
          </w:tcPr>
          <w:p w14:paraId="5BFFC73C" w14:textId="77777777" w:rsidR="000A2D0F" w:rsidRPr="000A2D0F" w:rsidRDefault="000A2D0F" w:rsidP="00006BE4">
            <w:pPr>
              <w:tabs>
                <w:tab w:val="left" w:pos="5279"/>
              </w:tabs>
              <w:spacing w:before="60" w:after="60" w:line="240" w:lineRule="auto"/>
              <w:ind w:left="34" w:right="403"/>
              <w:rPr>
                <w:rFonts w:eastAsia="Times New Roman" w:cstheme="minorHAnsi"/>
                <w:noProof/>
                <w:spacing w:val="-3"/>
                <w:lang w:eastAsia="en-GB"/>
              </w:rPr>
            </w:pPr>
            <w:r w:rsidRPr="000A2D0F">
              <w:rPr>
                <w:rFonts w:eastAsia="Times New Roman" w:cstheme="minorHAnsi"/>
                <w:noProof/>
                <w:spacing w:val="-3"/>
                <w:lang w:eastAsia="en-GB"/>
              </w:rPr>
              <w:t>ITT Clarification Questions Cut Off Date</w:t>
            </w:r>
          </w:p>
        </w:tc>
        <w:tc>
          <w:tcPr>
            <w:tcW w:w="1701" w:type="dxa"/>
          </w:tcPr>
          <w:p w14:paraId="7E8B2CF9" w14:textId="3611903B" w:rsidR="000A2D0F" w:rsidRPr="00997720" w:rsidRDefault="00332F0D" w:rsidP="00332F0D">
            <w:pPr>
              <w:spacing w:before="60" w:after="60" w:line="240" w:lineRule="auto"/>
              <w:ind w:left="67" w:right="-46"/>
              <w:jc w:val="center"/>
              <w:rPr>
                <w:rFonts w:eastAsia="Times New Roman" w:cstheme="minorHAnsi"/>
                <w:noProof/>
                <w:spacing w:val="-3"/>
                <w:lang w:eastAsia="en-GB"/>
              </w:rPr>
            </w:pPr>
            <w:r>
              <w:rPr>
                <w:rFonts w:eastAsia="Times New Roman" w:cstheme="minorHAnsi"/>
                <w:noProof/>
                <w:spacing w:val="-3"/>
                <w:lang w:eastAsia="en-GB"/>
              </w:rPr>
              <w:t>12</w:t>
            </w:r>
            <w:r>
              <w:rPr>
                <w:rFonts w:eastAsia="Times New Roman" w:cstheme="minorHAnsi"/>
                <w:noProof/>
                <w:spacing w:val="-3"/>
                <w:vertAlign w:val="superscript"/>
                <w:lang w:eastAsia="en-GB"/>
              </w:rPr>
              <w:t>th</w:t>
            </w:r>
            <w:r w:rsidRPr="00997720">
              <w:rPr>
                <w:rFonts w:eastAsia="Times New Roman" w:cstheme="minorHAnsi"/>
                <w:noProof/>
                <w:spacing w:val="-3"/>
                <w:lang w:eastAsia="en-GB"/>
              </w:rPr>
              <w:t xml:space="preserve"> June</w:t>
            </w:r>
          </w:p>
        </w:tc>
      </w:tr>
      <w:tr w:rsidR="000A2D0F" w:rsidRPr="000A2D0F" w14:paraId="6B6F43B1" w14:textId="77777777" w:rsidTr="00AD375F">
        <w:trPr>
          <w:trHeight w:val="70"/>
        </w:trPr>
        <w:tc>
          <w:tcPr>
            <w:tcW w:w="6804" w:type="dxa"/>
          </w:tcPr>
          <w:p w14:paraId="62372AC4" w14:textId="77777777" w:rsidR="000A2D0F" w:rsidRPr="000A2D0F" w:rsidRDefault="000A2D0F" w:rsidP="00006BE4">
            <w:pPr>
              <w:tabs>
                <w:tab w:val="left" w:pos="5279"/>
              </w:tabs>
              <w:spacing w:before="60" w:after="60" w:line="240" w:lineRule="auto"/>
              <w:ind w:left="34" w:right="403"/>
              <w:rPr>
                <w:rFonts w:eastAsia="Times New Roman" w:cstheme="minorHAnsi"/>
                <w:noProof/>
                <w:spacing w:val="-3"/>
                <w:lang w:eastAsia="en-GB"/>
              </w:rPr>
            </w:pPr>
            <w:r w:rsidRPr="000A2D0F">
              <w:rPr>
                <w:rFonts w:eastAsia="Times New Roman" w:cstheme="minorHAnsi"/>
                <w:noProof/>
                <w:spacing w:val="-3"/>
                <w:lang w:eastAsia="en-GB"/>
              </w:rPr>
              <w:t>Deadline: Return of Completed ITT</w:t>
            </w:r>
          </w:p>
        </w:tc>
        <w:tc>
          <w:tcPr>
            <w:tcW w:w="1701" w:type="dxa"/>
          </w:tcPr>
          <w:p w14:paraId="79707CC3" w14:textId="1E69C546" w:rsidR="000A2D0F" w:rsidRPr="00997720" w:rsidRDefault="00332F0D" w:rsidP="00006BE4">
            <w:pPr>
              <w:spacing w:before="60" w:after="60" w:line="240" w:lineRule="auto"/>
              <w:ind w:left="67" w:right="-46"/>
              <w:jc w:val="center"/>
              <w:rPr>
                <w:rFonts w:eastAsia="Times New Roman" w:cstheme="minorHAnsi"/>
                <w:noProof/>
                <w:spacing w:val="-3"/>
                <w:lang w:eastAsia="en-GB"/>
              </w:rPr>
            </w:pPr>
            <w:r w:rsidRPr="00332F0D">
              <w:rPr>
                <w:rFonts w:eastAsia="Times New Roman" w:cstheme="minorHAnsi"/>
                <w:noProof/>
                <w:spacing w:val="-3"/>
                <w:lang w:eastAsia="en-GB"/>
              </w:rPr>
              <w:t>15</w:t>
            </w:r>
            <w:r w:rsidR="0018799E" w:rsidRPr="00997720">
              <w:rPr>
                <w:rFonts w:eastAsia="Times New Roman" w:cstheme="minorHAnsi"/>
                <w:noProof/>
                <w:spacing w:val="-3"/>
                <w:vertAlign w:val="superscript"/>
                <w:lang w:eastAsia="en-GB"/>
              </w:rPr>
              <w:t>th</w:t>
            </w:r>
            <w:r w:rsidR="0018799E" w:rsidRPr="00997720">
              <w:rPr>
                <w:rFonts w:eastAsia="Times New Roman" w:cstheme="minorHAnsi"/>
                <w:noProof/>
                <w:spacing w:val="-3"/>
                <w:lang w:eastAsia="en-GB"/>
              </w:rPr>
              <w:t xml:space="preserve"> June</w:t>
            </w:r>
          </w:p>
        </w:tc>
      </w:tr>
      <w:tr w:rsidR="000A2D0F" w:rsidRPr="000A2D0F" w14:paraId="7C46D2EC" w14:textId="77777777" w:rsidTr="00AD375F">
        <w:trPr>
          <w:trHeight w:val="406"/>
        </w:trPr>
        <w:tc>
          <w:tcPr>
            <w:tcW w:w="6804" w:type="dxa"/>
            <w:vAlign w:val="center"/>
          </w:tcPr>
          <w:p w14:paraId="2684CB13" w14:textId="03E2A557" w:rsidR="000A2D0F" w:rsidRPr="000A2D0F" w:rsidRDefault="000A2D0F" w:rsidP="00006BE4">
            <w:pPr>
              <w:tabs>
                <w:tab w:val="left" w:pos="5279"/>
              </w:tabs>
              <w:spacing w:before="60" w:after="60" w:line="240" w:lineRule="auto"/>
              <w:ind w:left="34" w:right="403"/>
              <w:rPr>
                <w:rFonts w:eastAsia="Times New Roman" w:cstheme="minorHAnsi"/>
                <w:noProof/>
                <w:spacing w:val="-3"/>
                <w:lang w:eastAsia="en-GB"/>
              </w:rPr>
            </w:pPr>
            <w:r w:rsidRPr="000A2D0F">
              <w:rPr>
                <w:rFonts w:eastAsia="Times New Roman" w:cstheme="minorHAnsi"/>
                <w:noProof/>
                <w:spacing w:val="-3"/>
                <w:lang w:eastAsia="en-GB"/>
              </w:rPr>
              <w:lastRenderedPageBreak/>
              <w:t>Post submission Clarification Meetings with Tenderers (if required)</w:t>
            </w:r>
            <w:r w:rsidR="005D0355">
              <w:rPr>
                <w:rStyle w:val="FootnoteReference"/>
                <w:rFonts w:eastAsia="Times New Roman" w:cstheme="minorHAnsi"/>
                <w:noProof/>
                <w:spacing w:val="-3"/>
                <w:lang w:eastAsia="en-GB"/>
              </w:rPr>
              <w:footnoteReference w:id="1"/>
            </w:r>
          </w:p>
        </w:tc>
        <w:tc>
          <w:tcPr>
            <w:tcW w:w="1701" w:type="dxa"/>
            <w:vAlign w:val="center"/>
          </w:tcPr>
          <w:p w14:paraId="4F6F4F6C" w14:textId="2D80DEAC" w:rsidR="000A2D0F" w:rsidRPr="00997720" w:rsidRDefault="00332F0D" w:rsidP="00332F0D">
            <w:pPr>
              <w:spacing w:before="60" w:after="60" w:line="240" w:lineRule="auto"/>
              <w:ind w:left="67" w:right="-46"/>
              <w:jc w:val="center"/>
              <w:rPr>
                <w:rFonts w:eastAsia="Times New Roman" w:cstheme="minorHAnsi"/>
                <w:noProof/>
                <w:spacing w:val="-3"/>
                <w:lang w:eastAsia="en-GB"/>
              </w:rPr>
            </w:pPr>
            <w:r>
              <w:rPr>
                <w:rFonts w:eastAsia="Times New Roman" w:cstheme="minorHAnsi"/>
                <w:noProof/>
                <w:spacing w:val="-3"/>
                <w:lang w:eastAsia="en-GB"/>
              </w:rPr>
              <w:t>21</w:t>
            </w:r>
            <w:r>
              <w:rPr>
                <w:rFonts w:eastAsia="Times New Roman" w:cstheme="minorHAnsi"/>
                <w:noProof/>
                <w:spacing w:val="-3"/>
                <w:vertAlign w:val="superscript"/>
                <w:lang w:eastAsia="en-GB"/>
              </w:rPr>
              <w:t>st</w:t>
            </w:r>
            <w:r>
              <w:rPr>
                <w:rFonts w:eastAsia="Times New Roman" w:cstheme="minorHAnsi"/>
                <w:noProof/>
                <w:spacing w:val="-3"/>
                <w:lang w:eastAsia="en-GB"/>
              </w:rPr>
              <w:t xml:space="preserve"> </w:t>
            </w:r>
            <w:r w:rsidR="0018799E" w:rsidRPr="00997720">
              <w:rPr>
                <w:rFonts w:eastAsia="Times New Roman" w:cstheme="minorHAnsi"/>
                <w:noProof/>
                <w:spacing w:val="-3"/>
                <w:lang w:eastAsia="en-GB"/>
              </w:rPr>
              <w:t>June</w:t>
            </w:r>
          </w:p>
        </w:tc>
      </w:tr>
      <w:tr w:rsidR="000A2D0F" w:rsidRPr="000A2D0F" w14:paraId="5C152DAF" w14:textId="77777777" w:rsidTr="00AD375F">
        <w:trPr>
          <w:trHeight w:val="372"/>
        </w:trPr>
        <w:tc>
          <w:tcPr>
            <w:tcW w:w="6804" w:type="dxa"/>
          </w:tcPr>
          <w:p w14:paraId="4416AF21" w14:textId="77777777" w:rsidR="000A2D0F" w:rsidRPr="000A2D0F" w:rsidRDefault="000A2D0F" w:rsidP="00006BE4">
            <w:pPr>
              <w:tabs>
                <w:tab w:val="left" w:pos="5279"/>
              </w:tabs>
              <w:spacing w:before="60" w:after="60" w:line="240" w:lineRule="auto"/>
              <w:ind w:left="34" w:right="403"/>
              <w:rPr>
                <w:rFonts w:eastAsia="Times New Roman" w:cstheme="minorHAnsi"/>
                <w:noProof/>
                <w:spacing w:val="-3"/>
                <w:lang w:eastAsia="en-GB"/>
              </w:rPr>
            </w:pPr>
            <w:r w:rsidRPr="000A2D0F">
              <w:rPr>
                <w:rFonts w:eastAsia="Times New Roman" w:cstheme="minorHAnsi"/>
                <w:noProof/>
                <w:spacing w:val="-3"/>
                <w:lang w:eastAsia="en-GB"/>
              </w:rPr>
              <w:t xml:space="preserve">Evaluation of Tenders </w:t>
            </w:r>
          </w:p>
        </w:tc>
        <w:tc>
          <w:tcPr>
            <w:tcW w:w="1701" w:type="dxa"/>
          </w:tcPr>
          <w:p w14:paraId="35496785" w14:textId="61C31311" w:rsidR="000A2D0F" w:rsidRPr="00997720" w:rsidRDefault="00332F0D" w:rsidP="00332F0D">
            <w:pPr>
              <w:spacing w:before="60" w:after="60" w:line="240" w:lineRule="auto"/>
              <w:ind w:left="67" w:right="-46"/>
              <w:jc w:val="center"/>
              <w:rPr>
                <w:rFonts w:eastAsia="Times New Roman" w:cstheme="minorHAnsi"/>
                <w:noProof/>
                <w:spacing w:val="-3"/>
                <w:lang w:eastAsia="en-GB"/>
              </w:rPr>
            </w:pPr>
            <w:r>
              <w:rPr>
                <w:rFonts w:eastAsia="Times New Roman" w:cstheme="minorHAnsi"/>
                <w:noProof/>
                <w:spacing w:val="-3"/>
                <w:lang w:eastAsia="en-GB"/>
              </w:rPr>
              <w:t>22</w:t>
            </w:r>
            <w:r w:rsidRPr="00332F0D">
              <w:rPr>
                <w:rFonts w:eastAsia="Times New Roman" w:cstheme="minorHAnsi"/>
                <w:noProof/>
                <w:spacing w:val="-3"/>
                <w:vertAlign w:val="superscript"/>
                <w:lang w:eastAsia="en-GB"/>
              </w:rPr>
              <w:t>nd</w:t>
            </w:r>
            <w:r>
              <w:rPr>
                <w:rFonts w:eastAsia="Times New Roman" w:cstheme="minorHAnsi"/>
                <w:noProof/>
                <w:spacing w:val="-3"/>
                <w:lang w:eastAsia="en-GB"/>
              </w:rPr>
              <w:t xml:space="preserve"> </w:t>
            </w:r>
            <w:r w:rsidR="0018799E" w:rsidRPr="00997720">
              <w:rPr>
                <w:rFonts w:eastAsia="Times New Roman" w:cstheme="minorHAnsi"/>
                <w:noProof/>
                <w:spacing w:val="-3"/>
                <w:lang w:eastAsia="en-GB"/>
              </w:rPr>
              <w:t>June</w:t>
            </w:r>
          </w:p>
        </w:tc>
      </w:tr>
      <w:tr w:rsidR="00332F0D" w:rsidRPr="000A2D0F" w14:paraId="3E52BBE0" w14:textId="77777777" w:rsidTr="00AD375F">
        <w:trPr>
          <w:trHeight w:val="70"/>
        </w:trPr>
        <w:tc>
          <w:tcPr>
            <w:tcW w:w="6804" w:type="dxa"/>
          </w:tcPr>
          <w:p w14:paraId="2A5AC06B" w14:textId="77777777" w:rsidR="00332F0D" w:rsidRPr="000A2D0F" w:rsidRDefault="00332F0D" w:rsidP="00006BE4">
            <w:pPr>
              <w:tabs>
                <w:tab w:val="left" w:pos="5279"/>
              </w:tabs>
              <w:spacing w:before="60" w:after="60" w:line="240" w:lineRule="auto"/>
              <w:ind w:left="34" w:right="403"/>
              <w:rPr>
                <w:rFonts w:eastAsia="Times New Roman" w:cstheme="minorHAnsi"/>
                <w:noProof/>
                <w:spacing w:val="-3"/>
                <w:lang w:eastAsia="en-GB"/>
              </w:rPr>
            </w:pPr>
            <w:r w:rsidRPr="000A2D0F">
              <w:rPr>
                <w:rFonts w:eastAsia="Times New Roman" w:cstheme="minorHAnsi"/>
                <w:noProof/>
                <w:spacing w:val="-3"/>
                <w:lang w:eastAsia="en-GB"/>
              </w:rPr>
              <w:t xml:space="preserve">Notification of result and appointment of successful firm </w:t>
            </w:r>
          </w:p>
        </w:tc>
        <w:tc>
          <w:tcPr>
            <w:tcW w:w="1701" w:type="dxa"/>
          </w:tcPr>
          <w:p w14:paraId="76949CDD" w14:textId="2F54FE2D" w:rsidR="00332F0D" w:rsidRPr="00997720" w:rsidRDefault="00332F0D" w:rsidP="00006BE4">
            <w:pPr>
              <w:spacing w:before="60" w:after="60" w:line="240" w:lineRule="auto"/>
              <w:ind w:left="67" w:right="-46"/>
              <w:jc w:val="center"/>
              <w:rPr>
                <w:rFonts w:eastAsia="Times New Roman" w:cstheme="minorHAnsi"/>
                <w:noProof/>
                <w:spacing w:val="-3"/>
                <w:lang w:eastAsia="en-GB"/>
              </w:rPr>
            </w:pPr>
            <w:r>
              <w:rPr>
                <w:rFonts w:eastAsia="Times New Roman" w:cstheme="minorHAnsi"/>
                <w:noProof/>
                <w:spacing w:val="-3"/>
                <w:lang w:eastAsia="en-GB"/>
              </w:rPr>
              <w:t>22</w:t>
            </w:r>
            <w:r w:rsidRPr="00332F0D">
              <w:rPr>
                <w:rFonts w:eastAsia="Times New Roman" w:cstheme="minorHAnsi"/>
                <w:noProof/>
                <w:spacing w:val="-3"/>
                <w:vertAlign w:val="superscript"/>
                <w:lang w:eastAsia="en-GB"/>
              </w:rPr>
              <w:t>nd</w:t>
            </w:r>
            <w:r>
              <w:rPr>
                <w:rFonts w:eastAsia="Times New Roman" w:cstheme="minorHAnsi"/>
                <w:noProof/>
                <w:spacing w:val="-3"/>
                <w:lang w:eastAsia="en-GB"/>
              </w:rPr>
              <w:t xml:space="preserve"> </w:t>
            </w:r>
            <w:r w:rsidRPr="00997720">
              <w:rPr>
                <w:rFonts w:eastAsia="Times New Roman" w:cstheme="minorHAnsi"/>
                <w:noProof/>
                <w:spacing w:val="-3"/>
                <w:lang w:eastAsia="en-GB"/>
              </w:rPr>
              <w:t>June</w:t>
            </w:r>
          </w:p>
        </w:tc>
      </w:tr>
      <w:tr w:rsidR="000A2D0F" w:rsidRPr="000A2D0F" w14:paraId="79E2C080" w14:textId="77777777" w:rsidTr="00AD375F">
        <w:trPr>
          <w:trHeight w:val="412"/>
        </w:trPr>
        <w:tc>
          <w:tcPr>
            <w:tcW w:w="6804" w:type="dxa"/>
          </w:tcPr>
          <w:p w14:paraId="06FE684E" w14:textId="77777777" w:rsidR="000A2D0F" w:rsidRPr="000A2D0F" w:rsidRDefault="000A2D0F" w:rsidP="00006BE4">
            <w:pPr>
              <w:tabs>
                <w:tab w:val="left" w:pos="5279"/>
              </w:tabs>
              <w:spacing w:before="60" w:after="60" w:line="240" w:lineRule="auto"/>
              <w:ind w:left="34" w:right="403"/>
              <w:rPr>
                <w:rFonts w:eastAsia="Times New Roman" w:cstheme="minorHAnsi"/>
                <w:noProof/>
                <w:spacing w:val="-3"/>
                <w:lang w:eastAsia="en-GB"/>
              </w:rPr>
            </w:pPr>
            <w:r w:rsidRPr="000A2D0F">
              <w:rPr>
                <w:rFonts w:eastAsia="Times New Roman" w:cstheme="minorHAnsi"/>
                <w:noProof/>
                <w:spacing w:val="-3"/>
                <w:lang w:eastAsia="en-GB"/>
              </w:rPr>
              <w:t>Inception Meeting</w:t>
            </w:r>
          </w:p>
        </w:tc>
        <w:tc>
          <w:tcPr>
            <w:tcW w:w="1701" w:type="dxa"/>
          </w:tcPr>
          <w:p w14:paraId="68F42956" w14:textId="6248674E" w:rsidR="000A2D0F" w:rsidRPr="00997720" w:rsidRDefault="00332F0D" w:rsidP="00332F0D">
            <w:pPr>
              <w:spacing w:before="60" w:after="60" w:line="240" w:lineRule="auto"/>
              <w:ind w:left="67" w:right="-46"/>
              <w:jc w:val="center"/>
              <w:rPr>
                <w:rFonts w:eastAsia="Times New Roman" w:cstheme="minorHAnsi"/>
                <w:noProof/>
                <w:spacing w:val="-3"/>
                <w:lang w:eastAsia="en-GB"/>
              </w:rPr>
            </w:pPr>
            <w:r>
              <w:rPr>
                <w:rFonts w:eastAsia="Times New Roman" w:cstheme="minorHAnsi"/>
                <w:noProof/>
                <w:spacing w:val="-3"/>
                <w:lang w:eastAsia="en-GB"/>
              </w:rPr>
              <w:t>29</w:t>
            </w:r>
            <w:r w:rsidRPr="00332F0D">
              <w:rPr>
                <w:rFonts w:eastAsia="Times New Roman" w:cstheme="minorHAnsi"/>
                <w:noProof/>
                <w:spacing w:val="-3"/>
                <w:vertAlign w:val="superscript"/>
                <w:lang w:eastAsia="en-GB"/>
              </w:rPr>
              <w:t>th</w:t>
            </w:r>
            <w:r>
              <w:rPr>
                <w:rFonts w:eastAsia="Times New Roman" w:cstheme="minorHAnsi"/>
                <w:noProof/>
                <w:spacing w:val="-3"/>
                <w:lang w:eastAsia="en-GB"/>
              </w:rPr>
              <w:t xml:space="preserve"> </w:t>
            </w:r>
            <w:r w:rsidR="0018799E" w:rsidRPr="00997720">
              <w:rPr>
                <w:rFonts w:eastAsia="Times New Roman" w:cstheme="minorHAnsi"/>
                <w:noProof/>
                <w:spacing w:val="-3"/>
                <w:lang w:eastAsia="en-GB"/>
              </w:rPr>
              <w:t>June</w:t>
            </w:r>
          </w:p>
        </w:tc>
      </w:tr>
      <w:tr w:rsidR="000A2D0F" w:rsidRPr="000A2D0F" w14:paraId="14910056" w14:textId="77777777" w:rsidTr="00AD375F">
        <w:trPr>
          <w:trHeight w:val="70"/>
        </w:trPr>
        <w:tc>
          <w:tcPr>
            <w:tcW w:w="6804" w:type="dxa"/>
          </w:tcPr>
          <w:p w14:paraId="0AFFDCCC" w14:textId="77777777" w:rsidR="000A2D0F" w:rsidRPr="000A2D0F" w:rsidRDefault="000A2D0F" w:rsidP="00006BE4">
            <w:pPr>
              <w:tabs>
                <w:tab w:val="left" w:pos="5279"/>
              </w:tabs>
              <w:spacing w:before="60" w:after="60" w:line="240" w:lineRule="auto"/>
              <w:ind w:left="34" w:right="403"/>
              <w:rPr>
                <w:rFonts w:eastAsia="Times New Roman" w:cstheme="minorHAnsi"/>
                <w:noProof/>
                <w:spacing w:val="-3"/>
                <w:lang w:eastAsia="en-GB"/>
              </w:rPr>
            </w:pPr>
            <w:r w:rsidRPr="000A2D0F">
              <w:rPr>
                <w:rFonts w:eastAsia="Times New Roman" w:cstheme="minorHAnsi"/>
                <w:noProof/>
                <w:spacing w:val="-3"/>
                <w:lang w:eastAsia="en-GB"/>
              </w:rPr>
              <w:t xml:space="preserve">Contract Implementation </w:t>
            </w:r>
          </w:p>
        </w:tc>
        <w:tc>
          <w:tcPr>
            <w:tcW w:w="1701" w:type="dxa"/>
          </w:tcPr>
          <w:p w14:paraId="14C63FF9" w14:textId="19266D90" w:rsidR="000A2D0F" w:rsidRPr="00997720" w:rsidRDefault="00332F0D" w:rsidP="00332F0D">
            <w:pPr>
              <w:spacing w:before="60" w:after="60" w:line="240" w:lineRule="auto"/>
              <w:ind w:left="67" w:right="-46"/>
              <w:jc w:val="center"/>
              <w:rPr>
                <w:rFonts w:eastAsia="Times New Roman" w:cstheme="minorHAnsi"/>
                <w:noProof/>
                <w:spacing w:val="-3"/>
                <w:lang w:eastAsia="en-GB"/>
              </w:rPr>
            </w:pPr>
            <w:r>
              <w:rPr>
                <w:rFonts w:eastAsia="Times New Roman" w:cstheme="minorHAnsi"/>
                <w:noProof/>
                <w:spacing w:val="-3"/>
                <w:lang w:eastAsia="en-GB"/>
              </w:rPr>
              <w:t>2</w:t>
            </w:r>
            <w:r w:rsidRPr="00332F0D">
              <w:rPr>
                <w:rFonts w:eastAsia="Times New Roman" w:cstheme="minorHAnsi"/>
                <w:noProof/>
                <w:spacing w:val="-3"/>
                <w:vertAlign w:val="superscript"/>
                <w:lang w:eastAsia="en-GB"/>
              </w:rPr>
              <w:t>nd</w:t>
            </w:r>
            <w:r>
              <w:rPr>
                <w:rFonts w:eastAsia="Times New Roman" w:cstheme="minorHAnsi"/>
                <w:noProof/>
                <w:spacing w:val="-3"/>
                <w:lang w:eastAsia="en-GB"/>
              </w:rPr>
              <w:t xml:space="preserve"> July</w:t>
            </w:r>
          </w:p>
        </w:tc>
      </w:tr>
    </w:tbl>
    <w:p w14:paraId="3448A2D1" w14:textId="7325E170" w:rsidR="000A55C1" w:rsidRDefault="000A55C1" w:rsidP="00006BE4">
      <w:pPr>
        <w:spacing w:before="120" w:after="120"/>
        <w:ind w:left="709" w:right="403"/>
        <w:rPr>
          <w:rFonts w:eastAsia="Times New Roman" w:cstheme="minorHAnsi"/>
          <w:i/>
          <w:noProof/>
          <w:spacing w:val="-3"/>
          <w:szCs w:val="24"/>
        </w:rPr>
      </w:pPr>
      <w:r w:rsidRPr="000A55C1">
        <w:rPr>
          <w:rFonts w:eastAsia="Times New Roman" w:cstheme="minorHAnsi"/>
          <w:i/>
          <w:noProof/>
          <w:spacing w:val="-3"/>
          <w:szCs w:val="24"/>
        </w:rPr>
        <w:t xml:space="preserve">Please note: dates set out in the table above are indicative only and may be subject to change. Any changes will be notified to all Tenderers.  </w:t>
      </w:r>
    </w:p>
    <w:p w14:paraId="01DFC620" w14:textId="15CB783F" w:rsidR="00C659AA" w:rsidRPr="00E847CC" w:rsidRDefault="00616A3E" w:rsidP="00423E44">
      <w:pPr>
        <w:pStyle w:val="IntenseQuote"/>
      </w:pPr>
      <w:r>
        <w:t>Estimate Value of Works</w:t>
      </w:r>
    </w:p>
    <w:p w14:paraId="21472CC0" w14:textId="2D82074E" w:rsidR="00D60978" w:rsidRDefault="00616A3E" w:rsidP="009C32AF">
      <w:pPr>
        <w:pStyle w:val="ListParagraph"/>
      </w:pPr>
      <w:r w:rsidRPr="0008664C">
        <w:t>Budgetary</w:t>
      </w:r>
      <w:r>
        <w:t xml:space="preserve"> resources are limited and the Council is seeking good quality advice from appropriately experienced professional</w:t>
      </w:r>
      <w:r w:rsidR="0008664C">
        <w:t>s</w:t>
      </w:r>
      <w:r>
        <w:t xml:space="preserve"> at competitive rates. The Council anticipates that the contract value arising from this opportunity w</w:t>
      </w:r>
      <w:r w:rsidR="005F5463">
        <w:t xml:space="preserve">ould be in the range </w:t>
      </w:r>
      <w:r w:rsidR="005F5463" w:rsidRPr="0018799E">
        <w:t>of £</w:t>
      </w:r>
      <w:r w:rsidR="0008664C" w:rsidRPr="0018799E">
        <w:t>2</w:t>
      </w:r>
      <w:r w:rsidR="00897FBD" w:rsidRPr="0018799E">
        <w:t>5</w:t>
      </w:r>
      <w:r w:rsidR="0008664C" w:rsidRPr="0018799E">
        <w:t xml:space="preserve">,000 </w:t>
      </w:r>
      <w:r w:rsidR="005F5463" w:rsidRPr="0018799E">
        <w:t>- £</w:t>
      </w:r>
      <w:r w:rsidR="0008664C" w:rsidRPr="0018799E">
        <w:t>3</w:t>
      </w:r>
      <w:r w:rsidR="00897FBD" w:rsidRPr="0018799E">
        <w:t>5</w:t>
      </w:r>
      <w:r w:rsidR="0008664C" w:rsidRPr="0018799E">
        <w:t>,000</w:t>
      </w:r>
      <w:r w:rsidRPr="0018799E">
        <w:t>.</w:t>
      </w:r>
    </w:p>
    <w:p w14:paraId="61A6EA24" w14:textId="43A0EC04" w:rsidR="00C33A2C" w:rsidRPr="00E847CC" w:rsidRDefault="00D60978" w:rsidP="00423E44">
      <w:pPr>
        <w:pStyle w:val="IntenseQuote"/>
      </w:pPr>
      <w:r w:rsidRPr="00D60978">
        <w:t>Project</w:t>
      </w:r>
      <w:r w:rsidRPr="00E847CC">
        <w:t xml:space="preserve"> </w:t>
      </w:r>
      <w:r w:rsidRPr="00D60978">
        <w:t>Team</w:t>
      </w:r>
    </w:p>
    <w:p w14:paraId="708BF0C7" w14:textId="221602AC" w:rsidR="00D60978" w:rsidRDefault="00D60978" w:rsidP="009C32AF">
      <w:pPr>
        <w:pStyle w:val="ListParagraph"/>
      </w:pPr>
      <w:r w:rsidRPr="00104720">
        <w:t>The</w:t>
      </w:r>
      <w:r>
        <w:t xml:space="preserve"> </w:t>
      </w:r>
      <w:r w:rsidR="002322B3">
        <w:t>Consultant</w:t>
      </w:r>
      <w:r>
        <w:t xml:space="preserve"> will work closely with the Council’s </w:t>
      </w:r>
      <w:r w:rsidR="002322B3">
        <w:t xml:space="preserve">professional </w:t>
      </w:r>
      <w:r>
        <w:t>project team, including:</w:t>
      </w:r>
    </w:p>
    <w:p w14:paraId="0B9DB150" w14:textId="02B8B070" w:rsidR="00D60978" w:rsidRPr="00104720" w:rsidRDefault="00897FBD" w:rsidP="009C32AF">
      <w:pPr>
        <w:pStyle w:val="ListParagraph"/>
        <w:numPr>
          <w:ilvl w:val="1"/>
          <w:numId w:val="2"/>
        </w:numPr>
      </w:pPr>
      <w:r>
        <w:t xml:space="preserve">Mick </w:t>
      </w:r>
      <w:proofErr w:type="spellStart"/>
      <w:r>
        <w:t>Cartledge</w:t>
      </w:r>
      <w:proofErr w:type="spellEnd"/>
      <w:r w:rsidR="00D60978" w:rsidRPr="00104720">
        <w:t xml:space="preserve">, </w:t>
      </w:r>
      <w:r>
        <w:t>Chief Executive</w:t>
      </w:r>
    </w:p>
    <w:p w14:paraId="20296FB2" w14:textId="45751385" w:rsidR="00897FBD" w:rsidRDefault="00897FBD" w:rsidP="009C32AF">
      <w:pPr>
        <w:pStyle w:val="ListParagraph"/>
        <w:numPr>
          <w:ilvl w:val="1"/>
          <w:numId w:val="2"/>
        </w:numPr>
      </w:pPr>
      <w:proofErr w:type="spellStart"/>
      <w:r>
        <w:t>Lukman</w:t>
      </w:r>
      <w:proofErr w:type="spellEnd"/>
      <w:r>
        <w:t xml:space="preserve"> Patel, Chief Operating Officer</w:t>
      </w:r>
    </w:p>
    <w:p w14:paraId="608B59A8" w14:textId="77777777" w:rsidR="00897FBD" w:rsidRDefault="00897FBD" w:rsidP="009C32AF">
      <w:pPr>
        <w:pStyle w:val="ListParagraph"/>
        <w:numPr>
          <w:ilvl w:val="1"/>
          <w:numId w:val="2"/>
        </w:numPr>
      </w:pPr>
      <w:r>
        <w:t>Kate Ingram, Strategic Head of Economy and Growth</w:t>
      </w:r>
    </w:p>
    <w:p w14:paraId="377ABFA4" w14:textId="68D042E7" w:rsidR="00897FBD" w:rsidRDefault="00897FBD" w:rsidP="009C32AF">
      <w:pPr>
        <w:pStyle w:val="ListParagraph"/>
        <w:numPr>
          <w:ilvl w:val="1"/>
          <w:numId w:val="2"/>
        </w:numPr>
      </w:pPr>
      <w:r>
        <w:t xml:space="preserve">Asad </w:t>
      </w:r>
      <w:r w:rsidR="003E48DD" w:rsidRPr="003E48DD">
        <w:t>Mushtaq</w:t>
      </w:r>
      <w:r w:rsidRPr="003E48DD">
        <w:t xml:space="preserve">, </w:t>
      </w:r>
      <w:r w:rsidRPr="00897FBD">
        <w:t>Head of Finance</w:t>
      </w:r>
      <w:r w:rsidR="000570FE">
        <w:t xml:space="preserve"> and Property Management</w:t>
      </w:r>
    </w:p>
    <w:p w14:paraId="4B8F2DF4" w14:textId="7DC68D6A" w:rsidR="00897FBD" w:rsidRDefault="00897FBD" w:rsidP="009C32AF">
      <w:pPr>
        <w:pStyle w:val="ListParagraph"/>
        <w:numPr>
          <w:ilvl w:val="1"/>
          <w:numId w:val="2"/>
        </w:numPr>
      </w:pPr>
      <w:r>
        <w:t xml:space="preserve">Anthony </w:t>
      </w:r>
      <w:proofErr w:type="spellStart"/>
      <w:r>
        <w:t>Saulle</w:t>
      </w:r>
      <w:proofErr w:type="spellEnd"/>
      <w:r>
        <w:t xml:space="preserve">, Development Team Leader </w:t>
      </w:r>
    </w:p>
    <w:p w14:paraId="5F6EE43E" w14:textId="452C0B13" w:rsidR="00D60978" w:rsidRDefault="00D60978" w:rsidP="009C32AF">
      <w:pPr>
        <w:pStyle w:val="ListParagraph"/>
        <w:numPr>
          <w:ilvl w:val="1"/>
          <w:numId w:val="2"/>
        </w:numPr>
      </w:pPr>
      <w:r w:rsidRPr="00104720">
        <w:t xml:space="preserve">Sarah </w:t>
      </w:r>
      <w:proofErr w:type="spellStart"/>
      <w:r w:rsidRPr="00104720">
        <w:t>Heslop</w:t>
      </w:r>
      <w:proofErr w:type="spellEnd"/>
      <w:r w:rsidRPr="00104720">
        <w:t>, Development Officer</w:t>
      </w:r>
    </w:p>
    <w:p w14:paraId="45B1C393" w14:textId="70628EF9" w:rsidR="00897FBD" w:rsidRDefault="00897FBD" w:rsidP="009C32AF">
      <w:pPr>
        <w:pStyle w:val="ListParagraph"/>
        <w:numPr>
          <w:ilvl w:val="1"/>
          <w:numId w:val="2"/>
        </w:numPr>
      </w:pPr>
      <w:r>
        <w:t xml:space="preserve">Margaret Rutherford, </w:t>
      </w:r>
      <w:r w:rsidR="000570FE">
        <w:t>Principal Development Surveyor</w:t>
      </w:r>
    </w:p>
    <w:p w14:paraId="0D14E81A" w14:textId="6C65D383" w:rsidR="00897FBD" w:rsidRDefault="00897FBD" w:rsidP="009C32AF">
      <w:pPr>
        <w:pStyle w:val="ListParagraph"/>
        <w:numPr>
          <w:ilvl w:val="1"/>
          <w:numId w:val="2"/>
        </w:numPr>
      </w:pPr>
      <w:r>
        <w:t xml:space="preserve">Howard Hamilton-Smith, </w:t>
      </w:r>
      <w:r w:rsidR="000570FE">
        <w:t>Finance Manager</w:t>
      </w:r>
    </w:p>
    <w:p w14:paraId="486D3EDD" w14:textId="3B9430CA" w:rsidR="008004FF" w:rsidRPr="008004FF" w:rsidRDefault="00614019" w:rsidP="009C32AF">
      <w:pPr>
        <w:pStyle w:val="ListParagraph"/>
      </w:pPr>
      <w:r w:rsidRPr="00006BE4">
        <w:t>Burnley</w:t>
      </w:r>
      <w:r>
        <w:t xml:space="preserve"> </w:t>
      </w:r>
      <w:r w:rsidR="008004FF" w:rsidRPr="0018799E">
        <w:t>C</w:t>
      </w:r>
      <w:r>
        <w:t>ouncil</w:t>
      </w:r>
      <w:r w:rsidR="008004FF" w:rsidRPr="0018799E">
        <w:t xml:space="preserve"> is also advised by L</w:t>
      </w:r>
      <w:r w:rsidR="0018799E" w:rsidRPr="0018799E">
        <w:t xml:space="preserve">ambert Smith Hampton and DAC </w:t>
      </w:r>
      <w:proofErr w:type="spellStart"/>
      <w:r w:rsidR="0018799E" w:rsidRPr="0018799E">
        <w:t>Beachcroft</w:t>
      </w:r>
      <w:proofErr w:type="spellEnd"/>
      <w:r w:rsidR="0018799E" w:rsidRPr="0018799E">
        <w:t xml:space="preserve">.  </w:t>
      </w:r>
    </w:p>
    <w:p w14:paraId="6D574613" w14:textId="0D045038" w:rsidR="00337B98" w:rsidRPr="00E847CC" w:rsidRDefault="00337B98" w:rsidP="00423E44">
      <w:pPr>
        <w:pStyle w:val="IntenseQuote"/>
      </w:pPr>
      <w:r w:rsidRPr="00337B98">
        <w:t>Tender</w:t>
      </w:r>
      <w:r w:rsidRPr="00E847CC">
        <w:t xml:space="preserve"> </w:t>
      </w:r>
      <w:r w:rsidRPr="00337B98">
        <w:t>Response</w:t>
      </w:r>
    </w:p>
    <w:p w14:paraId="5C4531DF" w14:textId="7F0DE046" w:rsidR="00337B98" w:rsidRDefault="00337B98" w:rsidP="009C32AF">
      <w:pPr>
        <w:pStyle w:val="ListParagraph"/>
      </w:pPr>
      <w:r w:rsidRPr="00006BE4">
        <w:t>Consultants</w:t>
      </w:r>
      <w:r w:rsidRPr="00337B98">
        <w:t xml:space="preserve"> will need to demonstrate a proven track record in delivering high quality outputs on time, to budget and in accordance with client expectations. The Council requires the following </w:t>
      </w:r>
      <w:r w:rsidRPr="00006BE4">
        <w:t>elements</w:t>
      </w:r>
      <w:r w:rsidRPr="00337B98">
        <w:t xml:space="preserve">, as a minimum, to comprise the tender response. Please present all information in a clear and concise manner: </w:t>
      </w:r>
    </w:p>
    <w:p w14:paraId="58F2EA67" w14:textId="77777777" w:rsidR="0082296C" w:rsidRPr="00006BE4" w:rsidRDefault="0082296C" w:rsidP="00006BE4">
      <w:pPr>
        <w:spacing w:after="60"/>
        <w:ind w:left="567"/>
        <w:rPr>
          <w:b/>
          <w:color w:val="244061" w:themeColor="accent1" w:themeShade="80"/>
        </w:rPr>
      </w:pPr>
      <w:r w:rsidRPr="00006BE4">
        <w:rPr>
          <w:b/>
          <w:color w:val="244061" w:themeColor="accent1" w:themeShade="80"/>
        </w:rPr>
        <w:lastRenderedPageBreak/>
        <w:t>I</w:t>
      </w:r>
      <w:r w:rsidR="00337B98" w:rsidRPr="00006BE4">
        <w:rPr>
          <w:b/>
          <w:color w:val="244061" w:themeColor="accent1" w:themeShade="80"/>
        </w:rPr>
        <w:t xml:space="preserve">nsurance information  </w:t>
      </w:r>
    </w:p>
    <w:p w14:paraId="3FBF35FF" w14:textId="7A1744A9" w:rsidR="00337B98" w:rsidRPr="0082296C" w:rsidRDefault="00337B98" w:rsidP="00006BE4">
      <w:pPr>
        <w:spacing w:after="60"/>
        <w:ind w:left="567"/>
      </w:pPr>
      <w:r w:rsidRPr="0082296C">
        <w:t xml:space="preserve">Self-certification as to whether you already have or can commit to obtain the levels of insurance cover indicated below (please provide copies of certificates where possible): </w:t>
      </w:r>
    </w:p>
    <w:p w14:paraId="2587427E" w14:textId="24C060BC" w:rsidR="00337B98" w:rsidRPr="00006BE4" w:rsidRDefault="00337B98" w:rsidP="009C32AF">
      <w:pPr>
        <w:pStyle w:val="ListParagraph"/>
        <w:numPr>
          <w:ilvl w:val="1"/>
          <w:numId w:val="2"/>
        </w:numPr>
      </w:pPr>
      <w:r w:rsidRPr="00006BE4">
        <w:t xml:space="preserve">Public Liability Insurance - £5m </w:t>
      </w:r>
    </w:p>
    <w:p w14:paraId="510EA0DB" w14:textId="3C35E747" w:rsidR="00337B98" w:rsidRPr="00006BE4" w:rsidRDefault="002322B3" w:rsidP="009C32AF">
      <w:pPr>
        <w:pStyle w:val="ListParagraph"/>
        <w:numPr>
          <w:ilvl w:val="1"/>
          <w:numId w:val="2"/>
        </w:numPr>
      </w:pPr>
      <w:r w:rsidRPr="00006BE4">
        <w:t>Consultant</w:t>
      </w:r>
      <w:r w:rsidR="00C444A4" w:rsidRPr="00006BE4">
        <w:t xml:space="preserve"> Indemnity Insurance - £5m</w:t>
      </w:r>
    </w:p>
    <w:p w14:paraId="7B231909" w14:textId="77777777" w:rsidR="0082296C" w:rsidRPr="00006BE4" w:rsidRDefault="00337B98" w:rsidP="00006BE4">
      <w:pPr>
        <w:spacing w:after="60"/>
        <w:ind w:left="567"/>
        <w:rPr>
          <w:b/>
          <w:color w:val="244061" w:themeColor="accent1" w:themeShade="80"/>
        </w:rPr>
      </w:pPr>
      <w:r w:rsidRPr="00006BE4">
        <w:rPr>
          <w:b/>
          <w:color w:val="244061" w:themeColor="accent1" w:themeShade="80"/>
        </w:rPr>
        <w:t>Conflict of Interest Statement</w:t>
      </w:r>
    </w:p>
    <w:p w14:paraId="15687A6F" w14:textId="0C84797D" w:rsidR="00337B98" w:rsidRPr="00EE159A" w:rsidRDefault="00337B98" w:rsidP="009C32AF">
      <w:pPr>
        <w:pStyle w:val="ListParagraph"/>
        <w:numPr>
          <w:ilvl w:val="1"/>
          <w:numId w:val="2"/>
        </w:numPr>
      </w:pPr>
      <w:r w:rsidRPr="00EE159A">
        <w:t xml:space="preserve">Clear statement showing that your practice does not have any conflicts of interest. </w:t>
      </w:r>
    </w:p>
    <w:p w14:paraId="59797A21" w14:textId="77777777" w:rsidR="0082296C" w:rsidRPr="00006BE4" w:rsidRDefault="00337B98" w:rsidP="00006BE4">
      <w:pPr>
        <w:spacing w:after="60"/>
        <w:ind w:left="567"/>
        <w:rPr>
          <w:b/>
          <w:color w:val="244061" w:themeColor="accent1" w:themeShade="80"/>
        </w:rPr>
      </w:pPr>
      <w:r w:rsidRPr="00006BE4">
        <w:rPr>
          <w:b/>
          <w:color w:val="244061" w:themeColor="accent1" w:themeShade="80"/>
        </w:rPr>
        <w:t>Accreditations</w:t>
      </w:r>
    </w:p>
    <w:p w14:paraId="5C89754D" w14:textId="42EA21FD" w:rsidR="00337B98" w:rsidRPr="00006BE4" w:rsidRDefault="00337B98" w:rsidP="009C32AF">
      <w:pPr>
        <w:pStyle w:val="ListParagraph"/>
        <w:numPr>
          <w:ilvl w:val="1"/>
          <w:numId w:val="2"/>
        </w:numPr>
      </w:pPr>
      <w:r w:rsidRPr="00EE159A">
        <w:t xml:space="preserve">Clear statement showing that </w:t>
      </w:r>
      <w:r w:rsidR="008F5E6E" w:rsidRPr="00EE159A">
        <w:t>you/</w:t>
      </w:r>
      <w:r w:rsidRPr="00EE159A">
        <w:t>r practice has appropriate RICS or other accreditation</w:t>
      </w:r>
      <w:r w:rsidR="008A4607">
        <w:t>, providing copies as appropriate</w:t>
      </w:r>
      <w:r w:rsidRPr="00EE159A">
        <w:t xml:space="preserve">. </w:t>
      </w:r>
    </w:p>
    <w:p w14:paraId="416917BC" w14:textId="0C64FE27" w:rsidR="008A4607" w:rsidRPr="00006BE4" w:rsidRDefault="008A4607" w:rsidP="00006BE4">
      <w:pPr>
        <w:spacing w:after="60"/>
        <w:ind w:left="567"/>
        <w:rPr>
          <w:b/>
          <w:color w:val="244061" w:themeColor="accent1" w:themeShade="80"/>
        </w:rPr>
      </w:pPr>
      <w:r w:rsidRPr="00006BE4">
        <w:rPr>
          <w:b/>
          <w:color w:val="244061" w:themeColor="accent1" w:themeShade="80"/>
        </w:rPr>
        <w:t>Terms and Conditions</w:t>
      </w:r>
    </w:p>
    <w:p w14:paraId="53550789" w14:textId="77777777" w:rsidR="008A4607" w:rsidRPr="0082296C" w:rsidRDefault="008A4607" w:rsidP="009C32AF">
      <w:pPr>
        <w:pStyle w:val="ListParagraph"/>
        <w:numPr>
          <w:ilvl w:val="1"/>
          <w:numId w:val="2"/>
        </w:numPr>
      </w:pPr>
      <w:r>
        <w:t xml:space="preserve">Confirmation that you can comply with the Council’s Standard Terms and Conditions attached. </w:t>
      </w:r>
    </w:p>
    <w:p w14:paraId="598B7E66" w14:textId="63151CEB" w:rsidR="00337B98" w:rsidRPr="00006BE4" w:rsidRDefault="00337B98" w:rsidP="00006BE4">
      <w:pPr>
        <w:spacing w:after="60"/>
        <w:ind w:left="567"/>
        <w:rPr>
          <w:b/>
          <w:color w:val="244061" w:themeColor="accent1" w:themeShade="80"/>
        </w:rPr>
      </w:pPr>
      <w:r w:rsidRPr="00006BE4">
        <w:rPr>
          <w:b/>
          <w:color w:val="244061" w:themeColor="accent1" w:themeShade="80"/>
        </w:rPr>
        <w:t>Method Statements</w:t>
      </w:r>
    </w:p>
    <w:p w14:paraId="564230EF" w14:textId="063BCA18" w:rsidR="00337B98" w:rsidRPr="00EE159A" w:rsidRDefault="00337B98" w:rsidP="009C32AF">
      <w:pPr>
        <w:pStyle w:val="ListParagraph"/>
        <w:numPr>
          <w:ilvl w:val="1"/>
          <w:numId w:val="2"/>
        </w:numPr>
      </w:pPr>
      <w:r w:rsidRPr="00EE159A">
        <w:t>An interpretation of the brief</w:t>
      </w:r>
      <w:r w:rsidR="008A4607">
        <w:t xml:space="preserve"> and the requirements</w:t>
      </w:r>
      <w:r w:rsidR="00AF5216">
        <w:t>.</w:t>
      </w:r>
    </w:p>
    <w:p w14:paraId="29CCFAA6" w14:textId="72934019" w:rsidR="00337B98" w:rsidRPr="00EE159A" w:rsidRDefault="00337B98" w:rsidP="009C32AF">
      <w:pPr>
        <w:pStyle w:val="ListParagraph"/>
        <w:numPr>
          <w:ilvl w:val="1"/>
          <w:numId w:val="2"/>
        </w:numPr>
      </w:pPr>
      <w:r w:rsidRPr="00EE159A">
        <w:t>A</w:t>
      </w:r>
      <w:r w:rsidR="008A4607">
        <w:t xml:space="preserve">n outline of your proposed service. </w:t>
      </w:r>
    </w:p>
    <w:p w14:paraId="00B91BAB" w14:textId="41A29FE2" w:rsidR="00AE24A6" w:rsidRPr="008004FF" w:rsidRDefault="00337B98" w:rsidP="009C32AF">
      <w:pPr>
        <w:pStyle w:val="ListParagraph"/>
        <w:numPr>
          <w:ilvl w:val="1"/>
          <w:numId w:val="2"/>
        </w:numPr>
      </w:pPr>
      <w:r w:rsidRPr="0082296C">
        <w:t>The name, qualifications</w:t>
      </w:r>
      <w:r w:rsidR="008A4607">
        <w:t xml:space="preserve"> and</w:t>
      </w:r>
      <w:r w:rsidRPr="0082296C">
        <w:t xml:space="preserve"> relevant experience</w:t>
      </w:r>
      <w:r w:rsidR="008A4607">
        <w:t xml:space="preserve"> of the individual/s who will primarily undertake this work.  </w:t>
      </w:r>
      <w:r w:rsidR="008A4607" w:rsidRPr="00AF5216">
        <w:rPr>
          <w:u w:val="single"/>
        </w:rPr>
        <w:t>Please also include the contact details for the project lead or key point of contact</w:t>
      </w:r>
      <w:r w:rsidR="008A4607">
        <w:t xml:space="preserve">.  </w:t>
      </w:r>
    </w:p>
    <w:p w14:paraId="592AC9DF" w14:textId="24ADD68C" w:rsidR="00337B98" w:rsidRDefault="008A4607" w:rsidP="009C32AF">
      <w:pPr>
        <w:pStyle w:val="ListParagraph"/>
        <w:numPr>
          <w:ilvl w:val="1"/>
          <w:numId w:val="2"/>
        </w:numPr>
      </w:pPr>
      <w:r>
        <w:t xml:space="preserve">Two recent examples (within the last 5 years) of similar work, demonstrating competence in this area of work and positive outcomes for the client.  </w:t>
      </w:r>
      <w:r w:rsidR="00AF5216">
        <w:t>Names and contact details of two referees should also be provided, please note that r</w:t>
      </w:r>
      <w:r w:rsidR="00AF5216" w:rsidRPr="0082296C">
        <w:t>eferences will only be taken up for the preferred Tenderer.</w:t>
      </w:r>
    </w:p>
    <w:p w14:paraId="6A1F35B5" w14:textId="77777777" w:rsidR="00337B98" w:rsidRPr="00006BE4" w:rsidRDefault="00337B98" w:rsidP="00006BE4">
      <w:pPr>
        <w:spacing w:after="60"/>
        <w:ind w:left="567"/>
        <w:rPr>
          <w:b/>
          <w:color w:val="244061" w:themeColor="accent1" w:themeShade="80"/>
        </w:rPr>
      </w:pPr>
      <w:r w:rsidRPr="00006BE4">
        <w:rPr>
          <w:b/>
          <w:color w:val="244061" w:themeColor="accent1" w:themeShade="80"/>
        </w:rPr>
        <w:t xml:space="preserve">Fee Schedule </w:t>
      </w:r>
    </w:p>
    <w:p w14:paraId="66A1ADDD" w14:textId="77777777" w:rsidR="008A4607" w:rsidRDefault="008004FF" w:rsidP="009C32AF">
      <w:pPr>
        <w:pStyle w:val="ListParagraph"/>
        <w:numPr>
          <w:ilvl w:val="1"/>
          <w:numId w:val="2"/>
        </w:numPr>
      </w:pPr>
      <w:r>
        <w:t>A fully inclusive fee breakdown.  A total all-inclusive fee for the work should be provided along with a breakdown of the costs for undertaking various elements of the work.</w:t>
      </w:r>
      <w:r w:rsidR="002811BB">
        <w:t xml:space="preserve">  </w:t>
      </w:r>
    </w:p>
    <w:p w14:paraId="4FCC0119" w14:textId="45FF4EEA" w:rsidR="008A4607" w:rsidRDefault="002811BB" w:rsidP="009C32AF">
      <w:pPr>
        <w:pStyle w:val="ListParagraph"/>
        <w:numPr>
          <w:ilvl w:val="1"/>
          <w:numId w:val="2"/>
        </w:numPr>
      </w:pPr>
      <w:r w:rsidRPr="002811BB">
        <w:t>Day</w:t>
      </w:r>
      <w:r w:rsidR="008A4607">
        <w:t xml:space="preserve">/hourly </w:t>
      </w:r>
      <w:r w:rsidRPr="002811BB">
        <w:t xml:space="preserve">rates for each individual identified to complete the works as described should also be supplied. </w:t>
      </w:r>
    </w:p>
    <w:p w14:paraId="18D49BFF" w14:textId="6052EB21" w:rsidR="000656EF" w:rsidRDefault="002811BB" w:rsidP="009C32AF">
      <w:pPr>
        <w:pStyle w:val="ListParagraph"/>
        <w:numPr>
          <w:ilvl w:val="1"/>
          <w:numId w:val="2"/>
        </w:numPr>
      </w:pPr>
      <w:r w:rsidRPr="002811BB">
        <w:t>All rates to be exclusive of VAT.</w:t>
      </w:r>
      <w:r w:rsidR="008004FF">
        <w:t xml:space="preserve"> </w:t>
      </w:r>
    </w:p>
    <w:p w14:paraId="3F9E78AA" w14:textId="77777777" w:rsidR="00294F57" w:rsidRDefault="00294F57" w:rsidP="00294F57">
      <w:pPr>
        <w:pStyle w:val="ListParagraph"/>
        <w:numPr>
          <w:ilvl w:val="0"/>
          <w:numId w:val="0"/>
        </w:numPr>
        <w:ind w:left="567"/>
      </w:pPr>
    </w:p>
    <w:p w14:paraId="3C03472D" w14:textId="0B9F1D8F" w:rsidR="0082296C" w:rsidRDefault="0082296C" w:rsidP="009C32AF">
      <w:pPr>
        <w:pStyle w:val="ListParagraph"/>
      </w:pPr>
      <w:r>
        <w:t xml:space="preserve">In addition, the Council requires the following documents to be submitted (please refer to the </w:t>
      </w:r>
      <w:smartTag w:uri="urn:schemas-microsoft-com:office:smarttags" w:element="stockticker">
        <w:r>
          <w:t>ITT</w:t>
        </w:r>
      </w:smartTag>
      <w:r>
        <w:t xml:space="preserve"> document):</w:t>
      </w:r>
    </w:p>
    <w:p w14:paraId="4B154FB1" w14:textId="42F3A6F1" w:rsidR="0082296C" w:rsidRPr="00EE159A" w:rsidRDefault="0082296C" w:rsidP="009C32AF">
      <w:pPr>
        <w:pStyle w:val="ListParagraph"/>
        <w:numPr>
          <w:ilvl w:val="1"/>
          <w:numId w:val="2"/>
        </w:numPr>
      </w:pPr>
      <w:r w:rsidRPr="00EE159A">
        <w:t>Form of Tender</w:t>
      </w:r>
    </w:p>
    <w:p w14:paraId="723DABC5" w14:textId="7B8A1EF0" w:rsidR="0082296C" w:rsidRPr="00EE159A" w:rsidRDefault="0082296C" w:rsidP="009C32AF">
      <w:pPr>
        <w:pStyle w:val="ListParagraph"/>
        <w:numPr>
          <w:ilvl w:val="1"/>
          <w:numId w:val="2"/>
        </w:numPr>
      </w:pPr>
      <w:r w:rsidRPr="00EE159A">
        <w:t>Certificate of Non-Collusion and Non-Ca</w:t>
      </w:r>
      <w:r w:rsidR="007F1D19" w:rsidRPr="00EE159A">
        <w:t>n</w:t>
      </w:r>
      <w:r w:rsidRPr="00EE159A">
        <w:t>vassing</w:t>
      </w:r>
    </w:p>
    <w:p w14:paraId="1858477E" w14:textId="2E1B6A33" w:rsidR="0082296C" w:rsidRPr="00EE159A" w:rsidRDefault="0082296C" w:rsidP="009C32AF">
      <w:pPr>
        <w:pStyle w:val="ListParagraph"/>
        <w:numPr>
          <w:ilvl w:val="1"/>
          <w:numId w:val="2"/>
        </w:numPr>
      </w:pPr>
      <w:r w:rsidRPr="00EE159A">
        <w:t>Cer</w:t>
      </w:r>
      <w:r w:rsidR="008513CE" w:rsidRPr="00EE159A">
        <w:t>tificate the Tender is Bona Fide</w:t>
      </w:r>
    </w:p>
    <w:p w14:paraId="4BDF3D2E" w14:textId="046DA793" w:rsidR="0082296C" w:rsidRDefault="008D0914" w:rsidP="00423E44">
      <w:pPr>
        <w:pStyle w:val="IntenseQuote"/>
      </w:pPr>
      <w:r w:rsidRPr="008D0914">
        <w:lastRenderedPageBreak/>
        <w:t>Evaluation</w:t>
      </w:r>
      <w:r w:rsidRPr="00E847CC">
        <w:t xml:space="preserve"> </w:t>
      </w:r>
      <w:r w:rsidRPr="008D0914">
        <w:t>Criteria</w:t>
      </w:r>
    </w:p>
    <w:p w14:paraId="66907C7D" w14:textId="2BFE124E" w:rsidR="006D3FD1" w:rsidRPr="00006BE4" w:rsidRDefault="006D3FD1" w:rsidP="009C32AF">
      <w:pPr>
        <w:pStyle w:val="ListParagraph"/>
      </w:pPr>
      <w:r w:rsidRPr="00006BE4">
        <w:t>Tenders will firstly be checked for compliance in relation to providing the required documents and information as stated within section 7.</w:t>
      </w:r>
    </w:p>
    <w:p w14:paraId="271536E2" w14:textId="5D5FC793" w:rsidR="008D0914" w:rsidRPr="008D0914" w:rsidRDefault="008D0914" w:rsidP="009C32AF">
      <w:pPr>
        <w:pStyle w:val="ListParagraph"/>
      </w:pPr>
      <w:r w:rsidRPr="008D0914">
        <w:t>Tenders will be evaluated against qua</w:t>
      </w:r>
      <w:r w:rsidR="001774E8">
        <w:t>lity (70%) and price (3</w:t>
      </w:r>
      <w:r w:rsidRPr="008D0914">
        <w:t xml:space="preserve">0%) criteria to establish the most advantageous tender. Please </w:t>
      </w:r>
      <w:r w:rsidRPr="000A2D0F">
        <w:t xml:space="preserve">refer to </w:t>
      </w:r>
      <w:r w:rsidR="000A2D0F" w:rsidRPr="00947A02">
        <w:t>Part 5 &amp; 6</w:t>
      </w:r>
      <w:r w:rsidRPr="00B640A0">
        <w:t xml:space="preserve"> </w:t>
      </w:r>
      <w:r w:rsidRPr="008D0914">
        <w:t xml:space="preserve">of the ITT document for full details concerning the tender evaluation. </w:t>
      </w:r>
    </w:p>
    <w:p w14:paraId="48C4BC47" w14:textId="67FB351F" w:rsidR="006D3FD1" w:rsidRDefault="001774E8" w:rsidP="009C32AF">
      <w:pPr>
        <w:pStyle w:val="ListParagraph"/>
      </w:pPr>
      <w:r w:rsidRPr="00B640A0">
        <w:rPr>
          <w:b/>
          <w:color w:val="244061" w:themeColor="accent1" w:themeShade="80"/>
        </w:rPr>
        <w:t>Quality</w:t>
      </w:r>
      <w:r w:rsidRPr="00B640A0">
        <w:rPr>
          <w:color w:val="244061" w:themeColor="accent1" w:themeShade="80"/>
        </w:rPr>
        <w:t xml:space="preserve"> </w:t>
      </w:r>
      <w:r>
        <w:t>is worth 7</w:t>
      </w:r>
      <w:r w:rsidR="008D0914" w:rsidRPr="008D0914">
        <w:t xml:space="preserve">0% of the overall evaluation score and will be evaluated through an analysis of the </w:t>
      </w:r>
      <w:r w:rsidR="00784F94">
        <w:t>applicants</w:t>
      </w:r>
      <w:r w:rsidR="008D0914" w:rsidRPr="008D0914">
        <w:t xml:space="preserve"> responses to the Method S</w:t>
      </w:r>
      <w:r w:rsidR="00784F94">
        <w:t>tatements outlined in section 7</w:t>
      </w:r>
      <w:r w:rsidR="008D0914" w:rsidRPr="008D0914">
        <w:t xml:space="preserve"> above. Scores will be attributed to these responses by the stakeholder evaluation panel based on the methodology given in tabl</w:t>
      </w:r>
      <w:r w:rsidR="00B640A0">
        <w:t xml:space="preserve">e </w:t>
      </w:r>
      <w:r w:rsidR="00006BE4">
        <w:t xml:space="preserve">1 </w:t>
      </w:r>
      <w:r w:rsidR="00B640A0">
        <w:t>below, and using the formula shown:</w:t>
      </w:r>
    </w:p>
    <w:p w14:paraId="3E77D6BF" w14:textId="0F735388" w:rsidR="006D3FD1" w:rsidRPr="00006BE4" w:rsidRDefault="006D3FD1" w:rsidP="00006BE4">
      <w:pPr>
        <w:spacing w:after="60"/>
        <w:ind w:left="1276"/>
        <w:rPr>
          <w:b/>
        </w:rPr>
      </w:pPr>
      <w:r w:rsidRPr="00006BE4">
        <w:rPr>
          <w:b/>
        </w:rPr>
        <w:t>Weighted Tender Quality Score =</w:t>
      </w:r>
    </w:p>
    <w:p w14:paraId="50DB1F59" w14:textId="506F20D2" w:rsidR="00B62A29" w:rsidRPr="008C2943" w:rsidRDefault="002811BB" w:rsidP="00BE301F">
      <w:pPr>
        <w:pStyle w:val="Normalnumbered"/>
        <w:ind w:firstLine="425"/>
        <w:rPr>
          <w:rFonts w:asciiTheme="minorHAnsi" w:hAnsiTheme="minorHAnsi" w:cstheme="minorHAnsi"/>
          <w:b/>
        </w:rPr>
      </w:pPr>
      <w:r w:rsidRPr="008C2943">
        <w:rPr>
          <w:rFonts w:asciiTheme="minorHAnsi" w:hAnsiTheme="minorHAnsi" w:cstheme="minorHAnsi"/>
          <w:b/>
        </w:rPr>
        <w:t>(</w:t>
      </w:r>
      <w:r w:rsidR="006D3FD1" w:rsidRPr="008C2943">
        <w:rPr>
          <w:rFonts w:asciiTheme="minorHAnsi" w:hAnsiTheme="minorHAnsi" w:cstheme="minorHAnsi"/>
          <w:b/>
        </w:rPr>
        <w:t>Score Awarded by Evaluation Panel / Max Score Available</w:t>
      </w:r>
      <w:r w:rsidRPr="008C2943">
        <w:rPr>
          <w:rFonts w:asciiTheme="minorHAnsi" w:hAnsiTheme="minorHAnsi" w:cstheme="minorHAnsi"/>
          <w:b/>
        </w:rPr>
        <w:t>)</w:t>
      </w:r>
      <w:r w:rsidR="006D3FD1" w:rsidRPr="008C2943">
        <w:rPr>
          <w:rFonts w:asciiTheme="minorHAnsi" w:hAnsiTheme="minorHAnsi" w:cstheme="minorHAnsi"/>
          <w:b/>
        </w:rPr>
        <w:t xml:space="preserve"> x Weighted Percentage</w:t>
      </w:r>
    </w:p>
    <w:p w14:paraId="2E54BF41" w14:textId="77777777" w:rsidR="00B640A0" w:rsidRDefault="00B640A0" w:rsidP="002811BB">
      <w:pPr>
        <w:spacing w:after="0"/>
        <w:ind w:firstLine="709"/>
        <w:rPr>
          <w:rFonts w:cstheme="minorHAnsi"/>
          <w:b/>
        </w:rPr>
      </w:pPr>
    </w:p>
    <w:p w14:paraId="3630B266" w14:textId="482865A7" w:rsidR="008E3593" w:rsidRPr="00EE159A" w:rsidRDefault="00EE159A" w:rsidP="00614019">
      <w:pPr>
        <w:spacing w:after="0"/>
        <w:ind w:firstLine="567"/>
        <w:rPr>
          <w:rFonts w:cstheme="minorHAnsi"/>
          <w:b/>
        </w:rPr>
      </w:pPr>
      <w:r w:rsidRPr="00EE159A">
        <w:rPr>
          <w:rFonts w:cstheme="minorHAnsi"/>
          <w:b/>
        </w:rPr>
        <w:t>Table 1 – Scoring Method</w:t>
      </w:r>
    </w:p>
    <w:tbl>
      <w:tblPr>
        <w:tblStyle w:val="TableGrid6"/>
        <w:tblW w:w="8789" w:type="dxa"/>
        <w:tblInd w:w="675"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709"/>
        <w:gridCol w:w="8080"/>
      </w:tblGrid>
      <w:tr w:rsidR="00EE159A" w:rsidRPr="00EE159A" w14:paraId="4F5C47CE" w14:textId="77777777" w:rsidTr="00423E44">
        <w:trPr>
          <w:trHeight w:val="423"/>
        </w:trPr>
        <w:tc>
          <w:tcPr>
            <w:tcW w:w="709" w:type="dxa"/>
            <w:shd w:val="clear" w:color="auto" w:fill="244061" w:themeFill="accent1" w:themeFillShade="80"/>
          </w:tcPr>
          <w:p w14:paraId="6A894901" w14:textId="77777777" w:rsidR="00EE159A" w:rsidRPr="00EE159A" w:rsidRDefault="00EE159A" w:rsidP="00EE159A">
            <w:pPr>
              <w:spacing w:before="60" w:after="60" w:line="276" w:lineRule="auto"/>
              <w:ind w:left="-108" w:right="-97"/>
              <w:jc w:val="center"/>
              <w:textAlignment w:val="center"/>
              <w:rPr>
                <w:rFonts w:cstheme="minorHAnsi"/>
                <w:b/>
                <w:bCs/>
                <w:iCs/>
                <w:szCs w:val="24"/>
                <w:lang w:eastAsia="en-GB"/>
              </w:rPr>
            </w:pPr>
            <w:r w:rsidRPr="00EE159A">
              <w:rPr>
                <w:rFonts w:cstheme="minorHAnsi"/>
                <w:b/>
                <w:bCs/>
                <w:iCs/>
                <w:szCs w:val="24"/>
                <w:lang w:eastAsia="en-GB"/>
              </w:rPr>
              <w:t>Score</w:t>
            </w:r>
          </w:p>
        </w:tc>
        <w:tc>
          <w:tcPr>
            <w:tcW w:w="8080" w:type="dxa"/>
            <w:shd w:val="clear" w:color="auto" w:fill="244061" w:themeFill="accent1" w:themeFillShade="80"/>
          </w:tcPr>
          <w:p w14:paraId="57400DBF" w14:textId="23CFF5FB" w:rsidR="00EE159A" w:rsidRPr="00EE159A" w:rsidRDefault="00EE159A" w:rsidP="00EE159A">
            <w:pPr>
              <w:spacing w:before="60" w:after="60" w:line="276" w:lineRule="auto"/>
              <w:ind w:right="402"/>
              <w:jc w:val="both"/>
              <w:textAlignment w:val="center"/>
              <w:rPr>
                <w:rFonts w:cstheme="minorHAnsi"/>
                <w:b/>
                <w:bCs/>
                <w:iCs/>
                <w:szCs w:val="24"/>
                <w:lang w:eastAsia="en-GB"/>
              </w:rPr>
            </w:pPr>
            <w:r w:rsidRPr="00EE159A">
              <w:rPr>
                <w:rFonts w:cstheme="minorHAnsi"/>
                <w:b/>
                <w:bCs/>
                <w:iCs/>
                <w:szCs w:val="24"/>
                <w:lang w:eastAsia="en-GB"/>
              </w:rPr>
              <w:t>Criteria</w:t>
            </w:r>
          </w:p>
        </w:tc>
      </w:tr>
      <w:tr w:rsidR="00EE159A" w:rsidRPr="00EE159A" w14:paraId="3DDFC121" w14:textId="77777777" w:rsidTr="00423E44">
        <w:tc>
          <w:tcPr>
            <w:tcW w:w="709" w:type="dxa"/>
            <w:vAlign w:val="center"/>
          </w:tcPr>
          <w:p w14:paraId="223B8780" w14:textId="77777777" w:rsidR="00EE159A" w:rsidRPr="00EE159A" w:rsidRDefault="00EE159A" w:rsidP="00423E44">
            <w:pPr>
              <w:spacing w:before="40" w:after="40" w:line="276" w:lineRule="auto"/>
              <w:ind w:left="-108" w:right="-64"/>
              <w:jc w:val="center"/>
              <w:textAlignment w:val="center"/>
              <w:rPr>
                <w:rFonts w:cstheme="minorHAnsi"/>
                <w:b/>
                <w:bCs/>
                <w:iCs/>
                <w:szCs w:val="24"/>
                <w:lang w:eastAsia="en-GB"/>
              </w:rPr>
            </w:pPr>
            <w:r w:rsidRPr="00EE159A">
              <w:rPr>
                <w:rFonts w:cstheme="minorHAnsi"/>
                <w:b/>
                <w:bCs/>
                <w:iCs/>
                <w:szCs w:val="24"/>
                <w:lang w:eastAsia="en-GB"/>
              </w:rPr>
              <w:t>4</w:t>
            </w:r>
          </w:p>
        </w:tc>
        <w:tc>
          <w:tcPr>
            <w:tcW w:w="8080" w:type="dxa"/>
            <w:vAlign w:val="center"/>
          </w:tcPr>
          <w:p w14:paraId="60C9EEEC" w14:textId="77777777" w:rsidR="00EE159A" w:rsidRPr="00EE159A" w:rsidRDefault="00EE159A" w:rsidP="00423E44">
            <w:pPr>
              <w:spacing w:before="40" w:after="40" w:line="276" w:lineRule="auto"/>
              <w:ind w:right="402"/>
              <w:rPr>
                <w:rFonts w:cstheme="minorHAnsi"/>
                <w:bCs/>
                <w:iCs/>
                <w:szCs w:val="24"/>
                <w:lang w:eastAsia="en-GB"/>
              </w:rPr>
            </w:pPr>
            <w:r w:rsidRPr="00EE159A">
              <w:rPr>
                <w:rFonts w:cstheme="minorHAnsi"/>
                <w:b/>
                <w:szCs w:val="24"/>
              </w:rPr>
              <w:t xml:space="preserve">Excellent: </w:t>
            </w:r>
            <w:r w:rsidRPr="00EE159A">
              <w:rPr>
                <w:rFonts w:eastAsia="Calibri" w:cstheme="minorHAnsi"/>
                <w:color w:val="000000"/>
                <w:lang w:eastAsia="zh-CN" w:bidi="hi-IN"/>
              </w:rPr>
              <w:t>Response clearly meets all requirements. Clearly describes the bidder’s capabilities in delivering the requirements in scope; and demonstrates exceptional understanding. All information provided is consistent with all other areas of the tender response.</w:t>
            </w:r>
          </w:p>
        </w:tc>
      </w:tr>
      <w:tr w:rsidR="00EE159A" w:rsidRPr="00EE159A" w14:paraId="1C1D3C65" w14:textId="77777777" w:rsidTr="00423E44">
        <w:tc>
          <w:tcPr>
            <w:tcW w:w="709" w:type="dxa"/>
            <w:vAlign w:val="center"/>
          </w:tcPr>
          <w:p w14:paraId="4C00F052" w14:textId="77777777" w:rsidR="00EE159A" w:rsidRPr="00EE159A" w:rsidRDefault="00EE159A" w:rsidP="00423E44">
            <w:pPr>
              <w:spacing w:before="40" w:after="40" w:line="276" w:lineRule="auto"/>
              <w:ind w:left="-108" w:right="-64"/>
              <w:jc w:val="center"/>
              <w:textAlignment w:val="center"/>
              <w:rPr>
                <w:rFonts w:cstheme="minorHAnsi"/>
                <w:b/>
                <w:bCs/>
                <w:iCs/>
                <w:szCs w:val="24"/>
                <w:lang w:eastAsia="en-GB"/>
              </w:rPr>
            </w:pPr>
            <w:r w:rsidRPr="00EE159A">
              <w:rPr>
                <w:rFonts w:cstheme="minorHAnsi"/>
                <w:b/>
                <w:bCs/>
                <w:iCs/>
                <w:szCs w:val="24"/>
                <w:lang w:eastAsia="en-GB"/>
              </w:rPr>
              <w:t>3</w:t>
            </w:r>
          </w:p>
        </w:tc>
        <w:tc>
          <w:tcPr>
            <w:tcW w:w="8080" w:type="dxa"/>
            <w:vAlign w:val="center"/>
          </w:tcPr>
          <w:p w14:paraId="5B1051C1" w14:textId="77777777" w:rsidR="00EE159A" w:rsidRPr="00EE159A" w:rsidRDefault="00EE159A" w:rsidP="00423E44">
            <w:pPr>
              <w:spacing w:before="40" w:after="40" w:line="276" w:lineRule="auto"/>
              <w:ind w:right="402"/>
              <w:rPr>
                <w:rFonts w:cstheme="minorHAnsi"/>
                <w:bCs/>
                <w:iCs/>
                <w:szCs w:val="24"/>
                <w:lang w:eastAsia="en-GB"/>
              </w:rPr>
            </w:pPr>
            <w:r w:rsidRPr="00EE159A">
              <w:rPr>
                <w:rFonts w:cstheme="minorHAnsi"/>
                <w:b/>
                <w:szCs w:val="24"/>
              </w:rPr>
              <w:t xml:space="preserve">Good: </w:t>
            </w:r>
            <w:r w:rsidRPr="00EE159A">
              <w:rPr>
                <w:rFonts w:eastAsia="Calibri" w:cstheme="minorHAnsi"/>
                <w:color w:val="000000"/>
                <w:lang w:eastAsia="zh-CN" w:bidi="hi-IN"/>
              </w:rPr>
              <w:t>Response clearly meets all requirements satisfactorily. Clearly describes the bidder’s capabilities in delivering the requirements in scope, and demonstrates understanding. All information provided is generally consistent with all other areas of the tender response.</w:t>
            </w:r>
          </w:p>
        </w:tc>
      </w:tr>
      <w:tr w:rsidR="00EE159A" w:rsidRPr="00EE159A" w14:paraId="413953EA" w14:textId="77777777" w:rsidTr="00423E44">
        <w:tc>
          <w:tcPr>
            <w:tcW w:w="709" w:type="dxa"/>
            <w:vAlign w:val="center"/>
          </w:tcPr>
          <w:p w14:paraId="28A2BC05" w14:textId="77777777" w:rsidR="00EE159A" w:rsidRPr="00EE159A" w:rsidRDefault="00EE159A" w:rsidP="00423E44">
            <w:pPr>
              <w:spacing w:before="40" w:after="40" w:line="276" w:lineRule="auto"/>
              <w:ind w:left="-108" w:right="-64"/>
              <w:jc w:val="center"/>
              <w:textAlignment w:val="center"/>
              <w:rPr>
                <w:rFonts w:cstheme="minorHAnsi"/>
                <w:b/>
                <w:bCs/>
                <w:iCs/>
                <w:szCs w:val="24"/>
                <w:lang w:eastAsia="en-GB"/>
              </w:rPr>
            </w:pPr>
            <w:r w:rsidRPr="00EE159A">
              <w:rPr>
                <w:rFonts w:cstheme="minorHAnsi"/>
                <w:b/>
                <w:bCs/>
                <w:iCs/>
                <w:szCs w:val="24"/>
                <w:lang w:eastAsia="en-GB"/>
              </w:rPr>
              <w:t>2</w:t>
            </w:r>
          </w:p>
        </w:tc>
        <w:tc>
          <w:tcPr>
            <w:tcW w:w="8080" w:type="dxa"/>
            <w:vAlign w:val="center"/>
          </w:tcPr>
          <w:p w14:paraId="0613D0AE" w14:textId="77777777" w:rsidR="00EE159A" w:rsidRPr="00EE159A" w:rsidRDefault="00EE159A" w:rsidP="00423E44">
            <w:pPr>
              <w:spacing w:before="40" w:after="40" w:line="276" w:lineRule="auto"/>
              <w:ind w:right="402"/>
              <w:rPr>
                <w:rFonts w:cstheme="minorHAnsi"/>
                <w:bCs/>
                <w:iCs/>
                <w:szCs w:val="24"/>
                <w:lang w:eastAsia="en-GB"/>
              </w:rPr>
            </w:pPr>
            <w:r w:rsidRPr="00EE159A">
              <w:rPr>
                <w:rFonts w:cstheme="minorHAnsi"/>
                <w:b/>
                <w:szCs w:val="24"/>
              </w:rPr>
              <w:t xml:space="preserve">Satisfactory: </w:t>
            </w:r>
            <w:r w:rsidRPr="00EE159A">
              <w:rPr>
                <w:rFonts w:eastAsia="Calibri" w:cstheme="minorHAnsi"/>
                <w:color w:val="000000"/>
                <w:lang w:eastAsia="zh-CN" w:bidi="hi-IN"/>
              </w:rPr>
              <w:t>Response meets most requirements but is lacking or inconsistent in a few identifiable areas, leading to minor reservations. Describes the bidder’s capability in relation to the requirements, and demonstrates some understanding. Information provided is generally consistent with all other areas of the tender response.</w:t>
            </w:r>
          </w:p>
        </w:tc>
      </w:tr>
      <w:tr w:rsidR="00EE159A" w:rsidRPr="00EE159A" w14:paraId="210DD58A" w14:textId="77777777" w:rsidTr="00423E44">
        <w:tc>
          <w:tcPr>
            <w:tcW w:w="709" w:type="dxa"/>
            <w:vAlign w:val="center"/>
          </w:tcPr>
          <w:p w14:paraId="4F551465" w14:textId="77777777" w:rsidR="00EE159A" w:rsidRPr="00EE159A" w:rsidRDefault="00EE159A" w:rsidP="00423E44">
            <w:pPr>
              <w:spacing w:before="40" w:after="40" w:line="276" w:lineRule="auto"/>
              <w:ind w:left="-108" w:right="-64"/>
              <w:jc w:val="center"/>
              <w:textAlignment w:val="center"/>
              <w:rPr>
                <w:rFonts w:cstheme="minorHAnsi"/>
                <w:b/>
                <w:bCs/>
                <w:iCs/>
                <w:szCs w:val="24"/>
                <w:lang w:eastAsia="en-GB"/>
              </w:rPr>
            </w:pPr>
            <w:r w:rsidRPr="00EE159A">
              <w:rPr>
                <w:rFonts w:cstheme="minorHAnsi"/>
                <w:b/>
                <w:bCs/>
                <w:iCs/>
                <w:szCs w:val="24"/>
                <w:lang w:eastAsia="en-GB"/>
              </w:rPr>
              <w:t>1</w:t>
            </w:r>
          </w:p>
        </w:tc>
        <w:tc>
          <w:tcPr>
            <w:tcW w:w="8080" w:type="dxa"/>
            <w:vAlign w:val="center"/>
          </w:tcPr>
          <w:p w14:paraId="0DFC3F1C" w14:textId="77777777" w:rsidR="00EE159A" w:rsidRPr="00EE159A" w:rsidRDefault="00EE159A" w:rsidP="00423E44">
            <w:pPr>
              <w:spacing w:before="40" w:after="40" w:line="276" w:lineRule="auto"/>
              <w:ind w:right="402"/>
              <w:rPr>
                <w:rFonts w:cstheme="minorHAnsi"/>
                <w:bCs/>
                <w:iCs/>
                <w:szCs w:val="24"/>
                <w:lang w:eastAsia="en-GB"/>
              </w:rPr>
            </w:pPr>
            <w:r w:rsidRPr="00EE159A">
              <w:rPr>
                <w:rFonts w:eastAsia="Calibri" w:cstheme="minorHAnsi"/>
                <w:b/>
                <w:color w:val="000000"/>
                <w:lang w:eastAsia="zh-CN" w:bidi="hi-IN"/>
              </w:rPr>
              <w:t>Weak:</w:t>
            </w:r>
            <w:r w:rsidRPr="00EE159A">
              <w:rPr>
                <w:rFonts w:eastAsia="Calibri" w:cstheme="minorHAnsi"/>
                <w:color w:val="000000"/>
                <w:lang w:eastAsia="zh-CN" w:bidi="hi-IN"/>
              </w:rPr>
              <w:t xml:space="preserve"> Response meets some requirements but is lacking in several identifiable areas, leading to serious reservations. Provides little indication of the bidder’s capability of delivering the requirements; or only partially meets the requirements; and / or demonstrates partial understanding. Some information provided is inconsistent with other areas of the tender response.</w:t>
            </w:r>
          </w:p>
        </w:tc>
      </w:tr>
      <w:tr w:rsidR="00EE159A" w:rsidRPr="00EE159A" w14:paraId="204BB9B8" w14:textId="77777777" w:rsidTr="00423E44">
        <w:tc>
          <w:tcPr>
            <w:tcW w:w="709" w:type="dxa"/>
            <w:vAlign w:val="center"/>
          </w:tcPr>
          <w:p w14:paraId="2AC5C3BC" w14:textId="77777777" w:rsidR="00EE159A" w:rsidRPr="00EE159A" w:rsidRDefault="00EE159A" w:rsidP="00423E44">
            <w:pPr>
              <w:spacing w:before="40" w:after="40" w:line="276" w:lineRule="auto"/>
              <w:ind w:left="-108" w:right="-64"/>
              <w:jc w:val="center"/>
              <w:textAlignment w:val="center"/>
              <w:rPr>
                <w:rFonts w:cstheme="minorHAnsi"/>
                <w:b/>
                <w:bCs/>
                <w:iCs/>
                <w:szCs w:val="24"/>
                <w:lang w:eastAsia="en-GB"/>
              </w:rPr>
            </w:pPr>
            <w:r w:rsidRPr="00EE159A">
              <w:rPr>
                <w:rFonts w:cstheme="minorHAnsi"/>
                <w:b/>
                <w:bCs/>
                <w:iCs/>
                <w:szCs w:val="24"/>
                <w:lang w:eastAsia="en-GB"/>
              </w:rPr>
              <w:t>0</w:t>
            </w:r>
          </w:p>
        </w:tc>
        <w:tc>
          <w:tcPr>
            <w:tcW w:w="8080" w:type="dxa"/>
            <w:vAlign w:val="center"/>
          </w:tcPr>
          <w:p w14:paraId="7FF2CA66" w14:textId="77777777" w:rsidR="00EE159A" w:rsidRPr="00EE159A" w:rsidRDefault="00EE159A" w:rsidP="00423E44">
            <w:pPr>
              <w:spacing w:before="40" w:after="40" w:line="276" w:lineRule="auto"/>
              <w:ind w:right="402"/>
              <w:rPr>
                <w:rFonts w:cstheme="minorHAnsi"/>
                <w:bCs/>
                <w:iCs/>
                <w:szCs w:val="24"/>
                <w:lang w:eastAsia="en-GB"/>
              </w:rPr>
            </w:pPr>
            <w:r w:rsidRPr="00EE159A">
              <w:rPr>
                <w:rFonts w:eastAsia="Calibri" w:cstheme="minorHAnsi"/>
                <w:b/>
                <w:color w:val="000000"/>
                <w:lang w:eastAsia="zh-CN" w:bidi="hi-IN"/>
              </w:rPr>
              <w:t>Poor/ Non-Compliant.</w:t>
            </w:r>
            <w:r w:rsidRPr="00EE159A">
              <w:rPr>
                <w:rFonts w:eastAsia="Calibri" w:cstheme="minorHAnsi"/>
                <w:color w:val="000000"/>
                <w:lang w:eastAsia="zh-CN" w:bidi="hi-IN"/>
              </w:rPr>
              <w:t xml:space="preserve"> Has a number of deficiencies or concerns in certain areas where the lack of detail requires the evaluator to make assumptions, or no information is provided. Little or no description of the potential bidder’s capability of delivering the requirements is provided, leading to major reservations; or does not meet the requirement; and / or demonstrates no understanding. Information provided is inconsistent with other areas of the tender response.</w:t>
            </w:r>
          </w:p>
        </w:tc>
      </w:tr>
    </w:tbl>
    <w:p w14:paraId="0648FD76" w14:textId="17BED2B9" w:rsidR="000A2D0F" w:rsidRPr="002811BB" w:rsidRDefault="000A2D0F" w:rsidP="009C32AF">
      <w:pPr>
        <w:pStyle w:val="ListParagraph"/>
      </w:pPr>
      <w:r w:rsidRPr="00EA326F">
        <w:rPr>
          <w:b/>
          <w:color w:val="244061" w:themeColor="accent1" w:themeShade="80"/>
        </w:rPr>
        <w:lastRenderedPageBreak/>
        <w:t>Price</w:t>
      </w:r>
      <w:r w:rsidRPr="002811BB">
        <w:t xml:space="preserve"> </w:t>
      </w:r>
      <w:r w:rsidR="00D85420">
        <w:t>is worth 3</w:t>
      </w:r>
      <w:r w:rsidR="00D85420" w:rsidRPr="008D0914">
        <w:t xml:space="preserve">0% of the overall evaluation score and </w:t>
      </w:r>
      <w:r w:rsidRPr="00BE301F">
        <w:t>will</w:t>
      </w:r>
      <w:r w:rsidRPr="002811BB">
        <w:t xml:space="preserve"> be </w:t>
      </w:r>
      <w:r w:rsidRPr="000A2D0F">
        <w:t>evaluated</w:t>
      </w:r>
      <w:r w:rsidRPr="002811BB">
        <w:t xml:space="preserve"> using</w:t>
      </w:r>
      <w:r w:rsidR="006D3FD1" w:rsidRPr="002811BB">
        <w:t xml:space="preserve"> the</w:t>
      </w:r>
      <w:r w:rsidRPr="002811BB">
        <w:t xml:space="preserve"> formula shown below:</w:t>
      </w:r>
    </w:p>
    <w:p w14:paraId="4187BD9B" w14:textId="77777777" w:rsidR="000A2D0F" w:rsidRPr="000A2D0F" w:rsidRDefault="000A2D0F" w:rsidP="00006BE4">
      <w:pPr>
        <w:spacing w:before="120" w:after="60" w:line="312" w:lineRule="auto"/>
        <w:ind w:left="284" w:firstLine="709"/>
        <w:outlineLvl w:val="0"/>
        <w:rPr>
          <w:rFonts w:eastAsia="Calibri" w:cstheme="minorHAnsi"/>
          <w:b/>
          <w:bCs/>
          <w:noProof/>
          <w:spacing w:val="-3"/>
          <w:kern w:val="32"/>
        </w:rPr>
      </w:pPr>
      <w:r w:rsidRPr="000A2D0F">
        <w:rPr>
          <w:rFonts w:eastAsia="Calibri" w:cstheme="minorHAnsi"/>
          <w:b/>
          <w:bCs/>
          <w:noProof/>
          <w:spacing w:val="-3"/>
          <w:kern w:val="32"/>
        </w:rPr>
        <w:t>Weighted Tender Price Score =</w:t>
      </w:r>
    </w:p>
    <w:p w14:paraId="650DD217" w14:textId="3004DAF6" w:rsidR="000A2D0F" w:rsidRPr="00EE159A" w:rsidRDefault="000A2D0F" w:rsidP="008C2943">
      <w:pPr>
        <w:spacing w:before="120" w:after="120" w:line="312" w:lineRule="auto"/>
        <w:ind w:left="284" w:firstLine="709"/>
        <w:outlineLvl w:val="0"/>
        <w:rPr>
          <w:rFonts w:eastAsia="Calibri" w:cstheme="minorHAnsi"/>
          <w:b/>
          <w:bCs/>
          <w:noProof/>
          <w:spacing w:val="-3"/>
          <w:kern w:val="32"/>
        </w:rPr>
      </w:pPr>
      <w:r w:rsidRPr="000A2D0F">
        <w:rPr>
          <w:rFonts w:eastAsia="Calibri" w:cstheme="minorHAnsi"/>
          <w:b/>
          <w:bCs/>
          <w:noProof/>
          <w:spacing w:val="-3"/>
          <w:kern w:val="32"/>
        </w:rPr>
        <w:t>(Lowest Tendered Price / Your Tender Price) x Weighted Percentage</w:t>
      </w:r>
    </w:p>
    <w:p w14:paraId="611AC9CD" w14:textId="77777777" w:rsidR="00A2405E" w:rsidRDefault="00A2405E" w:rsidP="006D3FD1">
      <w:pPr>
        <w:spacing w:after="0"/>
      </w:pPr>
    </w:p>
    <w:p w14:paraId="2ADEC434" w14:textId="64E4922E" w:rsidR="00A42E77" w:rsidRPr="00614019" w:rsidRDefault="00EA326F" w:rsidP="009C32AF">
      <w:pPr>
        <w:pStyle w:val="ListParagraph"/>
      </w:pPr>
      <w:r w:rsidRPr="00614019">
        <w:t>The following evaluation approach</w:t>
      </w:r>
      <w:r w:rsidR="00D85420" w:rsidRPr="00614019">
        <w:t xml:space="preserve"> (Table 2)</w:t>
      </w:r>
      <w:r w:rsidRPr="00614019">
        <w:t xml:space="preserve"> will be </w:t>
      </w:r>
      <w:r w:rsidR="00D85420" w:rsidRPr="00614019">
        <w:t>a</w:t>
      </w:r>
      <w:r w:rsidRPr="00614019">
        <w:t xml:space="preserve">pplied to the tender response, assessments made from interviews with the Tenderers and to any relevant visits of the Tenderer’s Premises as is appropriate. </w:t>
      </w:r>
      <w:r w:rsidR="00D85420" w:rsidRPr="00614019">
        <w:t xml:space="preserve"> </w:t>
      </w:r>
      <w:r w:rsidR="008E3593" w:rsidRPr="00614019">
        <w:t xml:space="preserve">The tender with the highest overall score will be determined as the most economically advantageous tender and will be awarded the contract. </w:t>
      </w:r>
    </w:p>
    <w:p w14:paraId="6C203681" w14:textId="77777777" w:rsidR="00006BE4" w:rsidRDefault="00006BE4" w:rsidP="00614019">
      <w:pPr>
        <w:spacing w:after="0"/>
        <w:ind w:firstLine="567"/>
        <w:rPr>
          <w:rFonts w:cstheme="minorHAnsi"/>
          <w:b/>
          <w:color w:val="000000"/>
        </w:rPr>
      </w:pPr>
    </w:p>
    <w:p w14:paraId="6371D135" w14:textId="2AD7E08F" w:rsidR="006D3FD1" w:rsidRDefault="006D3FD1" w:rsidP="00614019">
      <w:pPr>
        <w:spacing w:after="0"/>
        <w:ind w:firstLine="567"/>
        <w:rPr>
          <w:rFonts w:cstheme="minorHAnsi"/>
          <w:color w:val="000000"/>
        </w:rPr>
      </w:pPr>
      <w:r w:rsidRPr="00EE159A">
        <w:rPr>
          <w:rFonts w:cstheme="minorHAnsi"/>
          <w:b/>
          <w:color w:val="000000"/>
        </w:rPr>
        <w:t>Table 2 – Weighting Criteria</w:t>
      </w:r>
      <w:r w:rsidR="00006BE4">
        <w:rPr>
          <w:rFonts w:cstheme="minorHAnsi"/>
          <w:b/>
          <w:color w:val="000000"/>
        </w:rPr>
        <w:t xml:space="preserve"> &amp; Overall Evaluation Approach</w:t>
      </w:r>
    </w:p>
    <w:tbl>
      <w:tblPr>
        <w:tblStyle w:val="TableGrid9"/>
        <w:tblW w:w="8647" w:type="dxa"/>
        <w:tblInd w:w="67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17"/>
        <w:gridCol w:w="1701"/>
        <w:gridCol w:w="4111"/>
        <w:gridCol w:w="1418"/>
      </w:tblGrid>
      <w:tr w:rsidR="006D3FD1" w:rsidRPr="00EE159A" w14:paraId="62424E90" w14:textId="77777777" w:rsidTr="00614019">
        <w:trPr>
          <w:trHeight w:val="250"/>
        </w:trPr>
        <w:tc>
          <w:tcPr>
            <w:tcW w:w="1417" w:type="dxa"/>
            <w:shd w:val="clear" w:color="auto" w:fill="244061" w:themeFill="accent1" w:themeFillShade="80"/>
            <w:vAlign w:val="center"/>
          </w:tcPr>
          <w:p w14:paraId="1EC63DD7" w14:textId="77777777" w:rsidR="006D3FD1" w:rsidRPr="00EE159A" w:rsidRDefault="006D3FD1" w:rsidP="00E847CC">
            <w:pPr>
              <w:rPr>
                <w:rFonts w:cstheme="minorHAnsi"/>
                <w:b/>
              </w:rPr>
            </w:pPr>
            <w:r w:rsidRPr="00EE159A">
              <w:rPr>
                <w:rFonts w:cstheme="minorHAnsi"/>
                <w:b/>
              </w:rPr>
              <w:t>Criteria</w:t>
            </w:r>
          </w:p>
        </w:tc>
        <w:tc>
          <w:tcPr>
            <w:tcW w:w="1701" w:type="dxa"/>
            <w:shd w:val="clear" w:color="auto" w:fill="244061" w:themeFill="accent1" w:themeFillShade="80"/>
            <w:vAlign w:val="center"/>
          </w:tcPr>
          <w:p w14:paraId="363F1615" w14:textId="77777777" w:rsidR="006D3FD1" w:rsidRPr="00EE159A" w:rsidRDefault="006D3FD1" w:rsidP="00E847CC">
            <w:pPr>
              <w:rPr>
                <w:rFonts w:cstheme="minorHAnsi"/>
                <w:b/>
              </w:rPr>
            </w:pPr>
            <w:r w:rsidRPr="00EE159A">
              <w:rPr>
                <w:rFonts w:cstheme="minorHAnsi"/>
                <w:b/>
              </w:rPr>
              <w:t>Sub-Criteria</w:t>
            </w:r>
          </w:p>
        </w:tc>
        <w:tc>
          <w:tcPr>
            <w:tcW w:w="4111" w:type="dxa"/>
            <w:shd w:val="clear" w:color="auto" w:fill="244061" w:themeFill="accent1" w:themeFillShade="80"/>
            <w:vAlign w:val="center"/>
          </w:tcPr>
          <w:p w14:paraId="2D3EE737" w14:textId="77777777" w:rsidR="006D3FD1" w:rsidRPr="00EE159A" w:rsidRDefault="006D3FD1" w:rsidP="00E847CC">
            <w:pPr>
              <w:rPr>
                <w:rFonts w:cstheme="minorHAnsi"/>
                <w:b/>
              </w:rPr>
            </w:pPr>
            <w:r w:rsidRPr="00EE159A">
              <w:rPr>
                <w:rFonts w:cstheme="minorHAnsi"/>
                <w:b/>
              </w:rPr>
              <w:t>Demonstrated by</w:t>
            </w:r>
          </w:p>
        </w:tc>
        <w:tc>
          <w:tcPr>
            <w:tcW w:w="1418" w:type="dxa"/>
            <w:shd w:val="clear" w:color="auto" w:fill="244061" w:themeFill="accent1" w:themeFillShade="80"/>
            <w:vAlign w:val="center"/>
          </w:tcPr>
          <w:p w14:paraId="6138FCAC" w14:textId="77777777" w:rsidR="006D3FD1" w:rsidRPr="00EE159A" w:rsidRDefault="006D3FD1" w:rsidP="00E847CC">
            <w:pPr>
              <w:jc w:val="center"/>
              <w:rPr>
                <w:rFonts w:cstheme="minorHAnsi"/>
                <w:b/>
              </w:rPr>
            </w:pPr>
            <w:r w:rsidRPr="00EE159A">
              <w:rPr>
                <w:rFonts w:cstheme="minorHAnsi"/>
                <w:b/>
              </w:rPr>
              <w:t>Weighting</w:t>
            </w:r>
          </w:p>
        </w:tc>
      </w:tr>
      <w:tr w:rsidR="006D3FD1" w:rsidRPr="00EE159A" w14:paraId="49305B17" w14:textId="77777777" w:rsidTr="00614019">
        <w:trPr>
          <w:trHeight w:val="875"/>
        </w:trPr>
        <w:tc>
          <w:tcPr>
            <w:tcW w:w="3118" w:type="dxa"/>
            <w:gridSpan w:val="2"/>
            <w:vAlign w:val="center"/>
          </w:tcPr>
          <w:p w14:paraId="24CCE2B9" w14:textId="77777777" w:rsidR="006D3FD1" w:rsidRPr="00EE159A" w:rsidRDefault="006D3FD1" w:rsidP="00E847CC">
            <w:pPr>
              <w:rPr>
                <w:rFonts w:cstheme="minorHAnsi"/>
                <w:b/>
              </w:rPr>
            </w:pPr>
            <w:r w:rsidRPr="00EE159A">
              <w:rPr>
                <w:rFonts w:cstheme="minorHAnsi"/>
                <w:b/>
              </w:rPr>
              <w:t>Adequate Insurance Cover</w:t>
            </w:r>
          </w:p>
        </w:tc>
        <w:tc>
          <w:tcPr>
            <w:tcW w:w="4111" w:type="dxa"/>
            <w:vAlign w:val="center"/>
          </w:tcPr>
          <w:p w14:paraId="6322A913" w14:textId="77777777" w:rsidR="006D3FD1" w:rsidRPr="00EE159A" w:rsidRDefault="006D3FD1" w:rsidP="00E847CC">
            <w:pPr>
              <w:rPr>
                <w:rFonts w:cstheme="minorHAnsi"/>
              </w:rPr>
            </w:pPr>
            <w:r w:rsidRPr="00EE159A">
              <w:rPr>
                <w:rFonts w:cstheme="minorHAnsi"/>
              </w:rPr>
              <w:t>Self-certification as to whether you already have or can commit to obtain the required insurance.</w:t>
            </w:r>
          </w:p>
        </w:tc>
        <w:tc>
          <w:tcPr>
            <w:tcW w:w="1418" w:type="dxa"/>
            <w:vAlign w:val="center"/>
          </w:tcPr>
          <w:p w14:paraId="43BD1DE3" w14:textId="77777777" w:rsidR="006D3FD1" w:rsidRPr="00EE159A" w:rsidRDefault="006D3FD1" w:rsidP="00E847CC">
            <w:pPr>
              <w:jc w:val="center"/>
              <w:rPr>
                <w:rFonts w:cstheme="minorHAnsi"/>
                <w:b/>
              </w:rPr>
            </w:pPr>
            <w:r w:rsidRPr="00EE159A">
              <w:rPr>
                <w:rFonts w:cstheme="minorHAnsi"/>
                <w:b/>
              </w:rPr>
              <w:t>Pass/Fail</w:t>
            </w:r>
          </w:p>
        </w:tc>
      </w:tr>
      <w:tr w:rsidR="006D3FD1" w:rsidRPr="00EE159A" w14:paraId="02BFE64F" w14:textId="77777777" w:rsidTr="00614019">
        <w:trPr>
          <w:trHeight w:val="707"/>
        </w:trPr>
        <w:tc>
          <w:tcPr>
            <w:tcW w:w="3118" w:type="dxa"/>
            <w:gridSpan w:val="2"/>
            <w:vAlign w:val="center"/>
          </w:tcPr>
          <w:p w14:paraId="5F236216" w14:textId="77777777" w:rsidR="006D3FD1" w:rsidRPr="00EE159A" w:rsidRDefault="006D3FD1" w:rsidP="00E847CC">
            <w:pPr>
              <w:rPr>
                <w:rFonts w:cstheme="minorHAnsi"/>
                <w:b/>
              </w:rPr>
            </w:pPr>
            <w:r w:rsidRPr="00EE159A">
              <w:rPr>
                <w:rFonts w:cstheme="minorHAnsi"/>
                <w:b/>
              </w:rPr>
              <w:t>No conflict of interest declared</w:t>
            </w:r>
          </w:p>
        </w:tc>
        <w:tc>
          <w:tcPr>
            <w:tcW w:w="4111" w:type="dxa"/>
            <w:vAlign w:val="center"/>
          </w:tcPr>
          <w:p w14:paraId="6B76D2F0" w14:textId="69D3D067" w:rsidR="006D3FD1" w:rsidRPr="00EE159A" w:rsidRDefault="006D3FD1" w:rsidP="00E847CC">
            <w:pPr>
              <w:rPr>
                <w:rFonts w:cstheme="minorHAnsi"/>
              </w:rPr>
            </w:pPr>
            <w:r w:rsidRPr="00EE159A">
              <w:rPr>
                <w:rFonts w:cstheme="minorHAnsi"/>
              </w:rPr>
              <w:t>Self-certification as to whether you</w:t>
            </w:r>
            <w:r w:rsidR="00D85420">
              <w:rPr>
                <w:rFonts w:cstheme="minorHAnsi"/>
              </w:rPr>
              <w:t>/</w:t>
            </w:r>
            <w:r w:rsidRPr="00EE159A">
              <w:rPr>
                <w:rFonts w:cstheme="minorHAnsi"/>
              </w:rPr>
              <w:t>r practice has any conflicts of interest.</w:t>
            </w:r>
          </w:p>
        </w:tc>
        <w:tc>
          <w:tcPr>
            <w:tcW w:w="1418" w:type="dxa"/>
            <w:vAlign w:val="center"/>
          </w:tcPr>
          <w:p w14:paraId="48871F13" w14:textId="77777777" w:rsidR="006D3FD1" w:rsidRPr="00EE159A" w:rsidRDefault="006D3FD1" w:rsidP="00E847CC">
            <w:pPr>
              <w:jc w:val="center"/>
              <w:rPr>
                <w:rFonts w:cstheme="minorHAnsi"/>
                <w:b/>
              </w:rPr>
            </w:pPr>
            <w:r w:rsidRPr="00EE159A">
              <w:rPr>
                <w:rFonts w:cstheme="minorHAnsi"/>
                <w:b/>
              </w:rPr>
              <w:t>Pass/Fail</w:t>
            </w:r>
          </w:p>
        </w:tc>
      </w:tr>
      <w:tr w:rsidR="006D3FD1" w:rsidRPr="00EE159A" w14:paraId="2FB08B1A" w14:textId="77777777" w:rsidTr="00614019">
        <w:trPr>
          <w:trHeight w:val="702"/>
        </w:trPr>
        <w:tc>
          <w:tcPr>
            <w:tcW w:w="3118" w:type="dxa"/>
            <w:gridSpan w:val="2"/>
            <w:vAlign w:val="center"/>
          </w:tcPr>
          <w:p w14:paraId="16F32657" w14:textId="1413DB72" w:rsidR="006D3FD1" w:rsidRPr="00EE159A" w:rsidRDefault="006D3FD1" w:rsidP="00E847CC">
            <w:pPr>
              <w:rPr>
                <w:rFonts w:cstheme="minorHAnsi"/>
                <w:b/>
              </w:rPr>
            </w:pPr>
            <w:r w:rsidRPr="00EE159A">
              <w:rPr>
                <w:rFonts w:cstheme="minorHAnsi"/>
                <w:b/>
              </w:rPr>
              <w:t>RICS or equivalent accreditation</w:t>
            </w:r>
          </w:p>
        </w:tc>
        <w:tc>
          <w:tcPr>
            <w:tcW w:w="4111" w:type="dxa"/>
            <w:vAlign w:val="center"/>
          </w:tcPr>
          <w:p w14:paraId="09128F95" w14:textId="143AF8AE" w:rsidR="006D3FD1" w:rsidRPr="00EE159A" w:rsidRDefault="006D3FD1" w:rsidP="00E847CC">
            <w:pPr>
              <w:rPr>
                <w:rFonts w:cstheme="minorHAnsi"/>
              </w:rPr>
            </w:pPr>
            <w:r w:rsidRPr="00EE159A">
              <w:rPr>
                <w:rFonts w:cstheme="minorHAnsi"/>
              </w:rPr>
              <w:t>Self-certification as to whether you</w:t>
            </w:r>
            <w:r w:rsidR="00D85420">
              <w:rPr>
                <w:rFonts w:cstheme="minorHAnsi"/>
              </w:rPr>
              <w:t>/</w:t>
            </w:r>
            <w:r w:rsidRPr="00EE159A">
              <w:rPr>
                <w:rFonts w:cstheme="minorHAnsi"/>
              </w:rPr>
              <w:t>r practice has appropriate accreditation.</w:t>
            </w:r>
          </w:p>
        </w:tc>
        <w:tc>
          <w:tcPr>
            <w:tcW w:w="1418" w:type="dxa"/>
            <w:vAlign w:val="center"/>
          </w:tcPr>
          <w:p w14:paraId="281B058C" w14:textId="77777777" w:rsidR="006D3FD1" w:rsidRPr="00EE159A" w:rsidRDefault="006D3FD1" w:rsidP="00E847CC">
            <w:pPr>
              <w:jc w:val="center"/>
              <w:rPr>
                <w:rFonts w:cstheme="minorHAnsi"/>
                <w:b/>
              </w:rPr>
            </w:pPr>
            <w:r w:rsidRPr="00EE159A">
              <w:rPr>
                <w:rFonts w:cstheme="minorHAnsi"/>
                <w:b/>
              </w:rPr>
              <w:t>Pass/Fail</w:t>
            </w:r>
          </w:p>
        </w:tc>
      </w:tr>
      <w:tr w:rsidR="00D85420" w:rsidRPr="00EE159A" w14:paraId="7A0ADFC8" w14:textId="77777777" w:rsidTr="00614019">
        <w:trPr>
          <w:trHeight w:val="702"/>
        </w:trPr>
        <w:tc>
          <w:tcPr>
            <w:tcW w:w="3118" w:type="dxa"/>
            <w:gridSpan w:val="2"/>
            <w:vAlign w:val="center"/>
          </w:tcPr>
          <w:p w14:paraId="323248B2" w14:textId="495B3FF0" w:rsidR="00D85420" w:rsidRPr="00EE159A" w:rsidRDefault="00D85420" w:rsidP="00E847CC">
            <w:pPr>
              <w:rPr>
                <w:rFonts w:cstheme="minorHAnsi"/>
                <w:b/>
              </w:rPr>
            </w:pPr>
            <w:r>
              <w:rPr>
                <w:rFonts w:cstheme="minorHAnsi"/>
                <w:b/>
              </w:rPr>
              <w:t>Terms and Conditions</w:t>
            </w:r>
          </w:p>
        </w:tc>
        <w:tc>
          <w:tcPr>
            <w:tcW w:w="4111" w:type="dxa"/>
            <w:vAlign w:val="center"/>
          </w:tcPr>
          <w:p w14:paraId="4E1BACB4" w14:textId="080D39A2" w:rsidR="00D85420" w:rsidRPr="00EE159A" w:rsidRDefault="00D85420" w:rsidP="00D85420">
            <w:pPr>
              <w:rPr>
                <w:rFonts w:cstheme="minorHAnsi"/>
              </w:rPr>
            </w:pPr>
            <w:r>
              <w:rPr>
                <w:rFonts w:cstheme="minorHAnsi"/>
              </w:rPr>
              <w:t>Confirmation that you can comply with the Council’s Standard Terms and Conditions</w:t>
            </w:r>
          </w:p>
        </w:tc>
        <w:tc>
          <w:tcPr>
            <w:tcW w:w="1418" w:type="dxa"/>
            <w:vAlign w:val="center"/>
          </w:tcPr>
          <w:p w14:paraId="16BD5FA4" w14:textId="55F594D3" w:rsidR="00D85420" w:rsidRPr="00EE159A" w:rsidRDefault="00D85420" w:rsidP="00E847CC">
            <w:pPr>
              <w:jc w:val="center"/>
              <w:rPr>
                <w:rFonts w:cstheme="minorHAnsi"/>
                <w:b/>
              </w:rPr>
            </w:pPr>
            <w:r w:rsidRPr="00EE159A">
              <w:rPr>
                <w:rFonts w:cstheme="minorHAnsi"/>
                <w:b/>
              </w:rPr>
              <w:t>Pass/Fail</w:t>
            </w:r>
          </w:p>
        </w:tc>
      </w:tr>
      <w:tr w:rsidR="00D85420" w:rsidRPr="00EE159A" w14:paraId="5FE5F84E" w14:textId="77777777" w:rsidTr="00614019">
        <w:trPr>
          <w:trHeight w:val="952"/>
        </w:trPr>
        <w:tc>
          <w:tcPr>
            <w:tcW w:w="1417" w:type="dxa"/>
            <w:vMerge w:val="restart"/>
            <w:vAlign w:val="center"/>
          </w:tcPr>
          <w:p w14:paraId="22D5239D" w14:textId="77777777" w:rsidR="00D85420" w:rsidRPr="00EE159A" w:rsidRDefault="00D85420" w:rsidP="00E847CC">
            <w:pPr>
              <w:rPr>
                <w:rFonts w:cstheme="minorHAnsi"/>
                <w:b/>
              </w:rPr>
            </w:pPr>
            <w:r w:rsidRPr="00EE159A">
              <w:rPr>
                <w:rFonts w:cstheme="minorHAnsi"/>
                <w:b/>
              </w:rPr>
              <w:t>Quality</w:t>
            </w:r>
          </w:p>
          <w:p w14:paraId="65C3F63B" w14:textId="77777777" w:rsidR="00D85420" w:rsidRPr="00EE159A" w:rsidRDefault="00D85420" w:rsidP="00E847CC">
            <w:pPr>
              <w:rPr>
                <w:rFonts w:cstheme="minorHAnsi"/>
                <w:b/>
              </w:rPr>
            </w:pPr>
          </w:p>
          <w:p w14:paraId="29CA181E" w14:textId="77777777" w:rsidR="00D85420" w:rsidRPr="00EE159A" w:rsidRDefault="00D85420" w:rsidP="00E847CC">
            <w:pPr>
              <w:rPr>
                <w:rFonts w:cstheme="minorHAnsi"/>
                <w:b/>
              </w:rPr>
            </w:pPr>
          </w:p>
          <w:p w14:paraId="490BF2D7" w14:textId="77777777" w:rsidR="00D85420" w:rsidRPr="00EE159A" w:rsidRDefault="00D85420" w:rsidP="00E847CC">
            <w:pPr>
              <w:rPr>
                <w:rFonts w:cstheme="minorHAnsi"/>
                <w:b/>
              </w:rPr>
            </w:pPr>
          </w:p>
          <w:p w14:paraId="6A7007EE" w14:textId="77777777" w:rsidR="00D85420" w:rsidRPr="00EE159A" w:rsidRDefault="00D85420" w:rsidP="00E847CC">
            <w:pPr>
              <w:rPr>
                <w:rFonts w:cstheme="minorHAnsi"/>
                <w:b/>
              </w:rPr>
            </w:pPr>
          </w:p>
        </w:tc>
        <w:tc>
          <w:tcPr>
            <w:tcW w:w="1701" w:type="dxa"/>
            <w:vAlign w:val="center"/>
          </w:tcPr>
          <w:p w14:paraId="66ED2FE4" w14:textId="77777777" w:rsidR="00D85420" w:rsidRPr="00EE159A" w:rsidRDefault="00D85420" w:rsidP="00E847CC">
            <w:pPr>
              <w:rPr>
                <w:rFonts w:cstheme="minorHAnsi"/>
              </w:rPr>
            </w:pPr>
            <w:r w:rsidRPr="00EE159A">
              <w:rPr>
                <w:rFonts w:cstheme="minorHAnsi"/>
              </w:rPr>
              <w:t>Interpretation of the Brief</w:t>
            </w:r>
          </w:p>
        </w:tc>
        <w:tc>
          <w:tcPr>
            <w:tcW w:w="4111" w:type="dxa"/>
            <w:vAlign w:val="center"/>
          </w:tcPr>
          <w:p w14:paraId="34533664" w14:textId="5791E217" w:rsidR="00D85420" w:rsidRPr="002811BB" w:rsidRDefault="00D85420" w:rsidP="00423E44">
            <w:pPr>
              <w:rPr>
                <w:rFonts w:cstheme="minorHAnsi"/>
                <w:highlight w:val="yellow"/>
              </w:rPr>
            </w:pPr>
            <w:r w:rsidRPr="00423E44">
              <w:rPr>
                <w:rFonts w:cstheme="minorHAnsi"/>
              </w:rPr>
              <w:t>Understanding of the project</w:t>
            </w:r>
            <w:r w:rsidR="00423E44">
              <w:rPr>
                <w:rFonts w:cstheme="minorHAnsi"/>
              </w:rPr>
              <w:t xml:space="preserve"> and the requirements; </w:t>
            </w:r>
            <w:r w:rsidRPr="00423E44">
              <w:rPr>
                <w:rFonts w:cstheme="minorHAnsi"/>
              </w:rPr>
              <w:t>role of independent cost consultants in a collab</w:t>
            </w:r>
            <w:r w:rsidR="00423E44" w:rsidRPr="00423E44">
              <w:rPr>
                <w:rFonts w:cstheme="minorHAnsi"/>
              </w:rPr>
              <w:t>orative approach to the project.</w:t>
            </w:r>
          </w:p>
        </w:tc>
        <w:tc>
          <w:tcPr>
            <w:tcW w:w="1418" w:type="dxa"/>
            <w:vAlign w:val="center"/>
          </w:tcPr>
          <w:p w14:paraId="775A57C4" w14:textId="79A424E0" w:rsidR="00D85420" w:rsidRPr="00EE159A" w:rsidRDefault="00423E44" w:rsidP="00E847CC">
            <w:pPr>
              <w:jc w:val="center"/>
              <w:rPr>
                <w:rFonts w:cstheme="minorHAnsi"/>
                <w:b/>
              </w:rPr>
            </w:pPr>
            <w:r>
              <w:rPr>
                <w:rFonts w:cstheme="minorHAnsi"/>
                <w:b/>
              </w:rPr>
              <w:t>15</w:t>
            </w:r>
          </w:p>
        </w:tc>
      </w:tr>
      <w:tr w:rsidR="00D85420" w:rsidRPr="00EE159A" w14:paraId="3F4AAD46" w14:textId="77777777" w:rsidTr="00614019">
        <w:trPr>
          <w:trHeight w:val="844"/>
        </w:trPr>
        <w:tc>
          <w:tcPr>
            <w:tcW w:w="1417" w:type="dxa"/>
            <w:vMerge/>
            <w:vAlign w:val="center"/>
          </w:tcPr>
          <w:p w14:paraId="1473BD27" w14:textId="77777777" w:rsidR="00D85420" w:rsidRPr="00EE159A" w:rsidRDefault="00D85420" w:rsidP="00E847CC">
            <w:pPr>
              <w:rPr>
                <w:rFonts w:cstheme="minorHAnsi"/>
                <w:b/>
              </w:rPr>
            </w:pPr>
          </w:p>
        </w:tc>
        <w:tc>
          <w:tcPr>
            <w:tcW w:w="1701" w:type="dxa"/>
            <w:vAlign w:val="center"/>
          </w:tcPr>
          <w:p w14:paraId="372C3B77" w14:textId="77777777" w:rsidR="00D85420" w:rsidRPr="00EE159A" w:rsidRDefault="00D85420" w:rsidP="00E847CC">
            <w:pPr>
              <w:rPr>
                <w:rFonts w:cstheme="minorHAnsi"/>
              </w:rPr>
            </w:pPr>
            <w:r w:rsidRPr="00EE159A">
              <w:rPr>
                <w:rFonts w:cstheme="minorHAnsi"/>
              </w:rPr>
              <w:t>Methodology proposed</w:t>
            </w:r>
          </w:p>
        </w:tc>
        <w:tc>
          <w:tcPr>
            <w:tcW w:w="4111" w:type="dxa"/>
            <w:vAlign w:val="center"/>
          </w:tcPr>
          <w:p w14:paraId="36F203D8" w14:textId="56213175" w:rsidR="00D85420" w:rsidRPr="00EE159A" w:rsidRDefault="00D85420" w:rsidP="00423E44">
            <w:pPr>
              <w:rPr>
                <w:rFonts w:cstheme="minorHAnsi"/>
              </w:rPr>
            </w:pPr>
            <w:r w:rsidRPr="00EE159A">
              <w:rPr>
                <w:rFonts w:cstheme="minorHAnsi"/>
              </w:rPr>
              <w:t xml:space="preserve">A clear overall approach to the work and </w:t>
            </w:r>
            <w:r w:rsidR="00423E44">
              <w:rPr>
                <w:rFonts w:cstheme="minorHAnsi"/>
              </w:rPr>
              <w:t>proposed services</w:t>
            </w:r>
            <w:r w:rsidRPr="00EE159A">
              <w:rPr>
                <w:rFonts w:cstheme="minorHAnsi"/>
              </w:rPr>
              <w:t xml:space="preserve"> outlined for completing each section of the brief.</w:t>
            </w:r>
          </w:p>
        </w:tc>
        <w:tc>
          <w:tcPr>
            <w:tcW w:w="1418" w:type="dxa"/>
            <w:vAlign w:val="center"/>
          </w:tcPr>
          <w:p w14:paraId="7D8A5779" w14:textId="36A3468B" w:rsidR="00D85420" w:rsidRPr="00EE159A" w:rsidRDefault="00D85420" w:rsidP="00E847CC">
            <w:pPr>
              <w:jc w:val="center"/>
              <w:rPr>
                <w:rFonts w:cstheme="minorHAnsi"/>
                <w:b/>
              </w:rPr>
            </w:pPr>
            <w:r>
              <w:rPr>
                <w:rFonts w:cstheme="minorHAnsi"/>
                <w:b/>
              </w:rPr>
              <w:t>20</w:t>
            </w:r>
          </w:p>
        </w:tc>
      </w:tr>
      <w:tr w:rsidR="00D85420" w:rsidRPr="00EE159A" w14:paraId="65469F2A" w14:textId="77777777" w:rsidTr="00614019">
        <w:tc>
          <w:tcPr>
            <w:tcW w:w="1417" w:type="dxa"/>
            <w:vMerge/>
            <w:vAlign w:val="center"/>
          </w:tcPr>
          <w:p w14:paraId="2EE63B0F" w14:textId="77777777" w:rsidR="00D85420" w:rsidRPr="00EE159A" w:rsidRDefault="00D85420" w:rsidP="00E847CC">
            <w:pPr>
              <w:rPr>
                <w:rFonts w:cstheme="minorHAnsi"/>
                <w:b/>
              </w:rPr>
            </w:pPr>
          </w:p>
        </w:tc>
        <w:tc>
          <w:tcPr>
            <w:tcW w:w="1701" w:type="dxa"/>
            <w:vAlign w:val="center"/>
          </w:tcPr>
          <w:p w14:paraId="5174861D" w14:textId="77777777" w:rsidR="00D85420" w:rsidRPr="00EE159A" w:rsidRDefault="00D85420" w:rsidP="00E847CC">
            <w:pPr>
              <w:rPr>
                <w:rFonts w:cstheme="minorHAnsi"/>
              </w:rPr>
            </w:pPr>
            <w:r w:rsidRPr="00EE159A">
              <w:rPr>
                <w:rFonts w:cstheme="minorHAnsi"/>
              </w:rPr>
              <w:t>Identified team / staff</w:t>
            </w:r>
          </w:p>
        </w:tc>
        <w:tc>
          <w:tcPr>
            <w:tcW w:w="4111" w:type="dxa"/>
            <w:vAlign w:val="center"/>
          </w:tcPr>
          <w:p w14:paraId="7E49F44D" w14:textId="40C7BF46" w:rsidR="00D85420" w:rsidRPr="00EE159A" w:rsidRDefault="00D85420" w:rsidP="00E847CC">
            <w:pPr>
              <w:rPr>
                <w:rFonts w:cstheme="minorHAnsi"/>
              </w:rPr>
            </w:pPr>
            <w:r w:rsidRPr="00EE159A">
              <w:rPr>
                <w:rFonts w:cstheme="minorHAnsi"/>
              </w:rPr>
              <w:t>Suitably qualified staff identified with relevant experience of undertaking this type of work.</w:t>
            </w:r>
          </w:p>
        </w:tc>
        <w:tc>
          <w:tcPr>
            <w:tcW w:w="1418" w:type="dxa"/>
            <w:vAlign w:val="center"/>
          </w:tcPr>
          <w:p w14:paraId="762E3225" w14:textId="2DD54BF8" w:rsidR="00D85420" w:rsidRPr="00EE159A" w:rsidRDefault="00423E44" w:rsidP="00E847CC">
            <w:pPr>
              <w:jc w:val="center"/>
              <w:rPr>
                <w:rFonts w:cstheme="minorHAnsi"/>
                <w:b/>
              </w:rPr>
            </w:pPr>
            <w:r>
              <w:rPr>
                <w:rFonts w:cstheme="minorHAnsi"/>
                <w:b/>
              </w:rPr>
              <w:t>20</w:t>
            </w:r>
          </w:p>
        </w:tc>
      </w:tr>
      <w:tr w:rsidR="00D85420" w:rsidRPr="00EE159A" w14:paraId="633967A0" w14:textId="77777777" w:rsidTr="00614019">
        <w:trPr>
          <w:trHeight w:val="564"/>
        </w:trPr>
        <w:tc>
          <w:tcPr>
            <w:tcW w:w="1417" w:type="dxa"/>
            <w:vMerge/>
            <w:vAlign w:val="center"/>
          </w:tcPr>
          <w:p w14:paraId="6A1EE9ED" w14:textId="77777777" w:rsidR="00D85420" w:rsidRPr="00EE159A" w:rsidRDefault="00D85420" w:rsidP="00E847CC">
            <w:pPr>
              <w:rPr>
                <w:rFonts w:cstheme="minorHAnsi"/>
                <w:b/>
              </w:rPr>
            </w:pPr>
          </w:p>
        </w:tc>
        <w:tc>
          <w:tcPr>
            <w:tcW w:w="1701" w:type="dxa"/>
            <w:vAlign w:val="center"/>
          </w:tcPr>
          <w:p w14:paraId="3F0127D2" w14:textId="77777777" w:rsidR="00D85420" w:rsidRPr="00EE159A" w:rsidRDefault="00D85420" w:rsidP="00E847CC">
            <w:pPr>
              <w:rPr>
                <w:rFonts w:cstheme="minorHAnsi"/>
              </w:rPr>
            </w:pPr>
            <w:r w:rsidRPr="00EE159A">
              <w:rPr>
                <w:rFonts w:cstheme="minorHAnsi"/>
              </w:rPr>
              <w:t>Past Experience</w:t>
            </w:r>
          </w:p>
        </w:tc>
        <w:tc>
          <w:tcPr>
            <w:tcW w:w="4111" w:type="dxa"/>
            <w:vAlign w:val="center"/>
          </w:tcPr>
          <w:p w14:paraId="2A617B2E" w14:textId="77777777" w:rsidR="00D85420" w:rsidRPr="00EE159A" w:rsidRDefault="00D85420" w:rsidP="00E847CC">
            <w:pPr>
              <w:rPr>
                <w:rFonts w:cstheme="minorHAnsi"/>
              </w:rPr>
            </w:pPr>
            <w:r w:rsidRPr="00EE159A">
              <w:rPr>
                <w:rFonts w:cstheme="minorHAnsi"/>
              </w:rPr>
              <w:t>Relevant experience of undertaking this type of work.</w:t>
            </w:r>
          </w:p>
        </w:tc>
        <w:tc>
          <w:tcPr>
            <w:tcW w:w="1418" w:type="dxa"/>
            <w:vAlign w:val="center"/>
          </w:tcPr>
          <w:p w14:paraId="78BF7005" w14:textId="53B996B1" w:rsidR="00D85420" w:rsidRPr="00EE159A" w:rsidRDefault="00D85420" w:rsidP="00E847CC">
            <w:pPr>
              <w:jc w:val="center"/>
              <w:rPr>
                <w:rFonts w:cstheme="minorHAnsi"/>
                <w:b/>
              </w:rPr>
            </w:pPr>
            <w:r>
              <w:rPr>
                <w:rFonts w:cstheme="minorHAnsi"/>
                <w:b/>
              </w:rPr>
              <w:t>15</w:t>
            </w:r>
          </w:p>
        </w:tc>
      </w:tr>
      <w:tr w:rsidR="00D85420" w:rsidRPr="00EE159A" w14:paraId="5658DCA7" w14:textId="77777777" w:rsidTr="00614019">
        <w:trPr>
          <w:trHeight w:val="527"/>
        </w:trPr>
        <w:tc>
          <w:tcPr>
            <w:tcW w:w="1417" w:type="dxa"/>
            <w:vAlign w:val="center"/>
          </w:tcPr>
          <w:p w14:paraId="2C49500D" w14:textId="77777777" w:rsidR="00D85420" w:rsidRPr="00EE159A" w:rsidRDefault="00D85420" w:rsidP="00E847CC">
            <w:pPr>
              <w:rPr>
                <w:rFonts w:cstheme="minorHAnsi"/>
                <w:b/>
              </w:rPr>
            </w:pPr>
            <w:r w:rsidRPr="00EE159A">
              <w:rPr>
                <w:rFonts w:cstheme="minorHAnsi"/>
                <w:b/>
              </w:rPr>
              <w:t>Price</w:t>
            </w:r>
          </w:p>
        </w:tc>
        <w:tc>
          <w:tcPr>
            <w:tcW w:w="5812" w:type="dxa"/>
            <w:gridSpan w:val="2"/>
            <w:vAlign w:val="center"/>
          </w:tcPr>
          <w:p w14:paraId="1390BDEB" w14:textId="77777777" w:rsidR="00D85420" w:rsidRPr="00EE159A" w:rsidRDefault="00D85420" w:rsidP="00E847CC">
            <w:pPr>
              <w:rPr>
                <w:rFonts w:cstheme="minorHAnsi"/>
              </w:rPr>
            </w:pPr>
            <w:r w:rsidRPr="00EE159A">
              <w:rPr>
                <w:rFonts w:cstheme="minorHAnsi"/>
              </w:rPr>
              <w:t>Fees and Rates</w:t>
            </w:r>
          </w:p>
        </w:tc>
        <w:tc>
          <w:tcPr>
            <w:tcW w:w="1418" w:type="dxa"/>
            <w:vAlign w:val="center"/>
          </w:tcPr>
          <w:p w14:paraId="32D2A6E1" w14:textId="77777777" w:rsidR="00D85420" w:rsidRPr="00EE159A" w:rsidRDefault="00D85420" w:rsidP="00E847CC">
            <w:pPr>
              <w:jc w:val="center"/>
              <w:rPr>
                <w:rFonts w:cstheme="minorHAnsi"/>
                <w:b/>
              </w:rPr>
            </w:pPr>
            <w:r w:rsidRPr="00EE159A">
              <w:rPr>
                <w:rFonts w:cstheme="minorHAnsi"/>
                <w:b/>
              </w:rPr>
              <w:t>30</w:t>
            </w:r>
          </w:p>
        </w:tc>
      </w:tr>
      <w:tr w:rsidR="00D85420" w:rsidRPr="00EE159A" w14:paraId="2AF10196" w14:textId="77777777" w:rsidTr="00614019">
        <w:trPr>
          <w:trHeight w:val="407"/>
        </w:trPr>
        <w:tc>
          <w:tcPr>
            <w:tcW w:w="7229" w:type="dxa"/>
            <w:gridSpan w:val="3"/>
            <w:vAlign w:val="center"/>
          </w:tcPr>
          <w:p w14:paraId="2A15E77C" w14:textId="77777777" w:rsidR="00D85420" w:rsidRPr="00EE159A" w:rsidRDefault="00D85420" w:rsidP="00E847CC">
            <w:pPr>
              <w:rPr>
                <w:rFonts w:cstheme="minorHAnsi"/>
                <w:b/>
              </w:rPr>
            </w:pPr>
            <w:r w:rsidRPr="00EE159A">
              <w:rPr>
                <w:rFonts w:cstheme="minorHAnsi"/>
                <w:b/>
              </w:rPr>
              <w:t>References*</w:t>
            </w:r>
          </w:p>
        </w:tc>
        <w:tc>
          <w:tcPr>
            <w:tcW w:w="1418" w:type="dxa"/>
            <w:vAlign w:val="center"/>
          </w:tcPr>
          <w:p w14:paraId="255E3A58" w14:textId="77777777" w:rsidR="00D85420" w:rsidRPr="00EE159A" w:rsidRDefault="00D85420" w:rsidP="00E847CC">
            <w:pPr>
              <w:jc w:val="center"/>
              <w:rPr>
                <w:rFonts w:cstheme="minorHAnsi"/>
                <w:b/>
              </w:rPr>
            </w:pPr>
            <w:r w:rsidRPr="00EE159A">
              <w:rPr>
                <w:rFonts w:cstheme="minorHAnsi"/>
                <w:b/>
              </w:rPr>
              <w:t>Pass/Fail</w:t>
            </w:r>
          </w:p>
        </w:tc>
      </w:tr>
      <w:tr w:rsidR="00D85420" w:rsidRPr="00EE159A" w14:paraId="27E3D7C0" w14:textId="77777777" w:rsidTr="00614019">
        <w:trPr>
          <w:trHeight w:val="388"/>
        </w:trPr>
        <w:tc>
          <w:tcPr>
            <w:tcW w:w="7229" w:type="dxa"/>
            <w:gridSpan w:val="3"/>
            <w:vAlign w:val="center"/>
          </w:tcPr>
          <w:p w14:paraId="7AD69322" w14:textId="77777777" w:rsidR="00D85420" w:rsidRPr="00EE159A" w:rsidRDefault="00D85420" w:rsidP="00E847CC">
            <w:pPr>
              <w:rPr>
                <w:rFonts w:cstheme="minorHAnsi"/>
                <w:b/>
              </w:rPr>
            </w:pPr>
            <w:r w:rsidRPr="00EE159A">
              <w:rPr>
                <w:rFonts w:cstheme="minorHAnsi"/>
                <w:b/>
              </w:rPr>
              <w:t>Total Score Available</w:t>
            </w:r>
          </w:p>
        </w:tc>
        <w:tc>
          <w:tcPr>
            <w:tcW w:w="1418" w:type="dxa"/>
            <w:vAlign w:val="center"/>
          </w:tcPr>
          <w:p w14:paraId="14D76FAC" w14:textId="77777777" w:rsidR="00D85420" w:rsidRPr="00EE159A" w:rsidRDefault="00D85420" w:rsidP="00E847CC">
            <w:pPr>
              <w:jc w:val="center"/>
              <w:rPr>
                <w:rFonts w:cstheme="minorHAnsi"/>
                <w:b/>
              </w:rPr>
            </w:pPr>
            <w:r w:rsidRPr="00EE159A">
              <w:rPr>
                <w:rFonts w:cstheme="minorHAnsi"/>
                <w:b/>
              </w:rPr>
              <w:t>100</w:t>
            </w:r>
          </w:p>
        </w:tc>
      </w:tr>
    </w:tbl>
    <w:p w14:paraId="716B023B" w14:textId="77777777" w:rsidR="006D3FD1" w:rsidRDefault="006D3FD1" w:rsidP="00006BE4">
      <w:pPr>
        <w:spacing w:before="60" w:after="0"/>
        <w:ind w:left="567"/>
      </w:pPr>
      <w:r>
        <w:t>*References will only be taken up for the preferred Tenderer. References will be subject to a Pass/Fail assessment and in the case of inadequate references being supplied, the Council will take up references for the next highest scoring Tenderer.</w:t>
      </w:r>
    </w:p>
    <w:p w14:paraId="3582ED13" w14:textId="77777777" w:rsidR="006D3FD1" w:rsidRPr="00EE159A" w:rsidRDefault="006D3FD1" w:rsidP="00EE159A">
      <w:pPr>
        <w:spacing w:after="0"/>
        <w:rPr>
          <w:rFonts w:cstheme="minorHAnsi"/>
          <w:color w:val="000000"/>
        </w:rPr>
      </w:pPr>
    </w:p>
    <w:p w14:paraId="2F0BE91F" w14:textId="7834F864" w:rsidR="00A2405E" w:rsidRPr="00A2405E" w:rsidRDefault="00770109" w:rsidP="00423E44">
      <w:pPr>
        <w:pStyle w:val="IntenseQuote"/>
      </w:pPr>
      <w:r w:rsidRPr="00770109">
        <w:lastRenderedPageBreak/>
        <w:t>Instructions</w:t>
      </w:r>
      <w:r w:rsidRPr="00E847CC">
        <w:t xml:space="preserve"> </w:t>
      </w:r>
      <w:r w:rsidRPr="00770109">
        <w:t>for</w:t>
      </w:r>
      <w:r w:rsidRPr="00E847CC">
        <w:t xml:space="preserve"> </w:t>
      </w:r>
      <w:r w:rsidRPr="00770109">
        <w:t>tendering</w:t>
      </w:r>
    </w:p>
    <w:p w14:paraId="7962B9CC" w14:textId="61C7BDD6" w:rsidR="00770109" w:rsidRPr="00770109" w:rsidRDefault="00770109" w:rsidP="009C32AF">
      <w:pPr>
        <w:pStyle w:val="ListParagraph"/>
      </w:pPr>
      <w:r w:rsidRPr="00770109">
        <w:t>In the first instance, please acknowledge receipt of the Tender Brief and Invitation to Tender (ITT) docu</w:t>
      </w:r>
      <w:r w:rsidRPr="00E553A1">
        <w:t xml:space="preserve">ments and confirm that you intend to submit a tender by </w:t>
      </w:r>
      <w:r w:rsidR="00A97937" w:rsidRPr="00E553A1">
        <w:rPr>
          <w:b/>
          <w:bCs/>
        </w:rPr>
        <w:t xml:space="preserve">15:00 hours on </w:t>
      </w:r>
      <w:r w:rsidR="0028130B">
        <w:rPr>
          <w:b/>
          <w:bCs/>
        </w:rPr>
        <w:t>12</w:t>
      </w:r>
      <w:r w:rsidR="0028130B" w:rsidRPr="0028130B">
        <w:rPr>
          <w:b/>
          <w:bCs/>
          <w:vertAlign w:val="superscript"/>
        </w:rPr>
        <w:t>th</w:t>
      </w:r>
      <w:r w:rsidR="0028130B">
        <w:rPr>
          <w:b/>
          <w:bCs/>
        </w:rPr>
        <w:t xml:space="preserve"> </w:t>
      </w:r>
      <w:r w:rsidR="00E553A1" w:rsidRPr="00E553A1">
        <w:rPr>
          <w:b/>
          <w:bCs/>
        </w:rPr>
        <w:t xml:space="preserve">June </w:t>
      </w:r>
      <w:r w:rsidR="00A97937" w:rsidRPr="00E553A1">
        <w:rPr>
          <w:b/>
          <w:bCs/>
        </w:rPr>
        <w:t>2018</w:t>
      </w:r>
      <w:r w:rsidRPr="00E553A1">
        <w:t xml:space="preserve"> </w:t>
      </w:r>
      <w:r w:rsidR="001D7382">
        <w:t xml:space="preserve">on The Chest or </w:t>
      </w:r>
      <w:r w:rsidRPr="00E553A1">
        <w:t>using</w:t>
      </w:r>
      <w:r w:rsidRPr="00770109">
        <w:t xml:space="preserve"> the ‘</w:t>
      </w:r>
      <w:r w:rsidRPr="00770109">
        <w:rPr>
          <w:b/>
          <w:bCs/>
        </w:rPr>
        <w:t>Form of Acknowledgement</w:t>
      </w:r>
      <w:r w:rsidRPr="00770109">
        <w:t xml:space="preserve">’ included at Appendix 1 in the ITT document. </w:t>
      </w:r>
    </w:p>
    <w:p w14:paraId="5B7EAF69" w14:textId="314048CE" w:rsidR="00770109" w:rsidRDefault="00770109" w:rsidP="009C32AF">
      <w:pPr>
        <w:pStyle w:val="ListParagraph"/>
      </w:pPr>
      <w:r w:rsidRPr="00770109">
        <w:t xml:space="preserve">Please note that this Tender Brief is a summary version of the process by which the tender should be completed and submitted; please refer to the ITT document for comprehensive instructions. </w:t>
      </w:r>
    </w:p>
    <w:p w14:paraId="4F5A3DDC" w14:textId="4C1E2CC4" w:rsidR="00614019" w:rsidRDefault="00614019" w:rsidP="009C32AF">
      <w:pPr>
        <w:pStyle w:val="ListParagraph"/>
      </w:pPr>
      <w:r>
        <w:t xml:space="preserve">Tender responses should be submitted electronically via The Chest </w:t>
      </w:r>
      <w:hyperlink r:id="rId14" w:history="1">
        <w:r w:rsidRPr="00123CF3">
          <w:rPr>
            <w:rStyle w:val="Hyperlink"/>
          </w:rPr>
          <w:t>https://www.the-chest.org.uk/</w:t>
        </w:r>
      </w:hyperlink>
      <w:r>
        <w:t xml:space="preserve"> (registration is free).</w:t>
      </w:r>
    </w:p>
    <w:p w14:paraId="20772791" w14:textId="3CD2D5E3" w:rsidR="00770109" w:rsidRPr="00770109" w:rsidRDefault="00770109" w:rsidP="009C32AF">
      <w:pPr>
        <w:pStyle w:val="ListParagraph"/>
      </w:pPr>
      <w:r w:rsidRPr="00770109">
        <w:t xml:space="preserve">The last date and time by which the Tender submission should be returned to the Council is: </w:t>
      </w:r>
      <w:r w:rsidR="00A97937" w:rsidRPr="00E553A1">
        <w:rPr>
          <w:b/>
          <w:bCs/>
        </w:rPr>
        <w:t xml:space="preserve">15:00 hours </w:t>
      </w:r>
      <w:r w:rsidR="00E553A1" w:rsidRPr="00E553A1">
        <w:rPr>
          <w:b/>
          <w:bCs/>
        </w:rPr>
        <w:t xml:space="preserve">on </w:t>
      </w:r>
      <w:r w:rsidR="0028130B">
        <w:rPr>
          <w:b/>
          <w:bCs/>
        </w:rPr>
        <w:t>15</w:t>
      </w:r>
      <w:r w:rsidR="0028130B" w:rsidRPr="0028130B">
        <w:rPr>
          <w:b/>
          <w:bCs/>
          <w:vertAlign w:val="superscript"/>
        </w:rPr>
        <w:t>th</w:t>
      </w:r>
      <w:r w:rsidR="0028130B">
        <w:rPr>
          <w:b/>
          <w:bCs/>
        </w:rPr>
        <w:t xml:space="preserve"> </w:t>
      </w:r>
      <w:r w:rsidR="00E553A1" w:rsidRPr="00E553A1">
        <w:rPr>
          <w:b/>
          <w:bCs/>
        </w:rPr>
        <w:t xml:space="preserve">June </w:t>
      </w:r>
      <w:r w:rsidR="00A97937" w:rsidRPr="00E553A1">
        <w:rPr>
          <w:b/>
          <w:bCs/>
        </w:rPr>
        <w:t>2018.</w:t>
      </w:r>
      <w:r w:rsidRPr="00770109">
        <w:rPr>
          <w:b/>
          <w:bCs/>
        </w:rPr>
        <w:t xml:space="preserve"> </w:t>
      </w:r>
    </w:p>
    <w:p w14:paraId="628BFB11" w14:textId="60CD726D" w:rsidR="00363BB9" w:rsidRPr="00E847CC" w:rsidRDefault="00363BB9" w:rsidP="00423E44">
      <w:pPr>
        <w:pStyle w:val="IntenseQuote"/>
      </w:pPr>
      <w:r w:rsidRPr="00363BB9">
        <w:t>Further</w:t>
      </w:r>
      <w:r w:rsidRPr="00E847CC">
        <w:t xml:space="preserve"> </w:t>
      </w:r>
      <w:r w:rsidRPr="00363BB9">
        <w:t>Information</w:t>
      </w:r>
    </w:p>
    <w:p w14:paraId="7EAA6F56" w14:textId="67F89B1C" w:rsidR="008441E8" w:rsidRDefault="008441E8" w:rsidP="009C32AF">
      <w:pPr>
        <w:pStyle w:val="ListParagraph"/>
      </w:pPr>
      <w:r>
        <w:t xml:space="preserve">Any </w:t>
      </w:r>
      <w:r w:rsidRPr="008441E8">
        <w:t>questions</w:t>
      </w:r>
      <w:r>
        <w:t xml:space="preserve"> </w:t>
      </w:r>
      <w:r w:rsidRPr="008441E8">
        <w:t>concerning</w:t>
      </w:r>
      <w:r>
        <w:t xml:space="preserve"> any aspect of this Tender Brief, ITT Document or the tender </w:t>
      </w:r>
      <w:r w:rsidRPr="008441E8">
        <w:t>process</w:t>
      </w:r>
      <w:r>
        <w:t xml:space="preserve"> should be directed in </w:t>
      </w:r>
      <w:r w:rsidRPr="008441E8">
        <w:t>writing</w:t>
      </w:r>
      <w:r>
        <w:t xml:space="preserve"> t</w:t>
      </w:r>
      <w:r w:rsidR="00BF0386">
        <w:t xml:space="preserve">o: </w:t>
      </w:r>
      <w:r w:rsidR="00614019">
        <w:t xml:space="preserve">Anthony </w:t>
      </w:r>
      <w:proofErr w:type="spellStart"/>
      <w:r w:rsidR="00614019">
        <w:t>Saulle</w:t>
      </w:r>
      <w:proofErr w:type="spellEnd"/>
      <w:r w:rsidR="00BF0386">
        <w:t xml:space="preserve">, </w:t>
      </w:r>
      <w:r w:rsidR="00614019">
        <w:t>Development Team Leader</w:t>
      </w:r>
      <w:r>
        <w:t xml:space="preserve"> </w:t>
      </w:r>
      <w:hyperlink r:id="rId15" w:history="1">
        <w:r w:rsidR="00614019" w:rsidRPr="00123CF3">
          <w:rPr>
            <w:rStyle w:val="Hyperlink"/>
          </w:rPr>
          <w:t>asaulle@burnley.gov.uk</w:t>
        </w:r>
      </w:hyperlink>
    </w:p>
    <w:sectPr w:rsidR="008441E8" w:rsidSect="00614019">
      <w:footerReference w:type="default" r:id="rId1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95172" w14:textId="77777777" w:rsidR="00E07C0C" w:rsidRDefault="00E07C0C" w:rsidP="008C200A">
      <w:pPr>
        <w:spacing w:after="0" w:line="240" w:lineRule="auto"/>
      </w:pPr>
      <w:r>
        <w:separator/>
      </w:r>
    </w:p>
  </w:endnote>
  <w:endnote w:type="continuationSeparator" w:id="0">
    <w:p w14:paraId="6D049EFA" w14:textId="77777777" w:rsidR="00E07C0C" w:rsidRDefault="00E07C0C" w:rsidP="008C2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928782"/>
      <w:docPartObj>
        <w:docPartGallery w:val="Page Numbers (Bottom of Page)"/>
        <w:docPartUnique/>
      </w:docPartObj>
    </w:sdtPr>
    <w:sdtEndPr>
      <w:rPr>
        <w:color w:val="808080" w:themeColor="background1" w:themeShade="80"/>
        <w:spacing w:val="60"/>
      </w:rPr>
    </w:sdtEndPr>
    <w:sdtContent>
      <w:p w14:paraId="5C4219D8" w14:textId="13F16438" w:rsidR="00947A02" w:rsidRDefault="00947A02">
        <w:pPr>
          <w:pStyle w:val="Footer"/>
          <w:pBdr>
            <w:top w:val="single" w:sz="4" w:space="1" w:color="D9D9D9" w:themeColor="background1" w:themeShade="D9"/>
          </w:pBdr>
          <w:jc w:val="right"/>
        </w:pPr>
        <w:r>
          <w:fldChar w:fldCharType="begin"/>
        </w:r>
        <w:r>
          <w:instrText xml:space="preserve"> PAGE   \* MERGEFORMAT </w:instrText>
        </w:r>
        <w:r>
          <w:fldChar w:fldCharType="separate"/>
        </w:r>
        <w:r w:rsidR="00265DE7">
          <w:rPr>
            <w:noProof/>
          </w:rPr>
          <w:t>6</w:t>
        </w:r>
        <w:r>
          <w:rPr>
            <w:noProof/>
          </w:rPr>
          <w:fldChar w:fldCharType="end"/>
        </w:r>
        <w:r>
          <w:t xml:space="preserve"> | </w:t>
        </w:r>
        <w:r>
          <w:rPr>
            <w:color w:val="808080" w:themeColor="background1" w:themeShade="80"/>
            <w:spacing w:val="60"/>
          </w:rPr>
          <w:t>Page</w:t>
        </w:r>
      </w:p>
    </w:sdtContent>
  </w:sdt>
  <w:p w14:paraId="6895B34B" w14:textId="77777777" w:rsidR="00947A02" w:rsidRDefault="00947A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2DEA1" w14:textId="77777777" w:rsidR="00E07C0C" w:rsidRDefault="00E07C0C" w:rsidP="008C200A">
      <w:pPr>
        <w:spacing w:after="0" w:line="240" w:lineRule="auto"/>
      </w:pPr>
      <w:r>
        <w:separator/>
      </w:r>
    </w:p>
  </w:footnote>
  <w:footnote w:type="continuationSeparator" w:id="0">
    <w:p w14:paraId="437DA41F" w14:textId="77777777" w:rsidR="00E07C0C" w:rsidRDefault="00E07C0C" w:rsidP="008C200A">
      <w:pPr>
        <w:spacing w:after="0" w:line="240" w:lineRule="auto"/>
      </w:pPr>
      <w:r>
        <w:continuationSeparator/>
      </w:r>
    </w:p>
  </w:footnote>
  <w:footnote w:id="1">
    <w:p w14:paraId="28EDBF64" w14:textId="19604F1B" w:rsidR="00947A02" w:rsidRPr="005D0355" w:rsidRDefault="00947A02">
      <w:pPr>
        <w:pStyle w:val="FootnoteText"/>
        <w:rPr>
          <w:rFonts w:eastAsia="Times New Roman" w:cstheme="minorHAnsi"/>
          <w:noProof/>
          <w:spacing w:val="-3"/>
          <w:sz w:val="22"/>
          <w:szCs w:val="22"/>
          <w:lang w:eastAsia="en-GB"/>
        </w:rPr>
      </w:pPr>
      <w:r>
        <w:rPr>
          <w:rStyle w:val="FootnoteReference"/>
        </w:rPr>
        <w:footnoteRef/>
      </w:r>
      <w:r>
        <w:t xml:space="preserve"> </w:t>
      </w:r>
      <w:r w:rsidRPr="005D0355">
        <w:rPr>
          <w:rFonts w:eastAsia="Times New Roman" w:cstheme="minorHAnsi"/>
          <w:noProof/>
          <w:spacing w:val="-3"/>
          <w:sz w:val="22"/>
          <w:szCs w:val="22"/>
          <w:lang w:eastAsia="en-GB"/>
        </w:rPr>
        <w:t xml:space="preserve">Once tenders and supporting information is submitted, the Council may wish to hold meetings, site visits and / or interviews with any or all of the Tenderers as it considers appropriate to clarify any aspect of the Tender.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6762A"/>
    <w:multiLevelType w:val="multilevel"/>
    <w:tmpl w:val="415E1F1A"/>
    <w:lvl w:ilvl="0">
      <w:start w:val="1"/>
      <w:numFmt w:val="decimal"/>
      <w:pStyle w:val="IntenseQuote"/>
      <w:lvlText w:val="%1."/>
      <w:lvlJc w:val="left"/>
      <w:pPr>
        <w:ind w:left="720" w:hanging="360"/>
      </w:pPr>
      <w:rPr>
        <w:rFonts w:asciiTheme="minorHAnsi" w:eastAsiaTheme="minorHAnsi" w:hAnsiTheme="minorHAnsi" w:cstheme="minorBidi" w:hint="default"/>
        <w:b/>
        <w:i w:val="0"/>
        <w:color w:val="244061" w:themeColor="accent1" w:themeShade="80"/>
        <w:sz w:val="28"/>
        <w:szCs w:val="28"/>
      </w:rPr>
    </w:lvl>
    <w:lvl w:ilvl="1">
      <w:start w:val="1"/>
      <w:numFmt w:val="decimal"/>
      <w:pStyle w:val="ListParagraph"/>
      <w:isLgl/>
      <w:lvlText w:val="%1.%2"/>
      <w:lvlJc w:val="left"/>
      <w:pPr>
        <w:ind w:left="360" w:hanging="360"/>
      </w:pPr>
      <w:rPr>
        <w:rFonts w:cstheme="minorHAnsi" w:hint="default"/>
        <w:b/>
        <w:color w:val="auto"/>
      </w:rPr>
    </w:lvl>
    <w:lvl w:ilvl="2">
      <w:start w:val="1"/>
      <w:numFmt w:val="decimal"/>
      <w:isLgl/>
      <w:lvlText w:val="%1.%2.%3"/>
      <w:lvlJc w:val="left"/>
      <w:pPr>
        <w:ind w:left="1080" w:hanging="720"/>
      </w:pPr>
      <w:rPr>
        <w:rFonts w:cstheme="minorHAnsi" w:hint="default"/>
      </w:rPr>
    </w:lvl>
    <w:lvl w:ilvl="3">
      <w:start w:val="1"/>
      <w:numFmt w:val="decimal"/>
      <w:isLgl/>
      <w:lvlText w:val="%1.%2.%3.%4"/>
      <w:lvlJc w:val="left"/>
      <w:pPr>
        <w:ind w:left="1080" w:hanging="720"/>
      </w:pPr>
      <w:rPr>
        <w:rFonts w:cstheme="minorHAnsi" w:hint="default"/>
      </w:rPr>
    </w:lvl>
    <w:lvl w:ilvl="4">
      <w:start w:val="1"/>
      <w:numFmt w:val="decimal"/>
      <w:isLgl/>
      <w:lvlText w:val="%1.%2.%3.%4.%5"/>
      <w:lvlJc w:val="left"/>
      <w:pPr>
        <w:ind w:left="1440" w:hanging="1080"/>
      </w:pPr>
      <w:rPr>
        <w:rFonts w:cstheme="minorHAnsi" w:hint="default"/>
      </w:rPr>
    </w:lvl>
    <w:lvl w:ilvl="5">
      <w:start w:val="1"/>
      <w:numFmt w:val="decimal"/>
      <w:isLgl/>
      <w:lvlText w:val="%1.%2.%3.%4.%5.%6"/>
      <w:lvlJc w:val="left"/>
      <w:pPr>
        <w:ind w:left="1440" w:hanging="1080"/>
      </w:pPr>
      <w:rPr>
        <w:rFonts w:cstheme="minorHAnsi" w:hint="default"/>
      </w:rPr>
    </w:lvl>
    <w:lvl w:ilvl="6">
      <w:start w:val="1"/>
      <w:numFmt w:val="decimal"/>
      <w:isLgl/>
      <w:lvlText w:val="%1.%2.%3.%4.%5.%6.%7"/>
      <w:lvlJc w:val="left"/>
      <w:pPr>
        <w:ind w:left="1800" w:hanging="1440"/>
      </w:pPr>
      <w:rPr>
        <w:rFonts w:cstheme="minorHAnsi" w:hint="default"/>
      </w:rPr>
    </w:lvl>
    <w:lvl w:ilvl="7">
      <w:start w:val="1"/>
      <w:numFmt w:val="decimal"/>
      <w:isLgl/>
      <w:lvlText w:val="%1.%2.%3.%4.%5.%6.%7.%8"/>
      <w:lvlJc w:val="left"/>
      <w:pPr>
        <w:ind w:left="1800" w:hanging="1440"/>
      </w:pPr>
      <w:rPr>
        <w:rFonts w:cstheme="minorHAnsi" w:hint="default"/>
      </w:rPr>
    </w:lvl>
    <w:lvl w:ilvl="8">
      <w:start w:val="1"/>
      <w:numFmt w:val="decimal"/>
      <w:isLgl/>
      <w:lvlText w:val="%1.%2.%3.%4.%5.%6.%7.%8.%9"/>
      <w:lvlJc w:val="left"/>
      <w:pPr>
        <w:ind w:left="1800" w:hanging="1440"/>
      </w:pPr>
      <w:rPr>
        <w:rFonts w:cstheme="minorHAnsi" w:hint="default"/>
      </w:rPr>
    </w:lvl>
  </w:abstractNum>
  <w:abstractNum w:abstractNumId="1">
    <w:nsid w:val="1FFD76F9"/>
    <w:multiLevelType w:val="hybridMultilevel"/>
    <w:tmpl w:val="352C69E8"/>
    <w:lvl w:ilvl="0" w:tplc="1E92328A">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
    <w:nsid w:val="3F1E20A7"/>
    <w:multiLevelType w:val="hybridMultilevel"/>
    <w:tmpl w:val="697E9E76"/>
    <w:lvl w:ilvl="0" w:tplc="CC903BD4">
      <w:start w:val="1"/>
      <w:numFmt w:val="decimal"/>
      <w:lvlText w:val="%1."/>
      <w:lvlJc w:val="left"/>
      <w:pPr>
        <w:ind w:left="720" w:hanging="360"/>
      </w:pPr>
    </w:lvl>
    <w:lvl w:ilvl="1" w:tplc="0809001B">
      <w:start w:val="1"/>
      <w:numFmt w:val="lowerRoman"/>
      <w:lvlText w:val="%2."/>
      <w:lvlJc w:val="right"/>
      <w:pPr>
        <w:ind w:left="1440" w:hanging="360"/>
      </w:pPr>
    </w:lvl>
    <w:lvl w:ilvl="2" w:tplc="08090019">
      <w:start w:val="1"/>
      <w:numFmt w:val="lowerLetter"/>
      <w:lvlText w:val="%3."/>
      <w:lvlJc w:val="left"/>
      <w:pPr>
        <w:ind w:left="2160" w:hanging="180"/>
      </w:pPr>
    </w:lvl>
    <w:lvl w:ilvl="3" w:tplc="0809001B">
      <w:start w:val="1"/>
      <w:numFmt w:val="lowerRoman"/>
      <w:lvlText w:val="%4."/>
      <w:lvlJc w:val="right"/>
      <w:pPr>
        <w:ind w:left="2880" w:hanging="360"/>
      </w:pPr>
      <w:rPr>
        <w:rFonts w:hint="default"/>
        <w:b w:val="0"/>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29E3282"/>
    <w:multiLevelType w:val="hybridMultilevel"/>
    <w:tmpl w:val="C1DED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3023D6"/>
    <w:multiLevelType w:val="hybridMultilevel"/>
    <w:tmpl w:val="B344E7CE"/>
    <w:lvl w:ilvl="0" w:tplc="B77A4C32">
      <w:start w:val="12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0"/>
  </w:num>
  <w:num w:numId="6">
    <w:abstractNumId w:val="0"/>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0ED"/>
    <w:rsid w:val="00006BE4"/>
    <w:rsid w:val="00007879"/>
    <w:rsid w:val="000441B3"/>
    <w:rsid w:val="00054741"/>
    <w:rsid w:val="000570FE"/>
    <w:rsid w:val="00062F83"/>
    <w:rsid w:val="000656EF"/>
    <w:rsid w:val="0008664C"/>
    <w:rsid w:val="00093E68"/>
    <w:rsid w:val="000A2D0F"/>
    <w:rsid w:val="000A55C1"/>
    <w:rsid w:val="001040F8"/>
    <w:rsid w:val="00104720"/>
    <w:rsid w:val="0010614B"/>
    <w:rsid w:val="001100ED"/>
    <w:rsid w:val="001136EC"/>
    <w:rsid w:val="00146EDB"/>
    <w:rsid w:val="00165943"/>
    <w:rsid w:val="001711A8"/>
    <w:rsid w:val="001774E8"/>
    <w:rsid w:val="0018799E"/>
    <w:rsid w:val="001B0C42"/>
    <w:rsid w:val="001D7382"/>
    <w:rsid w:val="001E1341"/>
    <w:rsid w:val="002060BD"/>
    <w:rsid w:val="00227637"/>
    <w:rsid w:val="002322B3"/>
    <w:rsid w:val="00234141"/>
    <w:rsid w:val="00265DE7"/>
    <w:rsid w:val="002811BB"/>
    <w:rsid w:val="0028130B"/>
    <w:rsid w:val="00286B5F"/>
    <w:rsid w:val="00294F57"/>
    <w:rsid w:val="002F565D"/>
    <w:rsid w:val="002F7202"/>
    <w:rsid w:val="003132A4"/>
    <w:rsid w:val="00325CD9"/>
    <w:rsid w:val="003305CA"/>
    <w:rsid w:val="00332F0D"/>
    <w:rsid w:val="003373CC"/>
    <w:rsid w:val="00337B98"/>
    <w:rsid w:val="00353EF5"/>
    <w:rsid w:val="00363BB9"/>
    <w:rsid w:val="00382BD8"/>
    <w:rsid w:val="003A50DB"/>
    <w:rsid w:val="003B3426"/>
    <w:rsid w:val="003E48DD"/>
    <w:rsid w:val="00411AAD"/>
    <w:rsid w:val="00423E44"/>
    <w:rsid w:val="00425E94"/>
    <w:rsid w:val="0044064E"/>
    <w:rsid w:val="004432C9"/>
    <w:rsid w:val="004C0FE9"/>
    <w:rsid w:val="004C3E65"/>
    <w:rsid w:val="004C4EC8"/>
    <w:rsid w:val="0056183E"/>
    <w:rsid w:val="005632B1"/>
    <w:rsid w:val="005B51E3"/>
    <w:rsid w:val="005C1C8E"/>
    <w:rsid w:val="005D0355"/>
    <w:rsid w:val="005F5463"/>
    <w:rsid w:val="00602BCF"/>
    <w:rsid w:val="00614019"/>
    <w:rsid w:val="00616A3E"/>
    <w:rsid w:val="00617632"/>
    <w:rsid w:val="006B1419"/>
    <w:rsid w:val="006D3FD1"/>
    <w:rsid w:val="006F589B"/>
    <w:rsid w:val="00770109"/>
    <w:rsid w:val="00784F94"/>
    <w:rsid w:val="007B6395"/>
    <w:rsid w:val="007E66EC"/>
    <w:rsid w:val="007F1D19"/>
    <w:rsid w:val="008004FF"/>
    <w:rsid w:val="008208BC"/>
    <w:rsid w:val="0082296C"/>
    <w:rsid w:val="00835839"/>
    <w:rsid w:val="008441E8"/>
    <w:rsid w:val="008513CE"/>
    <w:rsid w:val="00860DCD"/>
    <w:rsid w:val="00897FBD"/>
    <w:rsid w:val="008A0BE9"/>
    <w:rsid w:val="008A4607"/>
    <w:rsid w:val="008A714B"/>
    <w:rsid w:val="008C200A"/>
    <w:rsid w:val="008C2943"/>
    <w:rsid w:val="008D0914"/>
    <w:rsid w:val="008E3593"/>
    <w:rsid w:val="008F5E6E"/>
    <w:rsid w:val="0091080B"/>
    <w:rsid w:val="009124E7"/>
    <w:rsid w:val="00947A02"/>
    <w:rsid w:val="009602D1"/>
    <w:rsid w:val="00972CC5"/>
    <w:rsid w:val="00982D1A"/>
    <w:rsid w:val="00997720"/>
    <w:rsid w:val="009C32AF"/>
    <w:rsid w:val="009D0F90"/>
    <w:rsid w:val="009D264B"/>
    <w:rsid w:val="009D2F36"/>
    <w:rsid w:val="009E57D5"/>
    <w:rsid w:val="009F4900"/>
    <w:rsid w:val="00A1651A"/>
    <w:rsid w:val="00A2405E"/>
    <w:rsid w:val="00A42E77"/>
    <w:rsid w:val="00A81890"/>
    <w:rsid w:val="00A97937"/>
    <w:rsid w:val="00AB12BD"/>
    <w:rsid w:val="00AD375F"/>
    <w:rsid w:val="00AE24A6"/>
    <w:rsid w:val="00AE68F7"/>
    <w:rsid w:val="00AF5216"/>
    <w:rsid w:val="00B1791E"/>
    <w:rsid w:val="00B2618F"/>
    <w:rsid w:val="00B62A29"/>
    <w:rsid w:val="00B640A0"/>
    <w:rsid w:val="00BD7456"/>
    <w:rsid w:val="00BE301F"/>
    <w:rsid w:val="00BF0386"/>
    <w:rsid w:val="00BF707B"/>
    <w:rsid w:val="00C06203"/>
    <w:rsid w:val="00C1059F"/>
    <w:rsid w:val="00C33A2C"/>
    <w:rsid w:val="00C444A4"/>
    <w:rsid w:val="00C4768A"/>
    <w:rsid w:val="00C659AA"/>
    <w:rsid w:val="00CA4D6C"/>
    <w:rsid w:val="00CB4A31"/>
    <w:rsid w:val="00CB6865"/>
    <w:rsid w:val="00CE63CF"/>
    <w:rsid w:val="00D45EE0"/>
    <w:rsid w:val="00D50A85"/>
    <w:rsid w:val="00D60978"/>
    <w:rsid w:val="00D66F62"/>
    <w:rsid w:val="00D85420"/>
    <w:rsid w:val="00DA1A53"/>
    <w:rsid w:val="00DC638C"/>
    <w:rsid w:val="00DE14E0"/>
    <w:rsid w:val="00E022FC"/>
    <w:rsid w:val="00E07C0C"/>
    <w:rsid w:val="00E553A1"/>
    <w:rsid w:val="00E847CC"/>
    <w:rsid w:val="00EA326F"/>
    <w:rsid w:val="00EB4AF5"/>
    <w:rsid w:val="00EE159A"/>
    <w:rsid w:val="00F26885"/>
    <w:rsid w:val="00F558D0"/>
    <w:rsid w:val="00F64DC1"/>
    <w:rsid w:val="00F776FD"/>
    <w:rsid w:val="00F848AE"/>
    <w:rsid w:val="00FB5F44"/>
    <w:rsid w:val="00FE4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3DC1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aliases w:val="GVA Heading"/>
    <w:basedOn w:val="Normal"/>
    <w:next w:val="Normal"/>
    <w:link w:val="Heading1Char"/>
    <w:qFormat/>
    <w:rsid w:val="001100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00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0ED"/>
    <w:rPr>
      <w:rFonts w:ascii="Tahoma" w:hAnsi="Tahoma" w:cs="Tahoma"/>
      <w:sz w:val="16"/>
      <w:szCs w:val="16"/>
    </w:rPr>
  </w:style>
  <w:style w:type="paragraph" w:styleId="ListParagraph">
    <w:name w:val="List Paragraph"/>
    <w:basedOn w:val="Normal"/>
    <w:uiPriority w:val="34"/>
    <w:qFormat/>
    <w:rsid w:val="009C32AF"/>
    <w:pPr>
      <w:numPr>
        <w:ilvl w:val="1"/>
        <w:numId w:val="1"/>
      </w:numPr>
      <w:spacing w:after="120"/>
      <w:ind w:left="567" w:hanging="567"/>
    </w:pPr>
    <w:rPr>
      <w:rFonts w:cstheme="minorHAnsi"/>
      <w:color w:val="000000"/>
    </w:rPr>
  </w:style>
  <w:style w:type="character" w:customStyle="1" w:styleId="Heading1Char">
    <w:name w:val="Heading 1 Char"/>
    <w:aliases w:val="GVA Heading Char"/>
    <w:basedOn w:val="DefaultParagraphFont"/>
    <w:link w:val="Heading1"/>
    <w:uiPriority w:val="9"/>
    <w:rsid w:val="001100ED"/>
    <w:rPr>
      <w:rFonts w:asciiTheme="majorHAnsi" w:eastAsiaTheme="majorEastAsia" w:hAnsiTheme="majorHAnsi" w:cstheme="majorBidi"/>
      <w:b/>
      <w:bCs/>
      <w:color w:val="365F91" w:themeColor="accent1" w:themeShade="BF"/>
      <w:sz w:val="28"/>
      <w:szCs w:val="28"/>
    </w:rPr>
  </w:style>
  <w:style w:type="paragraph" w:styleId="IntenseQuote">
    <w:name w:val="Intense Quote"/>
    <w:basedOn w:val="Normal"/>
    <w:next w:val="Normal"/>
    <w:link w:val="IntenseQuoteChar"/>
    <w:uiPriority w:val="30"/>
    <w:qFormat/>
    <w:rsid w:val="00423E44"/>
    <w:pPr>
      <w:numPr>
        <w:numId w:val="1"/>
      </w:numPr>
      <w:pBdr>
        <w:bottom w:val="single" w:sz="4" w:space="4" w:color="4F81BD" w:themeColor="accent1"/>
      </w:pBdr>
      <w:spacing w:before="480" w:after="280"/>
      <w:ind w:left="567" w:right="6" w:hanging="567"/>
    </w:pPr>
    <w:rPr>
      <w:b/>
      <w:bCs/>
      <w:iCs/>
      <w:color w:val="244061" w:themeColor="accent1" w:themeShade="80"/>
      <w:sz w:val="28"/>
      <w:szCs w:val="28"/>
    </w:rPr>
  </w:style>
  <w:style w:type="character" w:customStyle="1" w:styleId="IntenseQuoteChar">
    <w:name w:val="Intense Quote Char"/>
    <w:basedOn w:val="DefaultParagraphFont"/>
    <w:link w:val="IntenseQuote"/>
    <w:uiPriority w:val="30"/>
    <w:rsid w:val="00423E44"/>
    <w:rPr>
      <w:b/>
      <w:bCs/>
      <w:iCs/>
      <w:color w:val="244061" w:themeColor="accent1" w:themeShade="80"/>
      <w:sz w:val="28"/>
      <w:szCs w:val="28"/>
      <w:lang w:val="en-GB"/>
    </w:rPr>
  </w:style>
  <w:style w:type="paragraph" w:styleId="Header">
    <w:name w:val="header"/>
    <w:basedOn w:val="Normal"/>
    <w:link w:val="HeaderChar"/>
    <w:uiPriority w:val="99"/>
    <w:unhideWhenUsed/>
    <w:rsid w:val="008C20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00A"/>
  </w:style>
  <w:style w:type="paragraph" w:styleId="Footer">
    <w:name w:val="footer"/>
    <w:basedOn w:val="Normal"/>
    <w:link w:val="FooterChar"/>
    <w:uiPriority w:val="99"/>
    <w:unhideWhenUsed/>
    <w:rsid w:val="008C2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00A"/>
  </w:style>
  <w:style w:type="table" w:styleId="TableGrid">
    <w:name w:val="Table Grid"/>
    <w:basedOn w:val="TableNormal"/>
    <w:uiPriority w:val="59"/>
    <w:rsid w:val="00382B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37B9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63BB9"/>
    <w:rPr>
      <w:color w:val="0000FF" w:themeColor="hyperlink"/>
      <w:u w:val="single"/>
    </w:rPr>
  </w:style>
  <w:style w:type="table" w:customStyle="1" w:styleId="TableGrid9">
    <w:name w:val="Table Grid9"/>
    <w:basedOn w:val="TableNormal"/>
    <w:next w:val="TableGrid"/>
    <w:uiPriority w:val="59"/>
    <w:rsid w:val="00EE1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E159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numbered">
    <w:name w:val="Normal numbered"/>
    <w:basedOn w:val="Heading1"/>
    <w:link w:val="NormalnumberedChar"/>
    <w:qFormat/>
    <w:rsid w:val="006D3FD1"/>
    <w:pPr>
      <w:keepNext w:val="0"/>
      <w:keepLines w:val="0"/>
      <w:spacing w:before="120" w:after="120" w:line="312" w:lineRule="auto"/>
      <w:ind w:left="792" w:hanging="792"/>
    </w:pPr>
    <w:rPr>
      <w:rFonts w:ascii="Arial" w:eastAsia="Calibri" w:hAnsi="Arial" w:cs="Arial"/>
      <w:b w:val="0"/>
      <w:noProof/>
      <w:color w:val="auto"/>
      <w:spacing w:val="-3"/>
      <w:kern w:val="32"/>
      <w:sz w:val="22"/>
      <w:szCs w:val="22"/>
    </w:rPr>
  </w:style>
  <w:style w:type="character" w:customStyle="1" w:styleId="NormalnumberedChar">
    <w:name w:val="Normal numbered Char"/>
    <w:basedOn w:val="DefaultParagraphFont"/>
    <w:link w:val="Normalnumbered"/>
    <w:rsid w:val="006D3FD1"/>
    <w:rPr>
      <w:rFonts w:ascii="Arial" w:eastAsia="Calibri" w:hAnsi="Arial" w:cs="Arial"/>
      <w:bCs/>
      <w:noProof/>
      <w:spacing w:val="-3"/>
      <w:kern w:val="32"/>
      <w:lang w:val="en-GB"/>
    </w:rPr>
  </w:style>
  <w:style w:type="paragraph" w:styleId="FootnoteText">
    <w:name w:val="footnote text"/>
    <w:basedOn w:val="Normal"/>
    <w:link w:val="FootnoteTextChar"/>
    <w:uiPriority w:val="99"/>
    <w:semiHidden/>
    <w:unhideWhenUsed/>
    <w:rsid w:val="005D03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0355"/>
    <w:rPr>
      <w:sz w:val="20"/>
      <w:szCs w:val="20"/>
      <w:lang w:val="en-GB"/>
    </w:rPr>
  </w:style>
  <w:style w:type="character" w:styleId="FootnoteReference">
    <w:name w:val="footnote reference"/>
    <w:basedOn w:val="DefaultParagraphFont"/>
    <w:uiPriority w:val="99"/>
    <w:semiHidden/>
    <w:unhideWhenUsed/>
    <w:rsid w:val="005D0355"/>
    <w:rPr>
      <w:vertAlign w:val="superscript"/>
    </w:rPr>
  </w:style>
  <w:style w:type="character" w:customStyle="1" w:styleId="UnresolvedMention">
    <w:name w:val="Unresolved Mention"/>
    <w:basedOn w:val="DefaultParagraphFont"/>
    <w:uiPriority w:val="99"/>
    <w:semiHidden/>
    <w:unhideWhenUsed/>
    <w:rsid w:val="002811B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aliases w:val="GVA Heading"/>
    <w:basedOn w:val="Normal"/>
    <w:next w:val="Normal"/>
    <w:link w:val="Heading1Char"/>
    <w:qFormat/>
    <w:rsid w:val="001100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00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0ED"/>
    <w:rPr>
      <w:rFonts w:ascii="Tahoma" w:hAnsi="Tahoma" w:cs="Tahoma"/>
      <w:sz w:val="16"/>
      <w:szCs w:val="16"/>
    </w:rPr>
  </w:style>
  <w:style w:type="paragraph" w:styleId="ListParagraph">
    <w:name w:val="List Paragraph"/>
    <w:basedOn w:val="Normal"/>
    <w:uiPriority w:val="34"/>
    <w:qFormat/>
    <w:rsid w:val="009C32AF"/>
    <w:pPr>
      <w:numPr>
        <w:ilvl w:val="1"/>
        <w:numId w:val="1"/>
      </w:numPr>
      <w:spacing w:after="120"/>
      <w:ind w:left="567" w:hanging="567"/>
    </w:pPr>
    <w:rPr>
      <w:rFonts w:cstheme="minorHAnsi"/>
      <w:color w:val="000000"/>
    </w:rPr>
  </w:style>
  <w:style w:type="character" w:customStyle="1" w:styleId="Heading1Char">
    <w:name w:val="Heading 1 Char"/>
    <w:aliases w:val="GVA Heading Char"/>
    <w:basedOn w:val="DefaultParagraphFont"/>
    <w:link w:val="Heading1"/>
    <w:uiPriority w:val="9"/>
    <w:rsid w:val="001100ED"/>
    <w:rPr>
      <w:rFonts w:asciiTheme="majorHAnsi" w:eastAsiaTheme="majorEastAsia" w:hAnsiTheme="majorHAnsi" w:cstheme="majorBidi"/>
      <w:b/>
      <w:bCs/>
      <w:color w:val="365F91" w:themeColor="accent1" w:themeShade="BF"/>
      <w:sz w:val="28"/>
      <w:szCs w:val="28"/>
    </w:rPr>
  </w:style>
  <w:style w:type="paragraph" w:styleId="IntenseQuote">
    <w:name w:val="Intense Quote"/>
    <w:basedOn w:val="Normal"/>
    <w:next w:val="Normal"/>
    <w:link w:val="IntenseQuoteChar"/>
    <w:uiPriority w:val="30"/>
    <w:qFormat/>
    <w:rsid w:val="00423E44"/>
    <w:pPr>
      <w:numPr>
        <w:numId w:val="1"/>
      </w:numPr>
      <w:pBdr>
        <w:bottom w:val="single" w:sz="4" w:space="4" w:color="4F81BD" w:themeColor="accent1"/>
      </w:pBdr>
      <w:spacing w:before="480" w:after="280"/>
      <w:ind w:left="567" w:right="6" w:hanging="567"/>
    </w:pPr>
    <w:rPr>
      <w:b/>
      <w:bCs/>
      <w:iCs/>
      <w:color w:val="244061" w:themeColor="accent1" w:themeShade="80"/>
      <w:sz w:val="28"/>
      <w:szCs w:val="28"/>
    </w:rPr>
  </w:style>
  <w:style w:type="character" w:customStyle="1" w:styleId="IntenseQuoteChar">
    <w:name w:val="Intense Quote Char"/>
    <w:basedOn w:val="DefaultParagraphFont"/>
    <w:link w:val="IntenseQuote"/>
    <w:uiPriority w:val="30"/>
    <w:rsid w:val="00423E44"/>
    <w:rPr>
      <w:b/>
      <w:bCs/>
      <w:iCs/>
      <w:color w:val="244061" w:themeColor="accent1" w:themeShade="80"/>
      <w:sz w:val="28"/>
      <w:szCs w:val="28"/>
      <w:lang w:val="en-GB"/>
    </w:rPr>
  </w:style>
  <w:style w:type="paragraph" w:styleId="Header">
    <w:name w:val="header"/>
    <w:basedOn w:val="Normal"/>
    <w:link w:val="HeaderChar"/>
    <w:uiPriority w:val="99"/>
    <w:unhideWhenUsed/>
    <w:rsid w:val="008C20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00A"/>
  </w:style>
  <w:style w:type="paragraph" w:styleId="Footer">
    <w:name w:val="footer"/>
    <w:basedOn w:val="Normal"/>
    <w:link w:val="FooterChar"/>
    <w:uiPriority w:val="99"/>
    <w:unhideWhenUsed/>
    <w:rsid w:val="008C2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00A"/>
  </w:style>
  <w:style w:type="table" w:styleId="TableGrid">
    <w:name w:val="Table Grid"/>
    <w:basedOn w:val="TableNormal"/>
    <w:uiPriority w:val="59"/>
    <w:rsid w:val="00382B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37B9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63BB9"/>
    <w:rPr>
      <w:color w:val="0000FF" w:themeColor="hyperlink"/>
      <w:u w:val="single"/>
    </w:rPr>
  </w:style>
  <w:style w:type="table" w:customStyle="1" w:styleId="TableGrid9">
    <w:name w:val="Table Grid9"/>
    <w:basedOn w:val="TableNormal"/>
    <w:next w:val="TableGrid"/>
    <w:uiPriority w:val="59"/>
    <w:rsid w:val="00EE1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E159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numbered">
    <w:name w:val="Normal numbered"/>
    <w:basedOn w:val="Heading1"/>
    <w:link w:val="NormalnumberedChar"/>
    <w:qFormat/>
    <w:rsid w:val="006D3FD1"/>
    <w:pPr>
      <w:keepNext w:val="0"/>
      <w:keepLines w:val="0"/>
      <w:spacing w:before="120" w:after="120" w:line="312" w:lineRule="auto"/>
      <w:ind w:left="792" w:hanging="792"/>
    </w:pPr>
    <w:rPr>
      <w:rFonts w:ascii="Arial" w:eastAsia="Calibri" w:hAnsi="Arial" w:cs="Arial"/>
      <w:b w:val="0"/>
      <w:noProof/>
      <w:color w:val="auto"/>
      <w:spacing w:val="-3"/>
      <w:kern w:val="32"/>
      <w:sz w:val="22"/>
      <w:szCs w:val="22"/>
    </w:rPr>
  </w:style>
  <w:style w:type="character" w:customStyle="1" w:styleId="NormalnumberedChar">
    <w:name w:val="Normal numbered Char"/>
    <w:basedOn w:val="DefaultParagraphFont"/>
    <w:link w:val="Normalnumbered"/>
    <w:rsid w:val="006D3FD1"/>
    <w:rPr>
      <w:rFonts w:ascii="Arial" w:eastAsia="Calibri" w:hAnsi="Arial" w:cs="Arial"/>
      <w:bCs/>
      <w:noProof/>
      <w:spacing w:val="-3"/>
      <w:kern w:val="32"/>
      <w:lang w:val="en-GB"/>
    </w:rPr>
  </w:style>
  <w:style w:type="paragraph" w:styleId="FootnoteText">
    <w:name w:val="footnote text"/>
    <w:basedOn w:val="Normal"/>
    <w:link w:val="FootnoteTextChar"/>
    <w:uiPriority w:val="99"/>
    <w:semiHidden/>
    <w:unhideWhenUsed/>
    <w:rsid w:val="005D03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0355"/>
    <w:rPr>
      <w:sz w:val="20"/>
      <w:szCs w:val="20"/>
      <w:lang w:val="en-GB"/>
    </w:rPr>
  </w:style>
  <w:style w:type="character" w:styleId="FootnoteReference">
    <w:name w:val="footnote reference"/>
    <w:basedOn w:val="DefaultParagraphFont"/>
    <w:uiPriority w:val="99"/>
    <w:semiHidden/>
    <w:unhideWhenUsed/>
    <w:rsid w:val="005D0355"/>
    <w:rPr>
      <w:vertAlign w:val="superscript"/>
    </w:rPr>
  </w:style>
  <w:style w:type="character" w:customStyle="1" w:styleId="UnresolvedMention">
    <w:name w:val="Unresolved Mention"/>
    <w:basedOn w:val="DefaultParagraphFont"/>
    <w:uiPriority w:val="99"/>
    <w:semiHidden/>
    <w:unhideWhenUsed/>
    <w:rsid w:val="002811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75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saulle@burnley.gov.uk"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the-che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74479090383EB428DC3C97A342586FA" ma:contentTypeVersion="0" ma:contentTypeDescription="Create a new document." ma:contentTypeScope="" ma:versionID="dbef17b25031c96a53b65587d06a8450">
  <xsd:schema xmlns:xsd="http://www.w3.org/2001/XMLSchema" xmlns:xs="http://www.w3.org/2001/XMLSchema" xmlns:p="http://schemas.microsoft.com/office/2006/metadata/properties" xmlns:ns2="df6a8514-03da-4d2b-89a2-9651e9ef3e95" targetNamespace="http://schemas.microsoft.com/office/2006/metadata/properties" ma:root="true" ma:fieldsID="27ef87d218f0bc281303105628cc6eb1" ns2:_="">
    <xsd:import namespace="df6a8514-03da-4d2b-89a2-9651e9ef3e9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a8514-03da-4d2b-89a2-9651e9ef3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f6a8514-03da-4d2b-89a2-9651e9ef3e95">TVA5FK4ZVZMZ-1109-654</_dlc_DocId>
    <_dlc_DocIdUrl xmlns="df6a8514-03da-4d2b-89a2-9651e9ef3e95">
      <Url>http://sharepoint/CEO/regenandplanning/Developmentteam/_layouts/DocIdRedir.aspx?ID=TVA5FK4ZVZMZ-1109-654</Url>
      <Description>TVA5FK4ZVZMZ-1109-654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F0167-0E86-430D-B3CD-8778EAD7979F}">
  <ds:schemaRefs>
    <ds:schemaRef ds:uri="http://schemas.microsoft.com/sharepoint/v3/contenttype/forms"/>
  </ds:schemaRefs>
</ds:datastoreItem>
</file>

<file path=customXml/itemProps2.xml><?xml version="1.0" encoding="utf-8"?>
<ds:datastoreItem xmlns:ds="http://schemas.openxmlformats.org/officeDocument/2006/customXml" ds:itemID="{098B62F9-3A25-4A36-97AF-308069DFF7F2}">
  <ds:schemaRefs>
    <ds:schemaRef ds:uri="http://schemas.microsoft.com/sharepoint/events"/>
  </ds:schemaRefs>
</ds:datastoreItem>
</file>

<file path=customXml/itemProps3.xml><?xml version="1.0" encoding="utf-8"?>
<ds:datastoreItem xmlns:ds="http://schemas.openxmlformats.org/officeDocument/2006/customXml" ds:itemID="{FF5CF0A7-F2A5-4226-8C6D-D48724B16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a8514-03da-4d2b-89a2-9651e9ef3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391F4B-382D-4288-A31B-AB9B962D41E3}">
  <ds:schemaRefs>
    <ds:schemaRef ds:uri="http://schemas.microsoft.com/office/2006/metadata/properties"/>
    <ds:schemaRef ds:uri="http://schemas.microsoft.com/office/infopath/2007/PartnerControls"/>
    <ds:schemaRef ds:uri="df6a8514-03da-4d2b-89a2-9651e9ef3e95"/>
  </ds:schemaRefs>
</ds:datastoreItem>
</file>

<file path=customXml/itemProps5.xml><?xml version="1.0" encoding="utf-8"?>
<ds:datastoreItem xmlns:ds="http://schemas.openxmlformats.org/officeDocument/2006/customXml" ds:itemID="{BB24C6F9-D215-4722-9E2E-30F437018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2004</Words>
  <Characters>11424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Burnley Borough Council</Company>
  <LinksUpToDate>false</LinksUpToDate>
  <CharactersWithSpaces>13402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Pickering</dc:creator>
  <cp:lastModifiedBy>Chris Gay</cp:lastModifiedBy>
  <cp:revision>5</cp:revision>
  <cp:lastPrinted>2018-03-26T09:33:00Z</cp:lastPrinted>
  <dcterms:created xsi:type="dcterms:W3CDTF">2018-05-21T10:49:00Z</dcterms:created>
  <dcterms:modified xsi:type="dcterms:W3CDTF">2018-05-22T14:19:00Z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0x010100D74479090383EB428DC3C97A342586FA</vt:lpwstr>
  </property>
  <property fmtid="{D5CDD505-2E9C-101B-9397-08002B2CF9AE}" pid="3" name="Development_x0020_Keywords">
    <vt:lpwstr/>
  </property>
  <property fmtid="{D5CDD505-2E9C-101B-9397-08002B2CF9AE}" pid="4" name="TaxCatchAll">
    <vt:lpwstr>601;#Curzon Street|0cb718eb-eddd-4881-91e4-fa7637bceff1;#587;#Procurement|34ac1f82-55d6-43f5-9e0a-90de37af8ba1</vt:lpwstr>
  </property>
  <property fmtid="{D5CDD505-2E9C-101B-9397-08002B2CF9AE}" pid="5" name="Development Keywords">
    <vt:lpwstr/>
  </property>
  <property fmtid="{D5CDD505-2E9C-101B-9397-08002B2CF9AE}" pid="6" name="_dlc_policyId">
    <vt:lpwstr>/CEO/regenandplanning/Developmentteam/Padiham TH</vt:lpwstr>
  </property>
  <property fmtid="{D5CDD505-2E9C-101B-9397-08002B2CF9AE}" pid="7" name="ItemRetentionFormula">
    <vt:lpwstr/>
  </property>
  <property fmtid="{D5CDD505-2E9C-101B-9397-08002B2CF9AE}" pid="8" name="_dlc_DocIdItemGuid">
    <vt:lpwstr>4da7cbfe-c162-4abb-8982-df91ebb49206</vt:lpwstr>
  </property>
  <property fmtid="{D5CDD505-2E9C-101B-9397-08002B2CF9AE}" pid="9" name="BurnleyCouncilKeywords">
    <vt:lpwstr>601;#Curzon Street|0cb718eb-eddd-4881-91e4-fa7637bceff1;#587;#Procurement|34ac1f82-55d6-43f5-9e0a-90de37af8ba1</vt:lpwstr>
  </property>
  <property fmtid="{D5CDD505-2E9C-101B-9397-08002B2CF9AE}" pid="10" name="jf28ff66443a4eef8ac9acc86c201f9e">
    <vt:lpwstr>Curzon Street|0cb718eb-eddd-4881-91e4-fa7637bceff1;Procurement|34ac1f82-55d6-43f5-9e0a-90de37af8ba1</vt:lpwstr>
  </property>
</Properties>
</file>