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52990BDA" w:rsidR="004F4FBD" w:rsidRPr="003562C1" w:rsidRDefault="004F4FBD" w:rsidP="00B25E03">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w:t>
            </w:r>
            <w:r w:rsidR="0041397B">
              <w:rPr>
                <w:rFonts w:ascii="Arial" w:hAnsi="Arial" w:cs="Arial"/>
                <w:color w:val="000000"/>
                <w:sz w:val="24"/>
                <w:szCs w:val="24"/>
              </w:rPr>
              <w:t>165</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1B970ACE" w:rsidR="004F4FBD" w:rsidRPr="003562C1" w:rsidRDefault="00B25E03" w:rsidP="0041397B">
            <w:pPr>
              <w:rPr>
                <w:rFonts w:ascii="Arial" w:hAnsi="Arial" w:cs="Arial"/>
                <w:sz w:val="24"/>
                <w:szCs w:val="24"/>
              </w:rPr>
            </w:pPr>
            <w:r w:rsidRPr="00B25E03">
              <w:rPr>
                <w:rFonts w:ascii="Arial" w:hAnsi="Arial" w:cs="Arial"/>
                <w:sz w:val="24"/>
                <w:szCs w:val="24"/>
              </w:rPr>
              <w:t xml:space="preserve">Provision of </w:t>
            </w:r>
            <w:r w:rsidR="0041397B">
              <w:rPr>
                <w:rFonts w:ascii="Arial" w:hAnsi="Arial" w:cs="Arial"/>
                <w:sz w:val="24"/>
                <w:szCs w:val="24"/>
              </w:rPr>
              <w:t>Inclusion Expert</w:t>
            </w:r>
            <w:r w:rsidRPr="00B25E03">
              <w:rPr>
                <w:rFonts w:ascii="Arial" w:hAnsi="Arial" w:cs="Arial"/>
                <w:sz w:val="24"/>
                <w:szCs w:val="24"/>
              </w:rPr>
              <w:t xml:space="preserve"> Services for the Standards and Testing Agency</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7C718B4B" w:rsidR="00C066B5" w:rsidRPr="00C066B5" w:rsidRDefault="0041397B" w:rsidP="00C066B5">
            <w:pPr>
              <w:rPr>
                <w:rFonts w:ascii="Arial" w:hAnsi="Arial" w:cs="Arial"/>
                <w:sz w:val="24"/>
                <w:szCs w:val="24"/>
              </w:rPr>
            </w:pPr>
            <w:r>
              <w:rPr>
                <w:rFonts w:ascii="Arial" w:hAnsi="Arial" w:cs="Arial"/>
              </w:rPr>
              <w:t>03/08</w:t>
            </w:r>
            <w:r w:rsidR="00C066B5" w:rsidRPr="00C066B5">
              <w:rPr>
                <w:rFonts w:ascii="Arial" w:hAnsi="Arial" w:cs="Arial"/>
              </w:rPr>
              <w:t>/2018</w:t>
            </w:r>
          </w:p>
        </w:tc>
        <w:tc>
          <w:tcPr>
            <w:tcW w:w="8280" w:type="dxa"/>
            <w:shd w:val="clear" w:color="auto" w:fill="auto"/>
            <w:vAlign w:val="center"/>
          </w:tcPr>
          <w:p w14:paraId="1F700B6A" w14:textId="6EA68E6E" w:rsidR="00C066B5" w:rsidRPr="00C066B5" w:rsidRDefault="00077287" w:rsidP="00C066B5">
            <w:pPr>
              <w:jc w:val="center"/>
              <w:rPr>
                <w:rFonts w:ascii="Arial" w:hAnsi="Arial" w:cs="Arial"/>
                <w:sz w:val="24"/>
                <w:szCs w:val="24"/>
              </w:rPr>
            </w:pPr>
            <w:r>
              <w:rPr>
                <w:rFonts w:ascii="Arial" w:hAnsi="Arial" w:cs="Arial"/>
                <w:sz w:val="24"/>
                <w:szCs w:val="24"/>
              </w:rPr>
              <w:t>Enquiries 1 to 4</w:t>
            </w:r>
          </w:p>
        </w:tc>
      </w:tr>
      <w:tr w:rsidR="00C066B5" w:rsidRPr="00C066B5" w14:paraId="3F823CDD" w14:textId="77777777" w:rsidTr="00531C0D">
        <w:trPr>
          <w:trHeight w:val="351"/>
        </w:trPr>
        <w:tc>
          <w:tcPr>
            <w:tcW w:w="1548" w:type="dxa"/>
            <w:shd w:val="clear" w:color="auto" w:fill="auto"/>
            <w:vAlign w:val="center"/>
          </w:tcPr>
          <w:p w14:paraId="6D565557" w14:textId="70A8BDF9" w:rsidR="00C066B5" w:rsidRPr="00C066B5" w:rsidRDefault="00C066B5" w:rsidP="00C066B5">
            <w:pPr>
              <w:jc w:val="both"/>
              <w:rPr>
                <w:rFonts w:ascii="Arial" w:hAnsi="Arial" w:cs="Arial"/>
              </w:rPr>
            </w:pPr>
          </w:p>
        </w:tc>
        <w:tc>
          <w:tcPr>
            <w:tcW w:w="1620" w:type="dxa"/>
            <w:shd w:val="clear" w:color="auto" w:fill="auto"/>
            <w:vAlign w:val="center"/>
          </w:tcPr>
          <w:p w14:paraId="2414E7AA" w14:textId="13F36E57" w:rsidR="00C066B5" w:rsidRPr="00C066B5" w:rsidRDefault="00C066B5" w:rsidP="005A188B">
            <w:pPr>
              <w:rPr>
                <w:rFonts w:ascii="Arial" w:hAnsi="Arial" w:cs="Arial"/>
              </w:rPr>
            </w:pPr>
          </w:p>
        </w:tc>
        <w:tc>
          <w:tcPr>
            <w:tcW w:w="8280" w:type="dxa"/>
            <w:shd w:val="clear" w:color="auto" w:fill="auto"/>
            <w:vAlign w:val="center"/>
          </w:tcPr>
          <w:p w14:paraId="51081E61" w14:textId="0C8636DD" w:rsidR="00C066B5" w:rsidRPr="00C066B5" w:rsidRDefault="00C066B5" w:rsidP="00C066B5">
            <w:pPr>
              <w:jc w:val="center"/>
              <w:rPr>
                <w:rFonts w:ascii="Arial" w:hAnsi="Arial" w:cs="Arial"/>
              </w:rPr>
            </w:pP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2CCBE067" w:rsidR="00C066B5" w:rsidRPr="00C066B5" w:rsidRDefault="00C066B5" w:rsidP="00C066B5">
            <w:pPr>
              <w:jc w:val="center"/>
              <w:rPr>
                <w:rFonts w:ascii="Arial" w:hAnsi="Arial" w:cs="Arial"/>
                <w:sz w:val="24"/>
                <w:szCs w:val="24"/>
              </w:rPr>
            </w:pPr>
            <w:r w:rsidRPr="00C066B5">
              <w:rPr>
                <w:rFonts w:ascii="Arial" w:hAnsi="Arial" w:cs="Arial"/>
                <w:sz w:val="24"/>
                <w:szCs w:val="24"/>
              </w:rPr>
              <w:t>1</w:t>
            </w:r>
          </w:p>
        </w:tc>
        <w:tc>
          <w:tcPr>
            <w:tcW w:w="2631" w:type="dxa"/>
            <w:shd w:val="clear" w:color="auto" w:fill="auto"/>
          </w:tcPr>
          <w:p w14:paraId="2D1CBF94" w14:textId="09922A93" w:rsidR="00C066B5" w:rsidRPr="00C066B5" w:rsidRDefault="00C108B5" w:rsidP="00C066B5">
            <w:pPr>
              <w:spacing w:before="120" w:after="120" w:line="280" w:lineRule="atLeast"/>
              <w:rPr>
                <w:rFonts w:ascii="Arial" w:hAnsi="Arial" w:cs="Arial"/>
                <w:iCs/>
                <w:sz w:val="24"/>
                <w:szCs w:val="24"/>
              </w:rPr>
            </w:pPr>
            <w:r>
              <w:rPr>
                <w:rFonts w:ascii="Arial" w:hAnsi="Arial" w:cs="Arial"/>
                <w:iCs/>
                <w:sz w:val="24"/>
                <w:szCs w:val="24"/>
              </w:rPr>
              <w:t>N/A</w:t>
            </w:r>
          </w:p>
        </w:tc>
        <w:tc>
          <w:tcPr>
            <w:tcW w:w="6704" w:type="dxa"/>
            <w:shd w:val="clear" w:color="auto" w:fill="auto"/>
          </w:tcPr>
          <w:p w14:paraId="280AA380" w14:textId="77777777" w:rsidR="00C066B5" w:rsidRDefault="0041397B" w:rsidP="00C066B5">
            <w:pPr>
              <w:spacing w:before="120" w:after="120" w:line="280" w:lineRule="atLeast"/>
              <w:rPr>
                <w:rFonts w:ascii="Arial" w:hAnsi="Arial" w:cs="Arial"/>
                <w:bCs/>
                <w:sz w:val="24"/>
                <w:szCs w:val="24"/>
              </w:rPr>
            </w:pPr>
            <w:r w:rsidRPr="0041397B">
              <w:rPr>
                <w:rFonts w:ascii="Arial" w:hAnsi="Arial" w:cs="Arial"/>
                <w:bCs/>
                <w:sz w:val="24"/>
                <w:szCs w:val="24"/>
              </w:rPr>
              <w:t>I was one of the inclusion experts on the 2017-2018 Inclusion Experts Framework.  Do I need to reapply to be considered for the new framework?</w:t>
            </w:r>
          </w:p>
          <w:p w14:paraId="42EE61B0" w14:textId="521FC663" w:rsidR="00C108B5" w:rsidRPr="0041397B" w:rsidRDefault="00C108B5" w:rsidP="00C066B5">
            <w:pPr>
              <w:spacing w:before="120" w:after="120" w:line="280" w:lineRule="atLeast"/>
              <w:rPr>
                <w:rFonts w:ascii="Arial" w:hAnsi="Arial" w:cs="Arial"/>
                <w:bCs/>
                <w:sz w:val="24"/>
                <w:szCs w:val="24"/>
              </w:rPr>
            </w:pPr>
          </w:p>
        </w:tc>
        <w:tc>
          <w:tcPr>
            <w:tcW w:w="5487" w:type="dxa"/>
            <w:shd w:val="clear" w:color="auto" w:fill="auto"/>
          </w:tcPr>
          <w:p w14:paraId="3FAC5AAF" w14:textId="77777777" w:rsidR="00C066B5" w:rsidRDefault="00C108B5" w:rsidP="00C066B5">
            <w:pPr>
              <w:rPr>
                <w:rFonts w:ascii="Arial" w:hAnsi="Arial" w:cs="Arial"/>
                <w:color w:val="1F497D"/>
                <w:sz w:val="24"/>
                <w:szCs w:val="24"/>
              </w:rPr>
            </w:pPr>
            <w:r>
              <w:rPr>
                <w:rFonts w:ascii="Arial" w:hAnsi="Arial" w:cs="Arial"/>
                <w:color w:val="1F497D"/>
                <w:sz w:val="24"/>
                <w:szCs w:val="24"/>
              </w:rPr>
              <w:t xml:space="preserve">Yes.  </w:t>
            </w:r>
            <w:r w:rsidR="0041397B">
              <w:rPr>
                <w:rFonts w:ascii="Arial" w:hAnsi="Arial" w:cs="Arial"/>
                <w:color w:val="1F497D"/>
                <w:sz w:val="24"/>
                <w:szCs w:val="24"/>
              </w:rPr>
              <w:t>The 2017-2018 Inclusion Experts  Framework expired on 30 June 2018.  All those wishing to be considered for the 2018-2020 Inclusion Experts Framework are required to complete and submit their applications by midday on 21 September.</w:t>
            </w:r>
          </w:p>
          <w:p w14:paraId="4E267D5F" w14:textId="46B5989B" w:rsidR="00C108B5" w:rsidRPr="00C066B5" w:rsidRDefault="00C108B5" w:rsidP="00C066B5">
            <w:pPr>
              <w:rPr>
                <w:rFonts w:ascii="Arial" w:hAnsi="Arial" w:cs="Arial"/>
                <w:color w:val="1F497D"/>
                <w:sz w:val="24"/>
                <w:szCs w:val="24"/>
              </w:rPr>
            </w:pPr>
          </w:p>
        </w:tc>
      </w:tr>
      <w:tr w:rsidR="004F4FBD" w:rsidRPr="00AF0F5A" w14:paraId="2740CCFB" w14:textId="77777777" w:rsidTr="00DD7AB4">
        <w:trPr>
          <w:trHeight w:val="391"/>
        </w:trPr>
        <w:tc>
          <w:tcPr>
            <w:tcW w:w="1271" w:type="dxa"/>
          </w:tcPr>
          <w:p w14:paraId="1D28628D" w14:textId="77777777" w:rsidR="004F4FBD" w:rsidRPr="003562C1" w:rsidRDefault="004F4FBD" w:rsidP="004F4FBD">
            <w:pPr>
              <w:jc w:val="center"/>
              <w:rPr>
                <w:rFonts w:ascii="Arial" w:hAnsi="Arial" w:cs="Arial"/>
                <w:sz w:val="24"/>
                <w:szCs w:val="24"/>
              </w:rPr>
            </w:pPr>
          </w:p>
          <w:p w14:paraId="4F5A564D" w14:textId="6BCD2050" w:rsidR="004F4FBD" w:rsidRPr="003562C1" w:rsidRDefault="00C066B5" w:rsidP="0041397B">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4C458343" w:rsidR="004F4FBD" w:rsidRPr="00C108B5" w:rsidRDefault="00C108B5" w:rsidP="0041397B">
            <w:pPr>
              <w:spacing w:before="120" w:after="120" w:line="280" w:lineRule="atLeast"/>
              <w:rPr>
                <w:rFonts w:ascii="Arial" w:hAnsi="Arial" w:cs="Arial"/>
                <w:szCs w:val="24"/>
              </w:rPr>
            </w:pPr>
            <w:r>
              <w:rPr>
                <w:rFonts w:ascii="Arial" w:hAnsi="Arial" w:cs="Arial"/>
                <w:szCs w:val="24"/>
              </w:rPr>
              <w:t>N/A</w:t>
            </w:r>
          </w:p>
        </w:tc>
        <w:tc>
          <w:tcPr>
            <w:tcW w:w="6704" w:type="dxa"/>
            <w:shd w:val="clear" w:color="auto" w:fill="auto"/>
          </w:tcPr>
          <w:p w14:paraId="4A15F06E" w14:textId="77777777" w:rsidR="004F4FBD" w:rsidRDefault="00C108B5" w:rsidP="0041397B">
            <w:pPr>
              <w:rPr>
                <w:rFonts w:ascii="Arial" w:hAnsi="Arial" w:cs="Arial"/>
                <w:szCs w:val="24"/>
              </w:rPr>
            </w:pPr>
            <w:r w:rsidRPr="00C108B5">
              <w:rPr>
                <w:rFonts w:ascii="Arial" w:hAnsi="Arial" w:cs="Arial"/>
                <w:szCs w:val="24"/>
              </w:rPr>
              <w:t xml:space="preserve">We are an organisation with a number of individuals who are experienced in the specialisms listed. </w:t>
            </w:r>
            <w:r>
              <w:rPr>
                <w:szCs w:val="24"/>
              </w:rPr>
              <w:t xml:space="preserve"> </w:t>
            </w:r>
            <w:r w:rsidRPr="00C108B5">
              <w:rPr>
                <w:rFonts w:ascii="Arial" w:hAnsi="Arial" w:cs="Arial"/>
                <w:szCs w:val="24"/>
              </w:rPr>
              <w:t>For our answers, would you like the response to be based on a specific individual or could the response reflect the skills and experience of a team who would be drawn upon as needed to do the work?</w:t>
            </w:r>
          </w:p>
          <w:p w14:paraId="3F1E4E61" w14:textId="1EE4C994" w:rsidR="00C108B5" w:rsidRPr="00B25E03" w:rsidRDefault="00C108B5" w:rsidP="0041397B">
            <w:pPr>
              <w:rPr>
                <w:rFonts w:ascii="Arial" w:hAnsi="Arial" w:cs="Arial"/>
                <w:sz w:val="24"/>
                <w:szCs w:val="24"/>
              </w:rPr>
            </w:pPr>
          </w:p>
        </w:tc>
        <w:tc>
          <w:tcPr>
            <w:tcW w:w="5487" w:type="dxa"/>
            <w:shd w:val="clear" w:color="auto" w:fill="auto"/>
          </w:tcPr>
          <w:p w14:paraId="66FD4FA1" w14:textId="77777777" w:rsidR="004F4FBD" w:rsidRDefault="00C108B5" w:rsidP="00C108B5">
            <w:pPr>
              <w:rPr>
                <w:rFonts w:ascii="Arial" w:hAnsi="Arial" w:cs="Arial"/>
                <w:sz w:val="24"/>
                <w:szCs w:val="24"/>
              </w:rPr>
            </w:pPr>
            <w:r>
              <w:rPr>
                <w:rFonts w:ascii="Arial" w:hAnsi="Arial" w:cs="Arial"/>
                <w:sz w:val="24"/>
                <w:szCs w:val="24"/>
              </w:rPr>
              <w:t>Although organisations can apply to be on the Inclusion Experts Framework, organisations must ensure that they submit separate applications for each of the named individuals who they are putting forward for any of the inclusion expert specialisms.</w:t>
            </w:r>
          </w:p>
          <w:p w14:paraId="08B1C78B" w14:textId="08F98203" w:rsidR="00C108B5" w:rsidRPr="00810554" w:rsidRDefault="00C108B5" w:rsidP="00C108B5">
            <w:pPr>
              <w:rPr>
                <w:rFonts w:ascii="Arial" w:hAnsi="Arial" w:cs="Arial"/>
                <w:sz w:val="24"/>
                <w:szCs w:val="24"/>
              </w:rPr>
            </w:pPr>
          </w:p>
        </w:tc>
      </w:tr>
      <w:tr w:rsidR="00ED178B" w:rsidRPr="00AF0F5A" w14:paraId="40BF3669" w14:textId="77777777" w:rsidTr="00DD7AB4">
        <w:trPr>
          <w:trHeight w:val="391"/>
        </w:trPr>
        <w:tc>
          <w:tcPr>
            <w:tcW w:w="1271" w:type="dxa"/>
          </w:tcPr>
          <w:p w14:paraId="7C047679" w14:textId="6024DCFE" w:rsidR="00ED178B" w:rsidRPr="003562C1" w:rsidRDefault="00C066B5" w:rsidP="00ED178B">
            <w:pPr>
              <w:jc w:val="center"/>
              <w:rPr>
                <w:rFonts w:ascii="Arial" w:hAnsi="Arial" w:cs="Arial"/>
                <w:sz w:val="24"/>
                <w:szCs w:val="24"/>
              </w:rPr>
            </w:pPr>
            <w:r>
              <w:rPr>
                <w:rFonts w:ascii="Arial" w:hAnsi="Arial" w:cs="Arial"/>
                <w:sz w:val="24"/>
                <w:szCs w:val="24"/>
              </w:rPr>
              <w:t>3</w:t>
            </w:r>
          </w:p>
        </w:tc>
        <w:tc>
          <w:tcPr>
            <w:tcW w:w="2631" w:type="dxa"/>
            <w:shd w:val="clear" w:color="auto" w:fill="auto"/>
          </w:tcPr>
          <w:p w14:paraId="46A5D251" w14:textId="68E661B3" w:rsidR="00ED178B" w:rsidRPr="00B25E03" w:rsidRDefault="00C108B5" w:rsidP="0041397B">
            <w:pPr>
              <w:pStyle w:val="AObody"/>
              <w:numPr>
                <w:ilvl w:val="0"/>
                <w:numId w:val="0"/>
              </w:numPr>
              <w:tabs>
                <w:tab w:val="left" w:pos="720"/>
              </w:tabs>
              <w:rPr>
                <w:sz w:val="24"/>
                <w:szCs w:val="24"/>
              </w:rPr>
            </w:pPr>
            <w:r>
              <w:rPr>
                <w:sz w:val="24"/>
                <w:szCs w:val="24"/>
              </w:rPr>
              <w:t>N/A</w:t>
            </w:r>
          </w:p>
        </w:tc>
        <w:tc>
          <w:tcPr>
            <w:tcW w:w="6704" w:type="dxa"/>
            <w:shd w:val="clear" w:color="auto" w:fill="auto"/>
          </w:tcPr>
          <w:p w14:paraId="57FFD7E3" w14:textId="77777777" w:rsidR="00ED178B" w:rsidRDefault="00C108B5" w:rsidP="0041397B">
            <w:pPr>
              <w:pStyle w:val="AObody"/>
              <w:numPr>
                <w:ilvl w:val="0"/>
                <w:numId w:val="0"/>
              </w:numPr>
              <w:tabs>
                <w:tab w:val="left" w:pos="720"/>
              </w:tabs>
              <w:rPr>
                <w:sz w:val="24"/>
                <w:szCs w:val="24"/>
              </w:rPr>
            </w:pPr>
            <w:r w:rsidRPr="00C108B5">
              <w:rPr>
                <w:sz w:val="24"/>
                <w:szCs w:val="24"/>
              </w:rPr>
              <w:t>There are three sections for specialisms in the tender form. We are able to provide experts in six out of the 8 specialisms. Is the number of responses per organisation limited to three specialisms, or could we copy and paste the questions in Part B to answer for six specialisms?</w:t>
            </w:r>
          </w:p>
          <w:p w14:paraId="62824D55" w14:textId="1D8D7CF7" w:rsidR="00217A08" w:rsidRPr="00B25E03" w:rsidRDefault="00217A08" w:rsidP="0041397B">
            <w:pPr>
              <w:pStyle w:val="AObody"/>
              <w:numPr>
                <w:ilvl w:val="0"/>
                <w:numId w:val="0"/>
              </w:numPr>
              <w:tabs>
                <w:tab w:val="left" w:pos="720"/>
              </w:tabs>
              <w:rPr>
                <w:sz w:val="24"/>
                <w:szCs w:val="24"/>
              </w:rPr>
            </w:pPr>
          </w:p>
        </w:tc>
        <w:tc>
          <w:tcPr>
            <w:tcW w:w="5487" w:type="dxa"/>
            <w:shd w:val="clear" w:color="auto" w:fill="auto"/>
          </w:tcPr>
          <w:p w14:paraId="3F403712" w14:textId="12AA64B6" w:rsidR="00ED178B" w:rsidRDefault="00C108B5" w:rsidP="000F097A">
            <w:pPr>
              <w:rPr>
                <w:rFonts w:ascii="Arial" w:hAnsi="Arial" w:cs="Arial"/>
                <w:sz w:val="24"/>
                <w:szCs w:val="24"/>
              </w:rPr>
            </w:pPr>
            <w:r>
              <w:rPr>
                <w:rFonts w:ascii="Arial" w:hAnsi="Arial" w:cs="Arial"/>
                <w:sz w:val="24"/>
                <w:szCs w:val="24"/>
              </w:rPr>
              <w:t>Each individual can apply for a maximum of 3 specialisms only.</w:t>
            </w:r>
            <w:r w:rsidR="00217A08">
              <w:rPr>
                <w:rFonts w:ascii="Arial" w:hAnsi="Arial" w:cs="Arial"/>
                <w:sz w:val="24"/>
                <w:szCs w:val="24"/>
              </w:rPr>
              <w:t xml:space="preserve">  Therefore, organisations must ensure that they complete and submit separate applications for each of the individuals they are putting forward and that they do not exceed three specialisms for any individual.</w:t>
            </w:r>
          </w:p>
          <w:p w14:paraId="3BDDA2E6" w14:textId="4448FDDF" w:rsidR="00217A08" w:rsidRPr="00182D60" w:rsidRDefault="00217A08" w:rsidP="000F097A">
            <w:pPr>
              <w:rPr>
                <w:rFonts w:ascii="Arial" w:hAnsi="Arial" w:cs="Arial"/>
                <w:sz w:val="24"/>
                <w:szCs w:val="24"/>
              </w:rPr>
            </w:pPr>
          </w:p>
        </w:tc>
      </w:tr>
      <w:tr w:rsidR="00ED178B" w:rsidRPr="00AF0F5A" w14:paraId="6C06310D" w14:textId="77777777" w:rsidTr="00DD7AB4">
        <w:trPr>
          <w:trHeight w:val="391"/>
        </w:trPr>
        <w:tc>
          <w:tcPr>
            <w:tcW w:w="1271" w:type="dxa"/>
          </w:tcPr>
          <w:p w14:paraId="0297205B" w14:textId="44B1EC49" w:rsidR="00ED178B" w:rsidRPr="003562C1" w:rsidRDefault="00C066B5" w:rsidP="00ED178B">
            <w:pPr>
              <w:jc w:val="center"/>
              <w:rPr>
                <w:rFonts w:ascii="Arial" w:hAnsi="Arial" w:cs="Arial"/>
                <w:sz w:val="24"/>
                <w:szCs w:val="24"/>
              </w:rPr>
            </w:pPr>
            <w:r>
              <w:rPr>
                <w:rFonts w:ascii="Arial" w:hAnsi="Arial" w:cs="Arial"/>
                <w:sz w:val="24"/>
                <w:szCs w:val="24"/>
              </w:rPr>
              <w:lastRenderedPageBreak/>
              <w:t>4</w:t>
            </w:r>
          </w:p>
        </w:tc>
        <w:tc>
          <w:tcPr>
            <w:tcW w:w="2631" w:type="dxa"/>
            <w:shd w:val="clear" w:color="auto" w:fill="auto"/>
          </w:tcPr>
          <w:p w14:paraId="7AC0FE19" w14:textId="02BDBB43" w:rsidR="00ED178B" w:rsidRPr="003562C1" w:rsidRDefault="00217A08" w:rsidP="00ED178B">
            <w:pPr>
              <w:rPr>
                <w:rFonts w:ascii="Arial" w:hAnsi="Arial" w:cs="Arial"/>
                <w:sz w:val="24"/>
                <w:szCs w:val="24"/>
              </w:rPr>
            </w:pPr>
            <w:r>
              <w:rPr>
                <w:rFonts w:ascii="Arial" w:hAnsi="Arial" w:cs="Arial"/>
                <w:sz w:val="24"/>
                <w:szCs w:val="24"/>
              </w:rPr>
              <w:t>3.7 Conflict of Interest</w:t>
            </w:r>
          </w:p>
        </w:tc>
        <w:tc>
          <w:tcPr>
            <w:tcW w:w="6704" w:type="dxa"/>
            <w:shd w:val="clear" w:color="auto" w:fill="auto"/>
          </w:tcPr>
          <w:p w14:paraId="6398E6D2" w14:textId="3E88A41A" w:rsidR="00ED178B" w:rsidRDefault="00217A08" w:rsidP="00ED178B">
            <w:pPr>
              <w:rPr>
                <w:rFonts w:ascii="Arial" w:hAnsi="Arial" w:cs="Arial"/>
              </w:rPr>
            </w:pPr>
            <w:r>
              <w:rPr>
                <w:rFonts w:ascii="Arial" w:hAnsi="Arial" w:cs="Arial"/>
              </w:rPr>
              <w:t>S</w:t>
            </w:r>
            <w:r w:rsidR="003C149A">
              <w:rPr>
                <w:rFonts w:ascii="Arial" w:hAnsi="Arial" w:cs="Arial"/>
              </w:rPr>
              <w:t>e</w:t>
            </w:r>
            <w:r>
              <w:rPr>
                <w:rFonts w:ascii="Arial" w:hAnsi="Arial" w:cs="Arial"/>
              </w:rPr>
              <w:t xml:space="preserve">ction 3.7 </w:t>
            </w:r>
            <w:r w:rsidR="003C149A">
              <w:rPr>
                <w:rFonts w:ascii="Arial" w:hAnsi="Arial" w:cs="Arial"/>
              </w:rPr>
              <w:t>of the ITT (</w:t>
            </w:r>
            <w:r>
              <w:rPr>
                <w:rFonts w:ascii="Arial" w:hAnsi="Arial" w:cs="Arial"/>
              </w:rPr>
              <w:t>Conflict of Interest</w:t>
            </w:r>
            <w:r w:rsidR="003C149A">
              <w:rPr>
                <w:rFonts w:ascii="Arial" w:hAnsi="Arial" w:cs="Arial"/>
              </w:rPr>
              <w:t>)</w:t>
            </w:r>
            <w:r>
              <w:rPr>
                <w:rFonts w:ascii="Arial" w:hAnsi="Arial" w:cs="Arial"/>
              </w:rPr>
              <w:t xml:space="preserve"> states:</w:t>
            </w:r>
          </w:p>
          <w:p w14:paraId="3E06DA17" w14:textId="77777777" w:rsidR="00217A08" w:rsidRDefault="00217A08" w:rsidP="00ED178B">
            <w:pPr>
              <w:rPr>
                <w:rFonts w:ascii="Arial" w:hAnsi="Arial" w:cs="Arial"/>
              </w:rPr>
            </w:pPr>
          </w:p>
          <w:p w14:paraId="22A403F1" w14:textId="601CD915" w:rsidR="003C149A" w:rsidRPr="003C149A" w:rsidRDefault="003C149A" w:rsidP="003C149A">
            <w:pPr>
              <w:rPr>
                <w:rFonts w:ascii="Arial" w:hAnsi="Arial" w:cs="Arial"/>
              </w:rPr>
            </w:pPr>
            <w:r>
              <w:rPr>
                <w:rFonts w:ascii="Arial" w:hAnsi="Arial" w:cs="Arial"/>
              </w:rPr>
              <w:t>“</w:t>
            </w:r>
            <w:r w:rsidRPr="003C149A">
              <w:rPr>
                <w:rFonts w:ascii="Arial" w:hAnsi="Arial" w:cs="Arial"/>
              </w:rPr>
              <w:t>Any conflicts of interest should be declared in the bidder’s application including other work for STA that could conflict with the objective and successful discharge of these services. For example, bidders should not be employed by the modified test agency that is contracted by STA to modify the test materi</w:t>
            </w:r>
            <w:r>
              <w:rPr>
                <w:rFonts w:ascii="Arial" w:hAnsi="Arial" w:cs="Arial"/>
              </w:rPr>
              <w:t>als for pupils with VI and HI.“</w:t>
            </w:r>
          </w:p>
          <w:p w14:paraId="0937F7D7" w14:textId="77777777" w:rsidR="003C149A" w:rsidRPr="003C149A" w:rsidRDefault="003C149A" w:rsidP="003C149A">
            <w:pPr>
              <w:rPr>
                <w:rFonts w:ascii="Arial" w:hAnsi="Arial" w:cs="Arial"/>
              </w:rPr>
            </w:pPr>
          </w:p>
          <w:p w14:paraId="432BAAED" w14:textId="1B1F96E9" w:rsidR="003C149A" w:rsidRPr="003C149A" w:rsidRDefault="003C149A" w:rsidP="003C149A">
            <w:pPr>
              <w:rPr>
                <w:rFonts w:ascii="Arial" w:hAnsi="Arial" w:cs="Arial"/>
              </w:rPr>
            </w:pPr>
            <w:r w:rsidRPr="003C149A">
              <w:rPr>
                <w:rFonts w:ascii="Arial" w:hAnsi="Arial" w:cs="Arial"/>
              </w:rPr>
              <w:t>Th</w:t>
            </w:r>
            <w:r>
              <w:rPr>
                <w:rFonts w:ascii="Arial" w:hAnsi="Arial" w:cs="Arial"/>
              </w:rPr>
              <w:t>e Modified Tests</w:t>
            </w:r>
            <w:r w:rsidRPr="003C149A">
              <w:rPr>
                <w:rFonts w:ascii="Arial" w:hAnsi="Arial" w:cs="Arial"/>
              </w:rPr>
              <w:t xml:space="preserve"> </w:t>
            </w:r>
            <w:r>
              <w:rPr>
                <w:rFonts w:ascii="Arial" w:hAnsi="Arial" w:cs="Arial"/>
              </w:rPr>
              <w:t xml:space="preserve">Framework </w:t>
            </w:r>
            <w:r w:rsidRPr="003C149A">
              <w:rPr>
                <w:rFonts w:ascii="Arial" w:hAnsi="Arial" w:cs="Arial"/>
              </w:rPr>
              <w:t xml:space="preserve">ITT </w:t>
            </w:r>
            <w:r>
              <w:rPr>
                <w:rFonts w:ascii="Arial" w:hAnsi="Arial" w:cs="Arial"/>
              </w:rPr>
              <w:t xml:space="preserve">(a separate procurement to this one) </w:t>
            </w:r>
            <w:r w:rsidRPr="003C149A">
              <w:rPr>
                <w:rFonts w:ascii="Arial" w:hAnsi="Arial" w:cs="Arial"/>
              </w:rPr>
              <w:t xml:space="preserve">is for a framework arrangement for the national curriculum modified tests and this is intended to be the case for the new period beginning in January 2019. This could result in separate teams of specialist teachers being engaged as modifiers by different agencies but not simultaneously working on the live tests each year. Under clause 3.7, none of these specialists would be eligible for consideration for inclusion panel work. </w:t>
            </w:r>
          </w:p>
          <w:p w14:paraId="16E365D7" w14:textId="77777777" w:rsidR="003C149A" w:rsidRDefault="003C149A" w:rsidP="003C149A">
            <w:pPr>
              <w:rPr>
                <w:rFonts w:ascii="Arial" w:hAnsi="Arial" w:cs="Arial"/>
              </w:rPr>
            </w:pPr>
          </w:p>
          <w:p w14:paraId="7D492C4C" w14:textId="25ED2CFB" w:rsidR="003C149A" w:rsidRPr="003C149A" w:rsidRDefault="003C149A" w:rsidP="003C149A">
            <w:pPr>
              <w:rPr>
                <w:rFonts w:ascii="Arial" w:hAnsi="Arial" w:cs="Arial"/>
              </w:rPr>
            </w:pPr>
            <w:r w:rsidRPr="003C149A">
              <w:rPr>
                <w:rFonts w:ascii="Arial" w:hAnsi="Arial" w:cs="Arial"/>
              </w:rPr>
              <w:t xml:space="preserve">Clause 3.7 also precludes specialists working on one facet of the national curriculum tests from being able to offer expertise on another facet of the assessments covered in this notice. </w:t>
            </w:r>
          </w:p>
          <w:p w14:paraId="59667DD4" w14:textId="77777777" w:rsidR="003C149A" w:rsidRDefault="003C149A" w:rsidP="003C149A">
            <w:pPr>
              <w:rPr>
                <w:rFonts w:ascii="Arial" w:hAnsi="Arial" w:cs="Arial"/>
              </w:rPr>
            </w:pPr>
          </w:p>
          <w:p w14:paraId="7B355684" w14:textId="2CC6959D" w:rsidR="003C149A" w:rsidRPr="003C149A" w:rsidRDefault="003C149A" w:rsidP="003C149A">
            <w:pPr>
              <w:rPr>
                <w:rFonts w:ascii="Arial" w:hAnsi="Arial" w:cs="Arial"/>
              </w:rPr>
            </w:pPr>
            <w:r w:rsidRPr="003C149A">
              <w:rPr>
                <w:rFonts w:ascii="Arial" w:hAnsi="Arial" w:cs="Arial"/>
              </w:rPr>
              <w:t xml:space="preserve">It is widely recognised, as a matter of concern, that the pool of specialist teachers is very small. </w:t>
            </w:r>
          </w:p>
          <w:p w14:paraId="38788FA7" w14:textId="77777777" w:rsidR="003C149A" w:rsidRDefault="003C149A" w:rsidP="003C149A">
            <w:pPr>
              <w:rPr>
                <w:rFonts w:ascii="Arial" w:hAnsi="Arial" w:cs="Arial"/>
              </w:rPr>
            </w:pPr>
          </w:p>
          <w:p w14:paraId="215808A6" w14:textId="77777777" w:rsidR="00217A08" w:rsidRDefault="003C149A" w:rsidP="003C149A">
            <w:pPr>
              <w:rPr>
                <w:rFonts w:ascii="Arial" w:hAnsi="Arial" w:cs="Arial"/>
              </w:rPr>
            </w:pPr>
            <w:r w:rsidRPr="003C149A">
              <w:rPr>
                <w:rFonts w:ascii="Arial" w:hAnsi="Arial" w:cs="Arial"/>
              </w:rPr>
              <w:t xml:space="preserve">Would it therefore be acceptable for these specialist teachers to apply for this work, declaring any contracted  work which may </w:t>
            </w:r>
            <w:r w:rsidRPr="003C149A">
              <w:rPr>
                <w:rFonts w:ascii="Arial" w:hAnsi="Arial" w:cs="Arial"/>
              </w:rPr>
              <w:lastRenderedPageBreak/>
              <w:t>preclude them from being considered for a given subject / key stage in a given year?</w:t>
            </w:r>
          </w:p>
          <w:p w14:paraId="58E10A61" w14:textId="042BDA08" w:rsidR="003C149A" w:rsidRPr="00BE5664" w:rsidRDefault="003C149A" w:rsidP="003C149A">
            <w:pPr>
              <w:rPr>
                <w:rFonts w:ascii="Arial" w:hAnsi="Arial" w:cs="Arial"/>
              </w:rPr>
            </w:pPr>
          </w:p>
        </w:tc>
        <w:tc>
          <w:tcPr>
            <w:tcW w:w="5487" w:type="dxa"/>
            <w:shd w:val="clear" w:color="auto" w:fill="auto"/>
          </w:tcPr>
          <w:p w14:paraId="149E93EB" w14:textId="73BE1B12" w:rsidR="00ED178B" w:rsidRDefault="00077287" w:rsidP="00ED178B">
            <w:pPr>
              <w:rPr>
                <w:rFonts w:ascii="Arial" w:hAnsi="Arial" w:cs="Arial"/>
              </w:rPr>
            </w:pPr>
            <w:r>
              <w:rPr>
                <w:rFonts w:ascii="Arial" w:hAnsi="Arial" w:cs="Arial"/>
              </w:rPr>
              <w:lastRenderedPageBreak/>
              <w:t>Because Inclusion Experts</w:t>
            </w:r>
            <w:r w:rsidR="00A542C6">
              <w:rPr>
                <w:rFonts w:ascii="Arial" w:hAnsi="Arial" w:cs="Arial"/>
              </w:rPr>
              <w:t xml:space="preserve"> are going into a pool that would be available to draw on by any key stage or subject, and because they input into other areas of the national curriculum tests development process, they could not be included in the inclusion reviewer’s pool. </w:t>
            </w:r>
          </w:p>
          <w:p w14:paraId="4C582166" w14:textId="1EDAC64F" w:rsidR="00A542C6" w:rsidRPr="00BE5664" w:rsidRDefault="00A542C6" w:rsidP="00ED178B">
            <w:pPr>
              <w:rPr>
                <w:rFonts w:ascii="Arial" w:hAnsi="Arial" w:cs="Arial"/>
              </w:rPr>
            </w:pPr>
          </w:p>
        </w:tc>
      </w:tr>
      <w:tr w:rsidR="00ED178B" w:rsidRPr="00AF0F5A" w14:paraId="77DFD1C8" w14:textId="77777777" w:rsidTr="00DD7AB4">
        <w:trPr>
          <w:trHeight w:val="391"/>
        </w:trPr>
        <w:tc>
          <w:tcPr>
            <w:tcW w:w="1271" w:type="dxa"/>
          </w:tcPr>
          <w:p w14:paraId="4494A83F" w14:textId="1BB7217C" w:rsidR="00ED178B" w:rsidRPr="003562C1" w:rsidRDefault="00C066B5" w:rsidP="00ED178B">
            <w:pPr>
              <w:jc w:val="center"/>
              <w:rPr>
                <w:rFonts w:ascii="Arial" w:hAnsi="Arial" w:cs="Arial"/>
                <w:sz w:val="24"/>
                <w:szCs w:val="24"/>
              </w:rPr>
            </w:pPr>
            <w:r>
              <w:rPr>
                <w:rFonts w:ascii="Arial" w:hAnsi="Arial" w:cs="Arial"/>
                <w:sz w:val="24"/>
                <w:szCs w:val="24"/>
              </w:rPr>
              <w:t>5</w:t>
            </w:r>
          </w:p>
        </w:tc>
        <w:tc>
          <w:tcPr>
            <w:tcW w:w="2631" w:type="dxa"/>
            <w:shd w:val="clear" w:color="auto" w:fill="auto"/>
          </w:tcPr>
          <w:p w14:paraId="160761B7" w14:textId="5D0B9AFA" w:rsidR="00ED178B" w:rsidRPr="003562C1" w:rsidRDefault="008755B3"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343C6161" w14:textId="0C7C5ECA" w:rsidR="00ED178B" w:rsidRPr="00BE5664" w:rsidRDefault="00ED178B" w:rsidP="00ED178B">
            <w:pPr>
              <w:rPr>
                <w:rFonts w:ascii="Arial" w:hAnsi="Arial" w:cs="Arial"/>
              </w:rPr>
            </w:pPr>
          </w:p>
        </w:tc>
        <w:tc>
          <w:tcPr>
            <w:tcW w:w="5487" w:type="dxa"/>
            <w:shd w:val="clear" w:color="auto" w:fill="auto"/>
          </w:tcPr>
          <w:p w14:paraId="0B708D0D" w14:textId="1A4D2F92" w:rsidR="00ED178B" w:rsidRPr="00BE5664" w:rsidRDefault="00ED178B" w:rsidP="00565D90">
            <w:pPr>
              <w:rPr>
                <w:rFonts w:ascii="Arial" w:hAnsi="Arial" w:cs="Arial"/>
              </w:rPr>
            </w:pPr>
          </w:p>
        </w:tc>
      </w:tr>
    </w:tbl>
    <w:p w14:paraId="39597F91" w14:textId="77777777" w:rsidR="0015541B" w:rsidRPr="00F326C3" w:rsidRDefault="0015541B" w:rsidP="004075FD">
      <w:pPr>
        <w:rPr>
          <w:rFonts w:ascii="Arial" w:hAnsi="Arial" w:cs="Arial"/>
          <w:sz w:val="24"/>
          <w:szCs w:val="24"/>
        </w:rPr>
      </w:pPr>
      <w:bookmarkStart w:id="0" w:name="_GoBack"/>
      <w:bookmarkEnd w:id="0"/>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4E0E"/>
    <w:rsid w:val="00077287"/>
    <w:rsid w:val="00083956"/>
    <w:rsid w:val="000F097A"/>
    <w:rsid w:val="00100D89"/>
    <w:rsid w:val="001017CA"/>
    <w:rsid w:val="00104660"/>
    <w:rsid w:val="0011194A"/>
    <w:rsid w:val="0015541B"/>
    <w:rsid w:val="00182132"/>
    <w:rsid w:val="00182D60"/>
    <w:rsid w:val="00183939"/>
    <w:rsid w:val="0018545C"/>
    <w:rsid w:val="001A5DC5"/>
    <w:rsid w:val="00217A08"/>
    <w:rsid w:val="00225329"/>
    <w:rsid w:val="00277040"/>
    <w:rsid w:val="002A0150"/>
    <w:rsid w:val="002C025F"/>
    <w:rsid w:val="002C0765"/>
    <w:rsid w:val="002C7A02"/>
    <w:rsid w:val="002E5032"/>
    <w:rsid w:val="0034215E"/>
    <w:rsid w:val="003562C1"/>
    <w:rsid w:val="00357CBC"/>
    <w:rsid w:val="00362A41"/>
    <w:rsid w:val="003663F0"/>
    <w:rsid w:val="00374A77"/>
    <w:rsid w:val="003B686D"/>
    <w:rsid w:val="003C149A"/>
    <w:rsid w:val="003C60BB"/>
    <w:rsid w:val="004075FD"/>
    <w:rsid w:val="0041397B"/>
    <w:rsid w:val="00445601"/>
    <w:rsid w:val="00464719"/>
    <w:rsid w:val="00477583"/>
    <w:rsid w:val="004A025B"/>
    <w:rsid w:val="004D0583"/>
    <w:rsid w:val="004D4001"/>
    <w:rsid w:val="004D4E15"/>
    <w:rsid w:val="004D6957"/>
    <w:rsid w:val="004E3051"/>
    <w:rsid w:val="004E4430"/>
    <w:rsid w:val="004F45F8"/>
    <w:rsid w:val="004F4FBD"/>
    <w:rsid w:val="005073C2"/>
    <w:rsid w:val="00540D5C"/>
    <w:rsid w:val="005444B0"/>
    <w:rsid w:val="00555D7A"/>
    <w:rsid w:val="00557504"/>
    <w:rsid w:val="0056434F"/>
    <w:rsid w:val="00565D90"/>
    <w:rsid w:val="005869EE"/>
    <w:rsid w:val="005A188B"/>
    <w:rsid w:val="005E589F"/>
    <w:rsid w:val="005F0AA7"/>
    <w:rsid w:val="00675CB4"/>
    <w:rsid w:val="00682390"/>
    <w:rsid w:val="00685807"/>
    <w:rsid w:val="007037C1"/>
    <w:rsid w:val="00707FE1"/>
    <w:rsid w:val="00710036"/>
    <w:rsid w:val="007279BA"/>
    <w:rsid w:val="00741A3F"/>
    <w:rsid w:val="007547BD"/>
    <w:rsid w:val="007B367A"/>
    <w:rsid w:val="007B5B42"/>
    <w:rsid w:val="007E450F"/>
    <w:rsid w:val="007F2147"/>
    <w:rsid w:val="007F35BE"/>
    <w:rsid w:val="00802DCB"/>
    <w:rsid w:val="00810554"/>
    <w:rsid w:val="008323AF"/>
    <w:rsid w:val="00832DDD"/>
    <w:rsid w:val="00841B4C"/>
    <w:rsid w:val="00844D55"/>
    <w:rsid w:val="008608EC"/>
    <w:rsid w:val="008755B3"/>
    <w:rsid w:val="008968F9"/>
    <w:rsid w:val="008D5E23"/>
    <w:rsid w:val="00970BF6"/>
    <w:rsid w:val="009840CB"/>
    <w:rsid w:val="009866A2"/>
    <w:rsid w:val="009C13FE"/>
    <w:rsid w:val="009C1BC0"/>
    <w:rsid w:val="009C45A8"/>
    <w:rsid w:val="009C74E7"/>
    <w:rsid w:val="009E5AAF"/>
    <w:rsid w:val="00A00BB2"/>
    <w:rsid w:val="00A14887"/>
    <w:rsid w:val="00A16DF1"/>
    <w:rsid w:val="00A35294"/>
    <w:rsid w:val="00A53AEA"/>
    <w:rsid w:val="00A542C6"/>
    <w:rsid w:val="00A82A39"/>
    <w:rsid w:val="00A91706"/>
    <w:rsid w:val="00A97D2F"/>
    <w:rsid w:val="00AD2021"/>
    <w:rsid w:val="00AF0F5A"/>
    <w:rsid w:val="00B10DA4"/>
    <w:rsid w:val="00B25E03"/>
    <w:rsid w:val="00B357ED"/>
    <w:rsid w:val="00BA7635"/>
    <w:rsid w:val="00BB4F77"/>
    <w:rsid w:val="00BD1798"/>
    <w:rsid w:val="00BE5664"/>
    <w:rsid w:val="00BF34F1"/>
    <w:rsid w:val="00C0572E"/>
    <w:rsid w:val="00C066B5"/>
    <w:rsid w:val="00C108B5"/>
    <w:rsid w:val="00C432BF"/>
    <w:rsid w:val="00C52A26"/>
    <w:rsid w:val="00C55082"/>
    <w:rsid w:val="00C55A8A"/>
    <w:rsid w:val="00C813D0"/>
    <w:rsid w:val="00C93FC9"/>
    <w:rsid w:val="00CB4767"/>
    <w:rsid w:val="00CB7287"/>
    <w:rsid w:val="00CC194D"/>
    <w:rsid w:val="00CE08FC"/>
    <w:rsid w:val="00D02DA6"/>
    <w:rsid w:val="00D20E64"/>
    <w:rsid w:val="00D30801"/>
    <w:rsid w:val="00D43982"/>
    <w:rsid w:val="00D47315"/>
    <w:rsid w:val="00D92FD5"/>
    <w:rsid w:val="00DA5A1A"/>
    <w:rsid w:val="00DB1D26"/>
    <w:rsid w:val="00DC600A"/>
    <w:rsid w:val="00DC79DB"/>
    <w:rsid w:val="00DD7AB4"/>
    <w:rsid w:val="00DE061E"/>
    <w:rsid w:val="00E27C06"/>
    <w:rsid w:val="00E365D7"/>
    <w:rsid w:val="00E5159A"/>
    <w:rsid w:val="00E91CEF"/>
    <w:rsid w:val="00EA1A94"/>
    <w:rsid w:val="00EB294A"/>
    <w:rsid w:val="00ED178B"/>
    <w:rsid w:val="00EE11C9"/>
    <w:rsid w:val="00F325CB"/>
    <w:rsid w:val="00F326C3"/>
    <w:rsid w:val="00F3467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29401792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R7V2QUUQPMTK-6-71218</_dlc_DocId>
    <_dlc_DocIdUrl xmlns="85a719ee-0e1a-405a-acca-fded54921c95">
      <Url>https://educationgovuk.sharepoint.com/sites/stacom/_layouts/15/DocIdRedir.aspx?ID=R7V2QUUQPMTK-6-71218</Url>
      <Description>R7V2QUUQPMTK-6-71218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3.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4.xml><?xml version="1.0" encoding="utf-8"?>
<ds:datastoreItem xmlns:ds="http://schemas.openxmlformats.org/officeDocument/2006/customXml" ds:itemID="{74275532-8675-49E5-9BF8-D68DFBBAEFB1}">
  <ds:schemaRefs>
    <ds:schemaRef ds:uri="http://schemas.microsoft.com/office/2006/metadata/properties"/>
    <ds:schemaRef ds:uri="95ab55cc-3ec0-4b23-b395-e89a1530037f"/>
    <ds:schemaRef ds:uri="85a719ee-0e1a-405a-acca-fded54921c95"/>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906b00a0-3f23-4820-8da1-8de25fc78cbd"/>
    <ds:schemaRef ds:uri="http://schemas.microsoft.com/sharepoint/v3"/>
    <ds:schemaRef ds:uri="http://www.w3.org/XML/1998/namespace"/>
  </ds:schemaRefs>
</ds:datastoreItem>
</file>

<file path=customXml/itemProps5.xml><?xml version="1.0" encoding="utf-8"?>
<ds:datastoreItem xmlns:ds="http://schemas.openxmlformats.org/officeDocument/2006/customXml" ds:itemID="{5ADD6B00-1F45-48A9-BE25-A41F11E1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521</Words>
  <Characters>2974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STA0196 - SA  Clarification Questions</vt:lpstr>
    </vt:vector>
  </TitlesOfParts>
  <Company>DfE</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STA0196 - SA  Clarification Questions</dc:title>
  <dc:subject/>
  <dc:creator>HEATHCOTE, James</dc:creator>
  <cp:keywords/>
  <dc:description/>
  <cp:lastModifiedBy>AKBAR, Rashida</cp:lastModifiedBy>
  <cp:revision>2</cp:revision>
  <dcterms:created xsi:type="dcterms:W3CDTF">2018-08-03T13:37:00Z</dcterms:created>
  <dcterms:modified xsi:type="dcterms:W3CDTF">2018-08-03T13:37:00Z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6a56f9c4-d09e-4d1f-9c3b-5ae5be6a01f5</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