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556" w:rsidRDefault="00152556" w:rsidP="00152556">
      <w:pPr>
        <w:jc w:val="center"/>
        <w:rPr>
          <w:rFonts w:cs="Arial"/>
          <w:b/>
          <w:sz w:val="22"/>
          <w:szCs w:val="22"/>
        </w:rPr>
      </w:pPr>
    </w:p>
    <w:tbl>
      <w:tblPr>
        <w:tblW w:w="0" w:type="auto"/>
        <w:tblLook w:val="04A0" w:firstRow="1" w:lastRow="0" w:firstColumn="1" w:lastColumn="0" w:noHBand="0" w:noVBand="1"/>
      </w:tblPr>
      <w:tblGrid>
        <w:gridCol w:w="9026"/>
      </w:tblGrid>
      <w:tr w:rsidR="00152556" w:rsidRPr="000E1AF5" w:rsidTr="00CB59F0">
        <w:tc>
          <w:tcPr>
            <w:tcW w:w="9242" w:type="dxa"/>
            <w:shd w:val="clear" w:color="auto" w:fill="auto"/>
          </w:tcPr>
          <w:p w:rsidR="00152556" w:rsidRPr="000E1AF5" w:rsidRDefault="00152556" w:rsidP="00CB59F0">
            <w:pPr>
              <w:spacing w:after="240"/>
              <w:jc w:val="center"/>
              <w:rPr>
                <w:rFonts w:eastAsia="Calibri" w:cs="Arial"/>
                <w:color w:val="002060"/>
                <w:sz w:val="22"/>
              </w:rPr>
            </w:pPr>
          </w:p>
          <w:p w:rsidR="00152556" w:rsidRPr="00F71FBD" w:rsidRDefault="00152556" w:rsidP="00CB59F0">
            <w:pPr>
              <w:spacing w:after="240"/>
              <w:jc w:val="center"/>
              <w:rPr>
                <w:rFonts w:eastAsia="Calibri" w:cs="Arial"/>
                <w:color w:val="002060"/>
              </w:rPr>
            </w:pPr>
          </w:p>
          <w:p w:rsidR="00152556" w:rsidRPr="00F71FBD" w:rsidRDefault="00633EFF" w:rsidP="00633EFF">
            <w:pPr>
              <w:spacing w:after="240"/>
              <w:jc w:val="center"/>
              <w:rPr>
                <w:rFonts w:eastAsia="Calibri" w:cs="Arial"/>
                <w:color w:val="002060"/>
                <w:sz w:val="36"/>
              </w:rPr>
            </w:pPr>
            <w:r w:rsidRPr="00F71FBD">
              <w:rPr>
                <w:rFonts w:eastAsia="Calibri" w:cs="Arial"/>
                <w:color w:val="002060"/>
                <w:sz w:val="36"/>
              </w:rPr>
              <w:t xml:space="preserve">THE ROYAL </w:t>
            </w:r>
            <w:r w:rsidR="004079C6" w:rsidRPr="00F71FBD">
              <w:rPr>
                <w:rFonts w:eastAsia="Calibri" w:cs="Arial"/>
                <w:color w:val="002060"/>
                <w:sz w:val="36"/>
              </w:rPr>
              <w:t>BOROUGH OF KENSINGTON</w:t>
            </w:r>
          </w:p>
          <w:p w:rsidR="004079C6" w:rsidRPr="00F71FBD" w:rsidRDefault="004079C6" w:rsidP="00633EFF">
            <w:pPr>
              <w:spacing w:after="240"/>
              <w:jc w:val="center"/>
              <w:rPr>
                <w:rFonts w:eastAsia="Calibri" w:cs="Arial"/>
                <w:color w:val="002060"/>
                <w:sz w:val="36"/>
              </w:rPr>
            </w:pPr>
          </w:p>
          <w:p w:rsidR="004079C6" w:rsidRPr="00633EFF" w:rsidRDefault="004079C6" w:rsidP="00633EFF">
            <w:pPr>
              <w:spacing w:after="240"/>
              <w:jc w:val="center"/>
              <w:rPr>
                <w:rFonts w:eastAsia="Calibri" w:cs="Arial"/>
                <w:color w:val="002060"/>
                <w:sz w:val="32"/>
              </w:rPr>
            </w:pPr>
            <w:r w:rsidRPr="00F71FBD">
              <w:rPr>
                <w:rFonts w:eastAsia="Calibri" w:cs="Arial"/>
                <w:color w:val="002060"/>
                <w:sz w:val="36"/>
              </w:rPr>
              <w:t>AND CHELSEA</w:t>
            </w:r>
          </w:p>
        </w:tc>
      </w:tr>
    </w:tbl>
    <w:p w:rsidR="00152556" w:rsidRPr="005A5E87" w:rsidRDefault="00152556" w:rsidP="00152556">
      <w:pPr>
        <w:spacing w:after="240"/>
        <w:jc w:val="center"/>
        <w:rPr>
          <w:rFonts w:eastAsia="Calibri" w:cs="Arial"/>
          <w:color w:val="002060"/>
          <w:sz w:val="22"/>
        </w:rPr>
      </w:pPr>
    </w:p>
    <w:p w:rsidR="00152556" w:rsidRPr="005A5E87" w:rsidRDefault="00152556" w:rsidP="00152556">
      <w:pPr>
        <w:spacing w:after="240"/>
        <w:jc w:val="center"/>
        <w:rPr>
          <w:rFonts w:eastAsia="Calibri" w:cs="Arial"/>
          <w:i/>
          <w:color w:val="002060"/>
          <w:sz w:val="22"/>
        </w:rPr>
      </w:pPr>
    </w:p>
    <w:p w:rsidR="00152556" w:rsidRPr="005A5E87" w:rsidRDefault="00152556" w:rsidP="00152556">
      <w:pPr>
        <w:spacing w:after="240"/>
        <w:jc w:val="center"/>
        <w:rPr>
          <w:rFonts w:eastAsia="Calibri" w:cs="Arial"/>
          <w:color w:val="002060"/>
          <w:sz w:val="22"/>
        </w:rPr>
      </w:pPr>
    </w:p>
    <w:p w:rsidR="00152556" w:rsidRPr="005A5E87" w:rsidRDefault="004079C6" w:rsidP="00152556">
      <w:pPr>
        <w:spacing w:after="240"/>
        <w:jc w:val="center"/>
        <w:rPr>
          <w:rFonts w:eastAsia="Calibri" w:cs="Arial"/>
          <w:color w:val="002060"/>
          <w:sz w:val="40"/>
          <w:szCs w:val="40"/>
        </w:rPr>
      </w:pPr>
      <w:r>
        <w:rPr>
          <w:rFonts w:eastAsia="Calibri" w:cs="Arial"/>
          <w:color w:val="002060"/>
          <w:sz w:val="40"/>
          <w:szCs w:val="40"/>
        </w:rPr>
        <w:t xml:space="preserve">REQUEST FOR </w:t>
      </w:r>
      <w:r w:rsidR="00D54AA5">
        <w:rPr>
          <w:rFonts w:eastAsia="Calibri" w:cs="Arial"/>
          <w:color w:val="002060"/>
          <w:sz w:val="40"/>
          <w:szCs w:val="40"/>
        </w:rPr>
        <w:t>PROPOSAL</w:t>
      </w:r>
    </w:p>
    <w:p w:rsidR="00152556" w:rsidRPr="005A5E87" w:rsidRDefault="00152556" w:rsidP="00152556">
      <w:pPr>
        <w:spacing w:after="240"/>
        <w:jc w:val="center"/>
        <w:rPr>
          <w:rFonts w:eastAsia="Calibri" w:cs="Arial"/>
          <w:color w:val="002060"/>
          <w:sz w:val="40"/>
          <w:szCs w:val="40"/>
        </w:rPr>
      </w:pPr>
    </w:p>
    <w:p w:rsidR="002C36F0" w:rsidRDefault="00A83368" w:rsidP="00A83368">
      <w:pPr>
        <w:pStyle w:val="NoSpacing"/>
        <w:jc w:val="center"/>
        <w:rPr>
          <w:rFonts w:ascii="Arial" w:eastAsia="Calibri" w:hAnsi="Arial" w:cs="Arial"/>
          <w:color w:val="002060"/>
          <w:sz w:val="40"/>
          <w:szCs w:val="40"/>
        </w:rPr>
      </w:pPr>
      <w:r w:rsidRPr="00A83368">
        <w:rPr>
          <w:rFonts w:ascii="Arial" w:eastAsia="Calibri" w:hAnsi="Arial" w:cs="Arial"/>
          <w:color w:val="002060"/>
          <w:sz w:val="40"/>
          <w:szCs w:val="40"/>
        </w:rPr>
        <w:t xml:space="preserve">Co-working space for growth, </w:t>
      </w:r>
    </w:p>
    <w:p w:rsidR="00A83368" w:rsidRPr="00A83368" w:rsidRDefault="00A83368" w:rsidP="00A83368">
      <w:pPr>
        <w:pStyle w:val="NoSpacing"/>
        <w:jc w:val="center"/>
        <w:rPr>
          <w:rFonts w:ascii="Arial" w:eastAsia="Calibri" w:hAnsi="Arial" w:cs="Arial"/>
          <w:color w:val="002060"/>
          <w:sz w:val="40"/>
          <w:szCs w:val="40"/>
        </w:rPr>
      </w:pPr>
      <w:r w:rsidRPr="00A83368">
        <w:rPr>
          <w:rFonts w:ascii="Arial" w:eastAsia="Calibri" w:hAnsi="Arial" w:cs="Arial"/>
          <w:color w:val="002060"/>
          <w:sz w:val="40"/>
          <w:szCs w:val="40"/>
        </w:rPr>
        <w:t>205 Holland Park Avenue</w:t>
      </w:r>
    </w:p>
    <w:p w:rsidR="00E3702B" w:rsidRDefault="00E3702B" w:rsidP="00152556">
      <w:pPr>
        <w:spacing w:after="240"/>
        <w:jc w:val="center"/>
        <w:rPr>
          <w:rFonts w:eastAsia="Calibri" w:cs="Arial"/>
          <w:color w:val="002060"/>
          <w:sz w:val="40"/>
          <w:szCs w:val="40"/>
        </w:rPr>
      </w:pPr>
    </w:p>
    <w:p w:rsidR="00E3702B" w:rsidRPr="005A5E87" w:rsidRDefault="00E3702B" w:rsidP="00152556">
      <w:pPr>
        <w:spacing w:after="240"/>
        <w:jc w:val="center"/>
        <w:rPr>
          <w:rFonts w:eastAsia="Calibri" w:cs="Arial"/>
          <w:color w:val="002060"/>
          <w:sz w:val="40"/>
          <w:szCs w:val="40"/>
        </w:rPr>
      </w:pPr>
    </w:p>
    <w:p w:rsidR="00152556" w:rsidRPr="005A5E87" w:rsidRDefault="002F3413" w:rsidP="00152556">
      <w:pPr>
        <w:spacing w:after="240"/>
        <w:jc w:val="center"/>
        <w:rPr>
          <w:rFonts w:eastAsia="Calibri" w:cs="Arial"/>
          <w:color w:val="002060"/>
          <w:sz w:val="40"/>
          <w:szCs w:val="40"/>
        </w:rPr>
      </w:pPr>
      <w:r>
        <w:rPr>
          <w:rFonts w:eastAsia="Calibri" w:cs="Arial"/>
          <w:color w:val="002060"/>
          <w:sz w:val="40"/>
          <w:szCs w:val="40"/>
        </w:rPr>
        <w:t>INSTRUCTIONS TO TENDERERS</w:t>
      </w:r>
    </w:p>
    <w:p w:rsidR="00152556" w:rsidRPr="005A5E87" w:rsidRDefault="00D10ED6" w:rsidP="00152556">
      <w:pPr>
        <w:spacing w:after="240"/>
        <w:jc w:val="center"/>
        <w:rPr>
          <w:rFonts w:eastAsia="Calibri" w:cs="Arial"/>
          <w:color w:val="002060"/>
          <w:sz w:val="40"/>
          <w:szCs w:val="40"/>
        </w:rPr>
      </w:pPr>
      <w:r>
        <w:rPr>
          <w:rFonts w:eastAsia="Calibri" w:cs="Arial"/>
          <w:color w:val="002060"/>
          <w:sz w:val="40"/>
          <w:szCs w:val="40"/>
        </w:rPr>
        <w:t>AND SPECIFICATION</w:t>
      </w:r>
    </w:p>
    <w:p w:rsidR="00152556" w:rsidRDefault="00152556" w:rsidP="00152556">
      <w:pPr>
        <w:spacing w:after="240"/>
        <w:jc w:val="center"/>
        <w:rPr>
          <w:rFonts w:eastAsia="Calibri" w:cs="Arial"/>
          <w:i/>
          <w:color w:val="002060"/>
          <w:sz w:val="40"/>
          <w:szCs w:val="40"/>
        </w:rPr>
      </w:pPr>
    </w:p>
    <w:p w:rsidR="00F71FBD" w:rsidRDefault="00F71FBD" w:rsidP="00152556">
      <w:pPr>
        <w:spacing w:after="240"/>
        <w:jc w:val="center"/>
        <w:rPr>
          <w:rFonts w:eastAsia="Calibri" w:cs="Arial"/>
          <w:i/>
          <w:color w:val="002060"/>
          <w:sz w:val="40"/>
          <w:szCs w:val="40"/>
        </w:rPr>
      </w:pPr>
    </w:p>
    <w:p w:rsidR="00F71FBD" w:rsidRPr="002F3413" w:rsidRDefault="00F71FBD" w:rsidP="002F3413">
      <w:pPr>
        <w:spacing w:after="240"/>
        <w:rPr>
          <w:rFonts w:eastAsia="Calibri" w:cs="Arial"/>
          <w:i/>
          <w:color w:val="002060"/>
          <w:sz w:val="32"/>
          <w:szCs w:val="40"/>
        </w:rPr>
      </w:pPr>
    </w:p>
    <w:p w:rsidR="00172B92" w:rsidRPr="004346E7" w:rsidRDefault="00172B92" w:rsidP="00172B92">
      <w:pPr>
        <w:pStyle w:val="A2"/>
        <w:numPr>
          <w:ilvl w:val="0"/>
          <w:numId w:val="2"/>
        </w:numPr>
        <w:ind w:left="1276" w:hanging="850"/>
        <w:rPr>
          <w:rFonts w:cs="Arial"/>
          <w:b/>
          <w:color w:val="000000"/>
          <w:sz w:val="22"/>
          <w:szCs w:val="22"/>
        </w:rPr>
      </w:pPr>
      <w:r w:rsidRPr="004346E7">
        <w:rPr>
          <w:rFonts w:cs="Arial"/>
          <w:b/>
          <w:color w:val="000000"/>
          <w:sz w:val="22"/>
          <w:szCs w:val="22"/>
          <w:u w:val="single"/>
        </w:rPr>
        <w:t>I</w:t>
      </w:r>
      <w:r w:rsidRPr="004346E7">
        <w:rPr>
          <w:rFonts w:cs="Arial"/>
          <w:b/>
          <w:caps/>
          <w:color w:val="000000"/>
          <w:sz w:val="22"/>
          <w:szCs w:val="22"/>
          <w:u w:val="single"/>
        </w:rPr>
        <w:t>ntroduction</w:t>
      </w:r>
    </w:p>
    <w:p w:rsidR="00172B92" w:rsidRPr="004346E7" w:rsidRDefault="00172B92" w:rsidP="00172B92">
      <w:pPr>
        <w:pStyle w:val="A2"/>
        <w:numPr>
          <w:ilvl w:val="0"/>
          <w:numId w:val="0"/>
        </w:numPr>
        <w:ind w:left="1290"/>
        <w:rPr>
          <w:rFonts w:cs="Arial"/>
          <w:color w:val="000000"/>
          <w:sz w:val="22"/>
          <w:szCs w:val="22"/>
        </w:rPr>
      </w:pPr>
    </w:p>
    <w:p w:rsidR="00C46910" w:rsidRDefault="00C46910" w:rsidP="00C46910">
      <w:pPr>
        <w:pStyle w:val="A2"/>
        <w:tabs>
          <w:tab w:val="clear" w:pos="4692"/>
        </w:tabs>
        <w:ind w:left="1276" w:hanging="850"/>
        <w:rPr>
          <w:rFonts w:cs="Arial"/>
          <w:color w:val="000000"/>
          <w:sz w:val="22"/>
          <w:szCs w:val="22"/>
        </w:rPr>
      </w:pPr>
      <w:r w:rsidRPr="00C46910">
        <w:rPr>
          <w:rFonts w:cs="Arial"/>
          <w:color w:val="000000"/>
          <w:sz w:val="22"/>
          <w:szCs w:val="22"/>
        </w:rPr>
        <w:t xml:space="preserve">The </w:t>
      </w:r>
      <w:r w:rsidRPr="00C46910">
        <w:rPr>
          <w:rFonts w:cs="Arial"/>
          <w:bCs/>
          <w:color w:val="000000"/>
          <w:sz w:val="22"/>
          <w:szCs w:val="22"/>
        </w:rPr>
        <w:t>RBKC is looking for proposals from organisations with direct experience of working with and supporting start-up businesses across a wide variety of sectors in a co-working, incubator or accelerator workspace.  Organisations could include but is not limited to:</w:t>
      </w:r>
      <w:r w:rsidRPr="00C46910">
        <w:rPr>
          <w:rFonts w:cs="Arial"/>
          <w:color w:val="000000"/>
          <w:sz w:val="22"/>
          <w:szCs w:val="22"/>
        </w:rPr>
        <w:t> </w:t>
      </w:r>
    </w:p>
    <w:p w:rsidR="00C46910" w:rsidRPr="00BF781C" w:rsidRDefault="00C46910" w:rsidP="00C46910">
      <w:pPr>
        <w:pStyle w:val="paragraph"/>
        <w:numPr>
          <w:ilvl w:val="1"/>
          <w:numId w:val="40"/>
        </w:numPr>
        <w:ind w:left="1276" w:hanging="556"/>
        <w:textAlignment w:val="baseline"/>
        <w:rPr>
          <w:rStyle w:val="normaltextrun1"/>
          <w:rFonts w:ascii="Arial" w:hAnsi="Arial" w:cs="Arial"/>
          <w:sz w:val="22"/>
          <w:szCs w:val="22"/>
        </w:rPr>
      </w:pPr>
      <w:r w:rsidRPr="00BF781C">
        <w:rPr>
          <w:rStyle w:val="normaltextrun1"/>
          <w:rFonts w:ascii="Arial" w:hAnsi="Arial" w:cs="Arial"/>
          <w:sz w:val="22"/>
          <w:szCs w:val="22"/>
        </w:rPr>
        <w:t>Specialists in business investment and incubator spaces</w:t>
      </w:r>
    </w:p>
    <w:p w:rsidR="00C46910" w:rsidRPr="00BF781C" w:rsidRDefault="00C46910" w:rsidP="00C46910">
      <w:pPr>
        <w:pStyle w:val="paragraph"/>
        <w:numPr>
          <w:ilvl w:val="1"/>
          <w:numId w:val="40"/>
        </w:numPr>
        <w:ind w:left="1276" w:hanging="556"/>
        <w:textAlignment w:val="baseline"/>
        <w:rPr>
          <w:rStyle w:val="normaltextrun1"/>
          <w:rFonts w:ascii="Arial" w:hAnsi="Arial" w:cs="Arial"/>
          <w:sz w:val="22"/>
          <w:szCs w:val="22"/>
        </w:rPr>
      </w:pPr>
      <w:r w:rsidRPr="00BF781C">
        <w:rPr>
          <w:rStyle w:val="normaltextrun1"/>
          <w:rFonts w:ascii="Arial" w:hAnsi="Arial" w:cs="Arial"/>
          <w:sz w:val="22"/>
          <w:szCs w:val="22"/>
        </w:rPr>
        <w:t>Managers and developers of affordable and flexible workspaces</w:t>
      </w:r>
    </w:p>
    <w:p w:rsidR="00C46910" w:rsidRPr="00BF781C" w:rsidRDefault="00C46910" w:rsidP="00C46910">
      <w:pPr>
        <w:pStyle w:val="paragraph"/>
        <w:numPr>
          <w:ilvl w:val="1"/>
          <w:numId w:val="40"/>
        </w:numPr>
        <w:ind w:left="1276" w:hanging="556"/>
        <w:textAlignment w:val="baseline"/>
        <w:rPr>
          <w:rStyle w:val="normaltextrun1"/>
          <w:rFonts w:ascii="Arial" w:hAnsi="Arial" w:cs="Arial"/>
          <w:sz w:val="22"/>
          <w:szCs w:val="22"/>
        </w:rPr>
      </w:pPr>
      <w:r w:rsidRPr="00BF781C">
        <w:rPr>
          <w:rStyle w:val="normaltextrun1"/>
          <w:rFonts w:ascii="Arial" w:hAnsi="Arial" w:cs="Arial"/>
          <w:sz w:val="22"/>
          <w:szCs w:val="22"/>
        </w:rPr>
        <w:t>Enterprise agencies who are operating and managing affordable office business space</w:t>
      </w:r>
    </w:p>
    <w:p w:rsidR="00C46910" w:rsidRPr="00BF781C" w:rsidRDefault="00C46910" w:rsidP="00C46910">
      <w:pPr>
        <w:pStyle w:val="paragraph"/>
        <w:numPr>
          <w:ilvl w:val="1"/>
          <w:numId w:val="40"/>
        </w:numPr>
        <w:ind w:left="1276" w:hanging="556"/>
        <w:textAlignment w:val="baseline"/>
        <w:rPr>
          <w:rStyle w:val="normaltextrun1"/>
          <w:rFonts w:ascii="Arial" w:hAnsi="Arial" w:cs="Arial"/>
          <w:sz w:val="22"/>
          <w:szCs w:val="22"/>
        </w:rPr>
      </w:pPr>
      <w:r w:rsidRPr="00BF781C">
        <w:rPr>
          <w:rStyle w:val="normaltextrun1"/>
          <w:rFonts w:ascii="Arial" w:hAnsi="Arial" w:cs="Arial"/>
          <w:sz w:val="22"/>
          <w:szCs w:val="22"/>
        </w:rPr>
        <w:t>Social enterprise operating affordable and co-working space</w:t>
      </w:r>
    </w:p>
    <w:p w:rsidR="00C46910" w:rsidRPr="00BF781C" w:rsidRDefault="00C46910" w:rsidP="00C46910">
      <w:pPr>
        <w:pStyle w:val="paragraph"/>
        <w:numPr>
          <w:ilvl w:val="1"/>
          <w:numId w:val="40"/>
        </w:numPr>
        <w:ind w:left="1276" w:hanging="556"/>
        <w:textAlignment w:val="baseline"/>
        <w:rPr>
          <w:rStyle w:val="normaltextrun1"/>
          <w:rFonts w:ascii="Arial" w:hAnsi="Arial" w:cs="Arial"/>
          <w:sz w:val="22"/>
          <w:szCs w:val="22"/>
        </w:rPr>
      </w:pPr>
      <w:r w:rsidRPr="00BF781C">
        <w:rPr>
          <w:rStyle w:val="normaltextrun1"/>
          <w:rFonts w:ascii="Arial" w:hAnsi="Arial" w:cs="Arial"/>
          <w:sz w:val="22"/>
          <w:szCs w:val="22"/>
        </w:rPr>
        <w:t>Organisations offering peer-to-peer support, mentoring, access to investment and learning as part of their management of an affordable and co-working space.</w:t>
      </w:r>
    </w:p>
    <w:p w:rsidR="00C46910" w:rsidRPr="00BF781C" w:rsidRDefault="00C46910" w:rsidP="00C46910">
      <w:pPr>
        <w:pStyle w:val="paragraph"/>
        <w:numPr>
          <w:ilvl w:val="1"/>
          <w:numId w:val="40"/>
        </w:numPr>
        <w:ind w:left="1276" w:hanging="556"/>
        <w:textAlignment w:val="baseline"/>
        <w:rPr>
          <w:rFonts w:ascii="Arial" w:hAnsi="Arial" w:cs="Arial"/>
          <w:sz w:val="22"/>
          <w:szCs w:val="22"/>
        </w:rPr>
      </w:pPr>
      <w:r w:rsidRPr="00BF781C">
        <w:rPr>
          <w:rStyle w:val="normaltextrun1"/>
          <w:rFonts w:ascii="Arial" w:hAnsi="Arial" w:cs="Arial"/>
          <w:sz w:val="22"/>
          <w:szCs w:val="22"/>
        </w:rPr>
        <w:t>Partnerships of organisations who can between them fit-out, manage and operate incubator space, alongside the provision of mentoring services, and provide opportunities to access finance.</w:t>
      </w:r>
    </w:p>
    <w:p w:rsidR="00C46910" w:rsidRPr="00BF781C" w:rsidRDefault="00C46910" w:rsidP="00C46910">
      <w:pPr>
        <w:pStyle w:val="A2"/>
        <w:tabs>
          <w:tab w:val="clear" w:pos="4692"/>
        </w:tabs>
        <w:ind w:left="1276" w:hanging="850"/>
        <w:rPr>
          <w:rFonts w:cs="Arial"/>
          <w:color w:val="000000"/>
          <w:sz w:val="22"/>
          <w:szCs w:val="22"/>
        </w:rPr>
      </w:pPr>
      <w:r w:rsidRPr="00BF781C">
        <w:rPr>
          <w:rFonts w:cs="Arial"/>
          <w:color w:val="000000"/>
          <w:sz w:val="22"/>
          <w:szCs w:val="22"/>
        </w:rPr>
        <w:t xml:space="preserve">The Royal Borough of Kensington and Chelsea is seeking bids to create and manage a high quality, co-working business space. The co-working space is to be targeted at supporting small businesses and start-ups, in high growth, knowledge and creative industries. The successful bidder (the Operator) will fit-out, market, operate and manage the commercial space on the ground floor of 205 Holland Park Avenue, London W11 4XB, a new mixed use development. See Appendix 1 for property particulars. </w:t>
      </w:r>
    </w:p>
    <w:p w:rsidR="00C46910" w:rsidRPr="0004475F" w:rsidRDefault="00BF781C" w:rsidP="0004475F">
      <w:pPr>
        <w:pStyle w:val="A2"/>
        <w:tabs>
          <w:tab w:val="clear" w:pos="4692"/>
        </w:tabs>
        <w:ind w:left="1276" w:hanging="850"/>
        <w:rPr>
          <w:rFonts w:cs="Arial"/>
          <w:color w:val="000000"/>
          <w:sz w:val="22"/>
          <w:szCs w:val="22"/>
        </w:rPr>
      </w:pPr>
      <w:r w:rsidRPr="00BF781C">
        <w:rPr>
          <w:rFonts w:cs="Arial"/>
          <w:color w:val="000000"/>
          <w:sz w:val="22"/>
          <w:szCs w:val="22"/>
        </w:rPr>
        <w:t>The high quality workspace is to be provided to users on affordable and flexible terms; offer first class communications infrastructure; and include support services comprising of, but not limited to, access to mentors and investors, peer-to-peer networking, learning and business advice. It is envisaged that the space will be a focal point for business growth activities in the Royal Borough and through a programme of events, workshops and seminars non-tenants of the space will also benefit.</w:t>
      </w:r>
    </w:p>
    <w:p w:rsidR="0004475F" w:rsidRDefault="0004475F" w:rsidP="0004475F">
      <w:pPr>
        <w:pStyle w:val="A2"/>
        <w:tabs>
          <w:tab w:val="clear" w:pos="4692"/>
        </w:tabs>
        <w:ind w:left="1276" w:hanging="850"/>
        <w:rPr>
          <w:rFonts w:cs="Arial"/>
          <w:color w:val="000000"/>
          <w:sz w:val="22"/>
          <w:szCs w:val="22"/>
        </w:rPr>
      </w:pPr>
      <w:r w:rsidRPr="0004475F">
        <w:rPr>
          <w:rFonts w:cs="Arial"/>
          <w:color w:val="000000"/>
          <w:sz w:val="22"/>
          <w:szCs w:val="22"/>
        </w:rPr>
        <w:t>The space will be let by the Council to the Operator at not more than fifty per cent of the market rate (market rate is estimated at £58.00 psf), plus service charge (£3.75 psf, covering – heating, refuse disposal, external communal cleaning, maintenance of firefighting devices, building insurance, planned maintenance, landscaping, and management fee. Water and electricity being separately metered). The Council proposes a sub-underlease of ten years, with a mutual break option on the fifth anniversary of the commencement date, however alternative lease lengths will be equally considered, up to 19 years.</w:t>
      </w:r>
    </w:p>
    <w:p w:rsidR="0004475F" w:rsidRPr="0004475F" w:rsidRDefault="0004475F" w:rsidP="0004475F">
      <w:pPr>
        <w:pStyle w:val="A2"/>
        <w:numPr>
          <w:ilvl w:val="0"/>
          <w:numId w:val="0"/>
        </w:numPr>
        <w:ind w:left="1276"/>
        <w:rPr>
          <w:rFonts w:cs="Arial"/>
          <w:color w:val="000000"/>
          <w:sz w:val="22"/>
          <w:szCs w:val="22"/>
        </w:rPr>
      </w:pPr>
    </w:p>
    <w:p w:rsidR="007A6DD1" w:rsidRDefault="007A6DD1" w:rsidP="007A6DD1">
      <w:pPr>
        <w:pStyle w:val="A1"/>
        <w:numPr>
          <w:ilvl w:val="0"/>
          <w:numId w:val="0"/>
        </w:numPr>
        <w:ind w:left="1276" w:hanging="850"/>
        <w:rPr>
          <w:b w:val="0"/>
          <w:sz w:val="22"/>
          <w:u w:val="none"/>
        </w:rPr>
      </w:pPr>
      <w:r>
        <w:rPr>
          <w:sz w:val="22"/>
          <w:u w:val="none"/>
        </w:rPr>
        <w:t>2</w:t>
      </w:r>
      <w:r w:rsidRPr="007A6DD1">
        <w:rPr>
          <w:b w:val="0"/>
          <w:sz w:val="22"/>
          <w:u w:val="none"/>
        </w:rPr>
        <w:t>.</w:t>
      </w:r>
      <w:r w:rsidRPr="007A6DD1">
        <w:rPr>
          <w:b w:val="0"/>
          <w:u w:val="none"/>
        </w:rPr>
        <w:tab/>
      </w:r>
      <w:r>
        <w:rPr>
          <w:sz w:val="22"/>
        </w:rPr>
        <w:t>Project Description</w:t>
      </w:r>
    </w:p>
    <w:p w:rsidR="007A6DD1" w:rsidRDefault="007A6DD1" w:rsidP="007A6DD1">
      <w:pPr>
        <w:pStyle w:val="A1"/>
        <w:numPr>
          <w:ilvl w:val="0"/>
          <w:numId w:val="0"/>
        </w:numPr>
        <w:ind w:left="576" w:hanging="576"/>
        <w:rPr>
          <w:b w:val="0"/>
          <w:sz w:val="22"/>
          <w:u w:val="none"/>
        </w:rPr>
      </w:pPr>
    </w:p>
    <w:p w:rsidR="007A6DD1" w:rsidRDefault="0004475F" w:rsidP="0004475F">
      <w:pPr>
        <w:ind w:left="1276" w:hanging="850"/>
        <w:rPr>
          <w:rFonts w:cs="Arial"/>
          <w:sz w:val="22"/>
        </w:rPr>
      </w:pPr>
      <w:r>
        <w:rPr>
          <w:rFonts w:cs="Arial"/>
          <w:sz w:val="22"/>
        </w:rPr>
        <w:t>2.1</w:t>
      </w:r>
      <w:r>
        <w:rPr>
          <w:rFonts w:cs="Arial"/>
          <w:sz w:val="22"/>
        </w:rPr>
        <w:tab/>
      </w:r>
      <w:r w:rsidRPr="0004475F">
        <w:rPr>
          <w:rFonts w:cs="Arial"/>
          <w:sz w:val="22"/>
        </w:rPr>
        <w:t>The Council wants to work with partners to create new affordable workspaces, providing support where we are confident a need can be met and a return on investment will be secured. We have been seeking opportunities to support new flexible, affordable and dynamic Incubator, Accelerator and Co-working (IAC) spaces, suitable for modern business practices.</w:t>
      </w:r>
    </w:p>
    <w:p w:rsidR="0004475F" w:rsidRPr="0004475F" w:rsidRDefault="0004475F" w:rsidP="0004475F">
      <w:pPr>
        <w:ind w:left="1276" w:hanging="850"/>
        <w:rPr>
          <w:rFonts w:cs="Arial"/>
          <w:sz w:val="22"/>
        </w:rPr>
      </w:pPr>
    </w:p>
    <w:p w:rsidR="007A6DD1" w:rsidRPr="00206417" w:rsidRDefault="007A6DD1" w:rsidP="0004475F">
      <w:pPr>
        <w:ind w:left="1276" w:hanging="850"/>
        <w:rPr>
          <w:rFonts w:cs="Arial"/>
          <w:sz w:val="22"/>
        </w:rPr>
      </w:pPr>
      <w:r w:rsidRPr="007A6DD1">
        <w:rPr>
          <w:rFonts w:cs="Arial"/>
          <w:sz w:val="22"/>
        </w:rPr>
        <w:lastRenderedPageBreak/>
        <w:t>2.2</w:t>
      </w:r>
      <w:r w:rsidRPr="007A6DD1">
        <w:rPr>
          <w:rFonts w:cs="Arial"/>
          <w:sz w:val="22"/>
        </w:rPr>
        <w:tab/>
      </w:r>
      <w:r w:rsidR="0004475F" w:rsidRPr="0004475F">
        <w:rPr>
          <w:rFonts w:cs="Arial"/>
          <w:sz w:val="22"/>
        </w:rPr>
        <w:t>IACs are playing and increasingly important role in the provision of workspace and support for small businesses. They typically offer higher levels of flexibility in relation to cost, which increases affordability, opening opportunities for freelancers, home-workers and other small enterprises. They also tend to offer, as an integral part of membership, business support from mentoring, advice, networking and access to investors.</w:t>
      </w:r>
      <w:r w:rsidRPr="00206417">
        <w:rPr>
          <w:rFonts w:cs="Arial"/>
          <w:sz w:val="22"/>
        </w:rPr>
        <w:t xml:space="preserve"> </w:t>
      </w:r>
    </w:p>
    <w:p w:rsidR="007A6DD1" w:rsidRPr="008561B3" w:rsidRDefault="007A6DD1" w:rsidP="007A6DD1">
      <w:pPr>
        <w:pStyle w:val="ListParagraph"/>
        <w:ind w:left="765"/>
        <w:rPr>
          <w:rFonts w:cs="Arial"/>
          <w:szCs w:val="24"/>
        </w:rPr>
      </w:pPr>
    </w:p>
    <w:p w:rsidR="007A6DD1" w:rsidRPr="00206417" w:rsidRDefault="00206417" w:rsidP="00206417">
      <w:pPr>
        <w:ind w:left="1276" w:hanging="850"/>
        <w:rPr>
          <w:rFonts w:cs="Arial"/>
          <w:sz w:val="22"/>
        </w:rPr>
      </w:pPr>
      <w:r>
        <w:rPr>
          <w:rFonts w:cs="Arial"/>
          <w:sz w:val="22"/>
        </w:rPr>
        <w:t>2.3</w:t>
      </w:r>
      <w:r>
        <w:rPr>
          <w:rFonts w:cs="Arial"/>
          <w:sz w:val="22"/>
        </w:rPr>
        <w:tab/>
      </w:r>
      <w:r w:rsidR="0004475F" w:rsidRPr="0004475F">
        <w:rPr>
          <w:rFonts w:cs="Arial"/>
          <w:sz w:val="22"/>
        </w:rPr>
        <w:t xml:space="preserve">We are seeking an operator to fit-out, market, operate and manage the ground floor site at 205 Holland Park Avenue, as a creatively designed co-working business space. The space will need to be affordable, flexible and fully equipped and aimed at accelerating small and new businesses with exceptional potential for growth. It will provide an impressive environment to attract the right blend of knowledge and creative economy businesses, grow dynamic enterprises, generate new collaborations and provide support. </w:t>
      </w:r>
    </w:p>
    <w:p w:rsidR="00172B92" w:rsidRPr="004346E7" w:rsidRDefault="00172B92" w:rsidP="00172B92">
      <w:pPr>
        <w:pStyle w:val="A2"/>
        <w:numPr>
          <w:ilvl w:val="0"/>
          <w:numId w:val="0"/>
        </w:numPr>
        <w:ind w:left="1290"/>
        <w:rPr>
          <w:rFonts w:cs="Arial"/>
          <w:color w:val="000000"/>
          <w:sz w:val="22"/>
          <w:szCs w:val="22"/>
        </w:rPr>
      </w:pPr>
    </w:p>
    <w:p w:rsidR="00172B92" w:rsidRPr="0001237E" w:rsidRDefault="0007254E" w:rsidP="00B667EF">
      <w:pPr>
        <w:pStyle w:val="A1"/>
        <w:numPr>
          <w:ilvl w:val="0"/>
          <w:numId w:val="0"/>
        </w:numPr>
        <w:ind w:left="1276" w:hanging="850"/>
        <w:rPr>
          <w:rFonts w:cs="Arial"/>
          <w:color w:val="000000"/>
          <w:sz w:val="22"/>
          <w:szCs w:val="22"/>
        </w:rPr>
      </w:pPr>
      <w:bookmarkStart w:id="0" w:name="_Toc506726720"/>
      <w:bookmarkStart w:id="1" w:name="_Toc371626598"/>
      <w:r w:rsidRPr="00B667EF">
        <w:rPr>
          <w:rFonts w:cs="Arial"/>
          <w:color w:val="000000"/>
          <w:sz w:val="22"/>
          <w:szCs w:val="22"/>
          <w:u w:val="none"/>
        </w:rPr>
        <w:t>3</w:t>
      </w:r>
      <w:r w:rsidR="00415FFB">
        <w:rPr>
          <w:rFonts w:cs="Arial"/>
          <w:color w:val="000000"/>
          <w:sz w:val="22"/>
          <w:szCs w:val="22"/>
          <w:u w:val="none"/>
        </w:rPr>
        <w:t>.</w:t>
      </w:r>
      <w:r w:rsidR="00B667EF" w:rsidRPr="00B667EF">
        <w:rPr>
          <w:rFonts w:cs="Arial"/>
          <w:color w:val="000000"/>
          <w:sz w:val="22"/>
          <w:szCs w:val="22"/>
          <w:u w:val="none"/>
        </w:rPr>
        <w:tab/>
      </w:r>
      <w:r w:rsidR="00172B92" w:rsidRPr="0001237E">
        <w:rPr>
          <w:rFonts w:cs="Arial"/>
          <w:color w:val="000000"/>
          <w:sz w:val="22"/>
          <w:szCs w:val="22"/>
        </w:rPr>
        <w:t>Timetable</w:t>
      </w:r>
      <w:bookmarkEnd w:id="0"/>
      <w:bookmarkEnd w:id="1"/>
      <w:r w:rsidR="00172B92" w:rsidRPr="0001237E">
        <w:rPr>
          <w:rFonts w:cs="Arial"/>
          <w:color w:val="000000"/>
          <w:sz w:val="22"/>
          <w:szCs w:val="22"/>
        </w:rPr>
        <w:t xml:space="preserve"> </w:t>
      </w:r>
    </w:p>
    <w:p w:rsidR="00172B92" w:rsidRDefault="00B667EF" w:rsidP="00B667EF">
      <w:pPr>
        <w:pStyle w:val="A2"/>
        <w:numPr>
          <w:ilvl w:val="0"/>
          <w:numId w:val="0"/>
        </w:numPr>
        <w:ind w:left="1276" w:hanging="850"/>
        <w:rPr>
          <w:rFonts w:cs="Arial"/>
          <w:color w:val="000000"/>
          <w:sz w:val="22"/>
          <w:szCs w:val="22"/>
        </w:rPr>
      </w:pPr>
      <w:r>
        <w:rPr>
          <w:rFonts w:cs="Arial"/>
          <w:color w:val="000000"/>
          <w:sz w:val="22"/>
          <w:szCs w:val="22"/>
        </w:rPr>
        <w:t>3.1</w:t>
      </w:r>
      <w:r>
        <w:rPr>
          <w:rFonts w:cs="Arial"/>
          <w:color w:val="000000"/>
          <w:sz w:val="22"/>
          <w:szCs w:val="22"/>
        </w:rPr>
        <w:tab/>
      </w:r>
      <w:r w:rsidR="00172B92" w:rsidRPr="004346E7">
        <w:rPr>
          <w:rFonts w:cs="Arial"/>
          <w:color w:val="000000"/>
          <w:sz w:val="22"/>
          <w:szCs w:val="22"/>
        </w:rPr>
        <w:t>To ensure that the evaluation and award process is completed and the Contract executed prior to the Commencement Date the Authority has set the following timetable.  The Authority reserves the right to amend the timetable.</w:t>
      </w:r>
    </w:p>
    <w:p w:rsidR="00457940" w:rsidRPr="004346E7" w:rsidRDefault="00B667EF" w:rsidP="00B667EF">
      <w:pPr>
        <w:pStyle w:val="A2"/>
        <w:numPr>
          <w:ilvl w:val="0"/>
          <w:numId w:val="0"/>
        </w:numPr>
        <w:ind w:left="1276" w:hanging="850"/>
        <w:rPr>
          <w:rFonts w:cs="Arial"/>
          <w:color w:val="000000"/>
          <w:sz w:val="22"/>
          <w:szCs w:val="22"/>
        </w:rPr>
      </w:pPr>
      <w:r>
        <w:rPr>
          <w:rFonts w:cs="Arial"/>
          <w:color w:val="000000"/>
          <w:sz w:val="22"/>
          <w:szCs w:val="22"/>
        </w:rPr>
        <w:t>3.2</w:t>
      </w:r>
    </w:p>
    <w:tbl>
      <w:tblPr>
        <w:tblStyle w:val="TableGrid"/>
        <w:tblW w:w="0" w:type="auto"/>
        <w:tblInd w:w="1413" w:type="dxa"/>
        <w:tblLook w:val="04A0" w:firstRow="1" w:lastRow="0" w:firstColumn="1" w:lastColumn="0" w:noHBand="0" w:noVBand="1"/>
      </w:tblPr>
      <w:tblGrid>
        <w:gridCol w:w="2268"/>
        <w:gridCol w:w="5335"/>
      </w:tblGrid>
      <w:tr w:rsidR="0004475F" w:rsidRPr="00D31FE1" w:rsidTr="0004475F">
        <w:tc>
          <w:tcPr>
            <w:tcW w:w="2268" w:type="dxa"/>
            <w:shd w:val="clear" w:color="auto" w:fill="D9D9D9" w:themeFill="background1" w:themeFillShade="D9"/>
          </w:tcPr>
          <w:p w:rsidR="0004475F" w:rsidRPr="00D31FE1" w:rsidRDefault="0004475F" w:rsidP="00EC0A1F">
            <w:pPr>
              <w:pStyle w:val="NoSpacing"/>
              <w:spacing w:after="240"/>
              <w:rPr>
                <w:rFonts w:ascii="Arial" w:hAnsi="Arial" w:cs="Arial"/>
                <w:b/>
                <w:bCs/>
              </w:rPr>
            </w:pPr>
            <w:r w:rsidRPr="00D31FE1">
              <w:rPr>
                <w:rFonts w:ascii="Arial" w:hAnsi="Arial" w:cs="Arial"/>
                <w:b/>
                <w:bCs/>
              </w:rPr>
              <w:t>Date</w:t>
            </w:r>
          </w:p>
        </w:tc>
        <w:tc>
          <w:tcPr>
            <w:tcW w:w="5335" w:type="dxa"/>
            <w:shd w:val="clear" w:color="auto" w:fill="D9D9D9" w:themeFill="background1" w:themeFillShade="D9"/>
          </w:tcPr>
          <w:p w:rsidR="0004475F" w:rsidRPr="00D31FE1" w:rsidRDefault="0004475F" w:rsidP="00EC0A1F">
            <w:pPr>
              <w:pStyle w:val="NoSpacing"/>
              <w:spacing w:after="240"/>
              <w:rPr>
                <w:rFonts w:ascii="Arial" w:hAnsi="Arial" w:cs="Arial"/>
                <w:b/>
                <w:bCs/>
              </w:rPr>
            </w:pPr>
            <w:r w:rsidRPr="00D31FE1">
              <w:rPr>
                <w:rFonts w:ascii="Arial" w:hAnsi="Arial" w:cs="Arial"/>
                <w:b/>
                <w:bCs/>
              </w:rPr>
              <w:t>Activity</w:t>
            </w:r>
          </w:p>
        </w:tc>
      </w:tr>
      <w:tr w:rsidR="0004475F" w:rsidRPr="00D31FE1" w:rsidTr="0004475F">
        <w:tc>
          <w:tcPr>
            <w:tcW w:w="2268" w:type="dxa"/>
          </w:tcPr>
          <w:p w:rsidR="0004475F" w:rsidRPr="00D31FE1" w:rsidRDefault="0004475F" w:rsidP="00EC0A1F">
            <w:pPr>
              <w:pStyle w:val="NoSpacing"/>
              <w:spacing w:after="240"/>
              <w:rPr>
                <w:rFonts w:ascii="Arial" w:hAnsi="Arial" w:cs="Arial"/>
              </w:rPr>
            </w:pPr>
            <w:r>
              <w:rPr>
                <w:rFonts w:ascii="Arial" w:hAnsi="Arial" w:cs="Arial"/>
              </w:rPr>
              <w:t>May – June 2018</w:t>
            </w:r>
          </w:p>
        </w:tc>
        <w:tc>
          <w:tcPr>
            <w:tcW w:w="5335" w:type="dxa"/>
          </w:tcPr>
          <w:p w:rsidR="0004475F" w:rsidRPr="00D31FE1" w:rsidRDefault="0004475F" w:rsidP="00EC0A1F">
            <w:pPr>
              <w:pStyle w:val="NoSpacing"/>
              <w:spacing w:after="240"/>
              <w:rPr>
                <w:rFonts w:ascii="Arial" w:hAnsi="Arial" w:cs="Arial"/>
              </w:rPr>
            </w:pPr>
            <w:r w:rsidRPr="00D31FE1">
              <w:rPr>
                <w:rFonts w:ascii="Arial" w:hAnsi="Arial" w:cs="Arial"/>
              </w:rPr>
              <w:t>Procurement Process</w:t>
            </w:r>
          </w:p>
        </w:tc>
      </w:tr>
      <w:tr w:rsidR="0004475F" w:rsidRPr="00D31FE1" w:rsidTr="0004475F">
        <w:tc>
          <w:tcPr>
            <w:tcW w:w="2268" w:type="dxa"/>
          </w:tcPr>
          <w:p w:rsidR="0004475F" w:rsidRPr="00D31FE1" w:rsidRDefault="0004475F" w:rsidP="00EC0A1F">
            <w:pPr>
              <w:pStyle w:val="NoSpacing"/>
              <w:spacing w:after="240"/>
              <w:rPr>
                <w:rFonts w:ascii="Arial" w:hAnsi="Arial" w:cs="Arial"/>
              </w:rPr>
            </w:pPr>
            <w:r>
              <w:rPr>
                <w:rFonts w:ascii="Arial" w:hAnsi="Arial" w:cs="Arial"/>
              </w:rPr>
              <w:t>Already available</w:t>
            </w:r>
          </w:p>
        </w:tc>
        <w:tc>
          <w:tcPr>
            <w:tcW w:w="5335" w:type="dxa"/>
          </w:tcPr>
          <w:p w:rsidR="0004475F" w:rsidRPr="00D31FE1" w:rsidRDefault="0004475F" w:rsidP="00EC0A1F">
            <w:pPr>
              <w:pStyle w:val="NoSpacing"/>
              <w:spacing w:after="240"/>
              <w:rPr>
                <w:rFonts w:ascii="Arial" w:hAnsi="Arial" w:cs="Arial"/>
              </w:rPr>
            </w:pPr>
            <w:r w:rsidRPr="00D31FE1">
              <w:rPr>
                <w:rFonts w:ascii="Arial" w:hAnsi="Arial" w:cs="Arial"/>
              </w:rPr>
              <w:t>Shell and core of 205 Holland Park Avenue space available</w:t>
            </w:r>
          </w:p>
        </w:tc>
      </w:tr>
      <w:tr w:rsidR="0004475F" w:rsidRPr="00D31FE1" w:rsidTr="0004475F">
        <w:tc>
          <w:tcPr>
            <w:tcW w:w="2268" w:type="dxa"/>
          </w:tcPr>
          <w:p w:rsidR="0004475F" w:rsidRPr="00D31FE1" w:rsidRDefault="0004475F" w:rsidP="00EC0A1F">
            <w:pPr>
              <w:pStyle w:val="NoSpacing"/>
              <w:spacing w:after="240"/>
              <w:rPr>
                <w:rFonts w:ascii="Arial" w:hAnsi="Arial" w:cs="Arial"/>
              </w:rPr>
            </w:pPr>
            <w:r>
              <w:rPr>
                <w:rFonts w:ascii="Arial" w:hAnsi="Arial" w:cs="Arial"/>
              </w:rPr>
              <w:t>June – July 2018</w:t>
            </w:r>
          </w:p>
        </w:tc>
        <w:tc>
          <w:tcPr>
            <w:tcW w:w="5335" w:type="dxa"/>
          </w:tcPr>
          <w:p w:rsidR="0004475F" w:rsidRPr="00D31FE1" w:rsidRDefault="0004475F" w:rsidP="00EC0A1F">
            <w:pPr>
              <w:pStyle w:val="NoSpacing"/>
              <w:spacing w:after="240"/>
              <w:rPr>
                <w:rFonts w:ascii="Arial" w:hAnsi="Arial" w:cs="Arial"/>
              </w:rPr>
            </w:pPr>
            <w:r w:rsidRPr="00D31FE1">
              <w:rPr>
                <w:rFonts w:ascii="Arial" w:hAnsi="Arial" w:cs="Arial"/>
              </w:rPr>
              <w:t>Council decision making process on operator and lease</w:t>
            </w:r>
          </w:p>
        </w:tc>
      </w:tr>
      <w:tr w:rsidR="0004475F" w:rsidRPr="00D31FE1" w:rsidTr="0004475F">
        <w:tc>
          <w:tcPr>
            <w:tcW w:w="2268" w:type="dxa"/>
          </w:tcPr>
          <w:p w:rsidR="0004475F" w:rsidRPr="00D31FE1" w:rsidRDefault="0004475F" w:rsidP="00EC0A1F">
            <w:pPr>
              <w:pStyle w:val="NoSpacing"/>
              <w:spacing w:after="240"/>
              <w:rPr>
                <w:rFonts w:ascii="Arial" w:hAnsi="Arial" w:cs="Arial"/>
              </w:rPr>
            </w:pPr>
            <w:r>
              <w:rPr>
                <w:rFonts w:ascii="Arial" w:hAnsi="Arial" w:cs="Arial"/>
              </w:rPr>
              <w:t>August – September 2018</w:t>
            </w:r>
          </w:p>
        </w:tc>
        <w:tc>
          <w:tcPr>
            <w:tcW w:w="5335" w:type="dxa"/>
          </w:tcPr>
          <w:p w:rsidR="0004475F" w:rsidRPr="00D31FE1" w:rsidRDefault="0004475F" w:rsidP="00EC0A1F">
            <w:pPr>
              <w:pStyle w:val="NoSpacing"/>
              <w:spacing w:after="240"/>
              <w:rPr>
                <w:rFonts w:ascii="Arial" w:hAnsi="Arial" w:cs="Arial"/>
              </w:rPr>
            </w:pPr>
            <w:r w:rsidRPr="00D31FE1">
              <w:rPr>
                <w:rFonts w:ascii="Arial" w:hAnsi="Arial" w:cs="Arial"/>
              </w:rPr>
              <w:t>Successful operator notified of award and lease</w:t>
            </w:r>
          </w:p>
        </w:tc>
      </w:tr>
    </w:tbl>
    <w:p w:rsidR="009812BC" w:rsidRDefault="009812BC" w:rsidP="009812BC">
      <w:pPr>
        <w:pStyle w:val="A1"/>
        <w:numPr>
          <w:ilvl w:val="0"/>
          <w:numId w:val="0"/>
        </w:numPr>
        <w:ind w:left="576"/>
        <w:rPr>
          <w:rFonts w:cs="Arial"/>
          <w:color w:val="000000"/>
          <w:sz w:val="22"/>
          <w:szCs w:val="22"/>
        </w:rPr>
      </w:pPr>
      <w:bookmarkStart w:id="2" w:name="_Toc371626599"/>
    </w:p>
    <w:p w:rsidR="00172B92" w:rsidRPr="0001237E" w:rsidRDefault="00415FFB" w:rsidP="00415FFB">
      <w:pPr>
        <w:pStyle w:val="A2"/>
        <w:numPr>
          <w:ilvl w:val="0"/>
          <w:numId w:val="0"/>
        </w:numPr>
        <w:ind w:left="1290" w:hanging="864"/>
        <w:rPr>
          <w:rFonts w:cs="Arial"/>
          <w:color w:val="000000"/>
          <w:sz w:val="22"/>
          <w:szCs w:val="22"/>
        </w:rPr>
      </w:pPr>
      <w:r>
        <w:rPr>
          <w:rFonts w:cs="Arial"/>
          <w:color w:val="000000"/>
          <w:sz w:val="22"/>
          <w:szCs w:val="22"/>
        </w:rPr>
        <w:t>4.</w:t>
      </w:r>
      <w:r>
        <w:rPr>
          <w:rFonts w:cs="Arial"/>
          <w:color w:val="000000"/>
          <w:sz w:val="22"/>
          <w:szCs w:val="22"/>
        </w:rPr>
        <w:tab/>
      </w:r>
      <w:r w:rsidR="00172B92" w:rsidRPr="00415FFB">
        <w:rPr>
          <w:rFonts w:cs="Arial"/>
          <w:b/>
          <w:color w:val="000000"/>
          <w:sz w:val="22"/>
          <w:szCs w:val="22"/>
          <w:u w:val="single"/>
        </w:rPr>
        <w:t>R</w:t>
      </w:r>
      <w:r w:rsidR="00650BC0">
        <w:rPr>
          <w:rFonts w:cs="Arial"/>
          <w:b/>
          <w:color w:val="000000"/>
          <w:sz w:val="22"/>
          <w:szCs w:val="22"/>
          <w:u w:val="single"/>
        </w:rPr>
        <w:t>IGHT TO CANCEL OR VARY THE PROCESS</w:t>
      </w:r>
      <w:bookmarkEnd w:id="2"/>
    </w:p>
    <w:p w:rsidR="00172B92" w:rsidRPr="004346E7" w:rsidRDefault="00415FFB" w:rsidP="00415FFB">
      <w:pPr>
        <w:pStyle w:val="A2"/>
        <w:numPr>
          <w:ilvl w:val="0"/>
          <w:numId w:val="0"/>
        </w:numPr>
        <w:ind w:left="1276" w:hanging="850"/>
        <w:rPr>
          <w:rFonts w:cs="Arial"/>
          <w:color w:val="000000"/>
          <w:sz w:val="22"/>
          <w:szCs w:val="22"/>
        </w:rPr>
      </w:pPr>
      <w:r>
        <w:rPr>
          <w:rFonts w:cs="Arial"/>
          <w:color w:val="000000"/>
          <w:sz w:val="22"/>
          <w:szCs w:val="22"/>
        </w:rPr>
        <w:t>4.1</w:t>
      </w:r>
      <w:r>
        <w:rPr>
          <w:rFonts w:cs="Arial"/>
          <w:color w:val="000000"/>
          <w:sz w:val="22"/>
          <w:szCs w:val="22"/>
        </w:rPr>
        <w:tab/>
      </w:r>
      <w:r w:rsidR="00172B92" w:rsidRPr="004346E7">
        <w:rPr>
          <w:rFonts w:cs="Arial"/>
          <w:color w:val="000000"/>
          <w:sz w:val="22"/>
          <w:szCs w:val="22"/>
        </w:rPr>
        <w:t>The Authority reserves the right:</w:t>
      </w:r>
    </w:p>
    <w:p w:rsidR="00172B92" w:rsidRPr="004346E7" w:rsidRDefault="00415FFB" w:rsidP="00415FFB">
      <w:pPr>
        <w:pStyle w:val="A3"/>
        <w:numPr>
          <w:ilvl w:val="0"/>
          <w:numId w:val="0"/>
        </w:numPr>
        <w:ind w:left="851"/>
        <w:rPr>
          <w:sz w:val="22"/>
          <w:szCs w:val="22"/>
        </w:rPr>
      </w:pPr>
      <w:r>
        <w:rPr>
          <w:sz w:val="22"/>
          <w:szCs w:val="22"/>
        </w:rPr>
        <w:tab/>
        <w:t xml:space="preserve">4.1.1 </w:t>
      </w:r>
      <w:r w:rsidR="00172B92" w:rsidRPr="004346E7">
        <w:rPr>
          <w:sz w:val="22"/>
          <w:szCs w:val="22"/>
        </w:rPr>
        <w:t xml:space="preserve">to abandon the </w:t>
      </w:r>
      <w:r w:rsidR="0051287C">
        <w:rPr>
          <w:sz w:val="22"/>
          <w:szCs w:val="22"/>
        </w:rPr>
        <w:t>q</w:t>
      </w:r>
      <w:r w:rsidR="0051287C" w:rsidRPr="004346E7">
        <w:rPr>
          <w:sz w:val="22"/>
          <w:szCs w:val="22"/>
        </w:rPr>
        <w:t xml:space="preserve">uotation </w:t>
      </w:r>
      <w:r w:rsidR="00172B92" w:rsidRPr="004346E7">
        <w:rPr>
          <w:sz w:val="22"/>
          <w:szCs w:val="22"/>
        </w:rPr>
        <w:t>process at any stage;</w:t>
      </w:r>
    </w:p>
    <w:p w:rsidR="00172B92" w:rsidRDefault="00415FFB" w:rsidP="006C6AD0">
      <w:pPr>
        <w:pStyle w:val="A3"/>
        <w:numPr>
          <w:ilvl w:val="0"/>
          <w:numId w:val="0"/>
        </w:numPr>
        <w:ind w:left="851"/>
        <w:rPr>
          <w:sz w:val="22"/>
          <w:szCs w:val="22"/>
        </w:rPr>
      </w:pPr>
      <w:r>
        <w:rPr>
          <w:sz w:val="22"/>
          <w:szCs w:val="22"/>
        </w:rPr>
        <w:tab/>
        <w:t xml:space="preserve">4.1.2 </w:t>
      </w:r>
      <w:r w:rsidR="00172B92" w:rsidRPr="004346E7">
        <w:rPr>
          <w:sz w:val="22"/>
          <w:szCs w:val="22"/>
        </w:rPr>
        <w:t>not to award a contract</w:t>
      </w:r>
      <w:r w:rsidR="004273A1">
        <w:rPr>
          <w:sz w:val="22"/>
          <w:szCs w:val="22"/>
        </w:rPr>
        <w:t xml:space="preserve"> or any contracts</w:t>
      </w:r>
      <w:r w:rsidR="00172B92" w:rsidRPr="004346E7">
        <w:rPr>
          <w:sz w:val="22"/>
          <w:szCs w:val="22"/>
        </w:rPr>
        <w:t>;</w:t>
      </w:r>
    </w:p>
    <w:p w:rsidR="00172B92" w:rsidRPr="004346E7" w:rsidRDefault="00415FFB" w:rsidP="00415FFB">
      <w:pPr>
        <w:pStyle w:val="A3"/>
        <w:numPr>
          <w:ilvl w:val="0"/>
          <w:numId w:val="0"/>
        </w:numPr>
        <w:ind w:left="1985" w:hanging="567"/>
        <w:rPr>
          <w:sz w:val="22"/>
          <w:szCs w:val="22"/>
        </w:rPr>
      </w:pPr>
      <w:r>
        <w:rPr>
          <w:sz w:val="22"/>
          <w:szCs w:val="22"/>
        </w:rPr>
        <w:t>4.1.3</w:t>
      </w:r>
      <w:r>
        <w:rPr>
          <w:sz w:val="22"/>
          <w:szCs w:val="22"/>
        </w:rPr>
        <w:tab/>
        <w:t>t</w:t>
      </w:r>
      <w:r w:rsidR="00172B92" w:rsidRPr="004346E7">
        <w:rPr>
          <w:sz w:val="22"/>
          <w:szCs w:val="22"/>
        </w:rPr>
        <w:t xml:space="preserve">o require a </w:t>
      </w:r>
      <w:r w:rsidR="00E26613">
        <w:rPr>
          <w:sz w:val="22"/>
          <w:szCs w:val="22"/>
        </w:rPr>
        <w:t>supplier</w:t>
      </w:r>
      <w:r w:rsidR="0051287C" w:rsidRPr="004346E7">
        <w:rPr>
          <w:sz w:val="22"/>
          <w:szCs w:val="22"/>
        </w:rPr>
        <w:t xml:space="preserve"> </w:t>
      </w:r>
      <w:r w:rsidR="00172B92" w:rsidRPr="004346E7">
        <w:rPr>
          <w:sz w:val="22"/>
          <w:szCs w:val="22"/>
        </w:rPr>
        <w:t xml:space="preserve">to clarify its submission in writing and/or provide additional information (failure to respond adequately may result in a </w:t>
      </w:r>
      <w:r w:rsidR="00E26613">
        <w:rPr>
          <w:sz w:val="22"/>
          <w:szCs w:val="22"/>
        </w:rPr>
        <w:t>supplier</w:t>
      </w:r>
      <w:r w:rsidR="0051287C" w:rsidRPr="004346E7">
        <w:rPr>
          <w:sz w:val="22"/>
          <w:szCs w:val="22"/>
        </w:rPr>
        <w:t xml:space="preserve"> </w:t>
      </w:r>
      <w:r w:rsidR="00172B92" w:rsidRPr="004346E7">
        <w:rPr>
          <w:sz w:val="22"/>
          <w:szCs w:val="22"/>
        </w:rPr>
        <w:t xml:space="preserve">not being successful); and/or </w:t>
      </w:r>
    </w:p>
    <w:p w:rsidR="00172B92" w:rsidRDefault="00415FFB" w:rsidP="00415FFB">
      <w:pPr>
        <w:pStyle w:val="A3"/>
        <w:numPr>
          <w:ilvl w:val="0"/>
          <w:numId w:val="0"/>
        </w:numPr>
        <w:ind w:left="1985" w:hanging="567"/>
        <w:rPr>
          <w:sz w:val="22"/>
          <w:szCs w:val="22"/>
        </w:rPr>
      </w:pPr>
      <w:r>
        <w:rPr>
          <w:sz w:val="22"/>
          <w:szCs w:val="22"/>
        </w:rPr>
        <w:t>4.1.4</w:t>
      </w:r>
      <w:r>
        <w:rPr>
          <w:sz w:val="22"/>
          <w:szCs w:val="22"/>
        </w:rPr>
        <w:tab/>
      </w:r>
      <w:r w:rsidR="00172B92" w:rsidRPr="004346E7">
        <w:rPr>
          <w:sz w:val="22"/>
          <w:szCs w:val="22"/>
        </w:rPr>
        <w:t xml:space="preserve">amend the terms and conditions of the </w:t>
      </w:r>
      <w:r w:rsidR="0051287C">
        <w:rPr>
          <w:sz w:val="22"/>
          <w:szCs w:val="22"/>
        </w:rPr>
        <w:t>q</w:t>
      </w:r>
      <w:r w:rsidR="0051287C" w:rsidRPr="004346E7">
        <w:rPr>
          <w:sz w:val="22"/>
          <w:szCs w:val="22"/>
        </w:rPr>
        <w:t xml:space="preserve">uotation </w:t>
      </w:r>
      <w:r w:rsidR="00172B92" w:rsidRPr="004346E7">
        <w:rPr>
          <w:sz w:val="22"/>
          <w:szCs w:val="22"/>
        </w:rPr>
        <w:t>process.</w:t>
      </w:r>
    </w:p>
    <w:p w:rsidR="004C38EC" w:rsidRDefault="004C38EC" w:rsidP="0004475F">
      <w:pPr>
        <w:pStyle w:val="A3"/>
        <w:numPr>
          <w:ilvl w:val="0"/>
          <w:numId w:val="0"/>
        </w:numPr>
        <w:rPr>
          <w:sz w:val="22"/>
          <w:szCs w:val="22"/>
        </w:rPr>
      </w:pPr>
    </w:p>
    <w:p w:rsidR="00172B92" w:rsidRPr="00650BC0" w:rsidRDefault="00172B92" w:rsidP="00650BC0">
      <w:pPr>
        <w:pStyle w:val="A1"/>
        <w:numPr>
          <w:ilvl w:val="0"/>
          <w:numId w:val="33"/>
        </w:numPr>
        <w:tabs>
          <w:tab w:val="clear" w:pos="576"/>
        </w:tabs>
        <w:ind w:left="1276" w:hanging="850"/>
        <w:rPr>
          <w:rFonts w:cs="Arial"/>
          <w:color w:val="000000"/>
          <w:sz w:val="22"/>
          <w:szCs w:val="22"/>
        </w:rPr>
      </w:pPr>
      <w:bookmarkStart w:id="3" w:name="_Toc371626600"/>
      <w:r w:rsidRPr="00650BC0">
        <w:rPr>
          <w:rFonts w:cs="Arial"/>
          <w:color w:val="000000"/>
          <w:sz w:val="22"/>
          <w:szCs w:val="22"/>
        </w:rPr>
        <w:t xml:space="preserve">Considerations Prior To Submission Of </w:t>
      </w:r>
      <w:r w:rsidR="004346E7" w:rsidRPr="00650BC0">
        <w:rPr>
          <w:rFonts w:cs="Arial"/>
          <w:color w:val="000000"/>
          <w:sz w:val="22"/>
          <w:szCs w:val="22"/>
        </w:rPr>
        <w:t>Quotation</w:t>
      </w:r>
      <w:bookmarkEnd w:id="3"/>
    </w:p>
    <w:p w:rsidR="00172B92" w:rsidRPr="004346E7" w:rsidRDefault="00172B92" w:rsidP="00650BC0">
      <w:pPr>
        <w:pStyle w:val="A2"/>
        <w:tabs>
          <w:tab w:val="clear" w:pos="4692"/>
        </w:tabs>
        <w:ind w:left="1276" w:hanging="850"/>
        <w:rPr>
          <w:rFonts w:cs="Arial"/>
          <w:b/>
          <w:color w:val="000000"/>
          <w:sz w:val="22"/>
          <w:szCs w:val="22"/>
        </w:rPr>
      </w:pPr>
      <w:bookmarkStart w:id="4" w:name="_Toc506726722"/>
      <w:r w:rsidRPr="004346E7">
        <w:rPr>
          <w:rFonts w:cs="Arial"/>
          <w:b/>
          <w:color w:val="000000"/>
          <w:sz w:val="22"/>
          <w:szCs w:val="22"/>
        </w:rPr>
        <w:t>Sufficiency of information</w:t>
      </w:r>
      <w:bookmarkEnd w:id="4"/>
    </w:p>
    <w:p w:rsidR="00172B92" w:rsidRPr="004346E7" w:rsidRDefault="00172B92" w:rsidP="004346E7">
      <w:pPr>
        <w:pStyle w:val="A3"/>
        <w:ind w:left="1276" w:hanging="850"/>
        <w:rPr>
          <w:sz w:val="22"/>
          <w:szCs w:val="22"/>
        </w:rPr>
      </w:pPr>
      <w:r w:rsidRPr="004346E7">
        <w:rPr>
          <w:sz w:val="22"/>
          <w:szCs w:val="22"/>
        </w:rPr>
        <w:lastRenderedPageBreak/>
        <w:t xml:space="preserve">The </w:t>
      </w:r>
      <w:r w:rsidR="00152556">
        <w:rPr>
          <w:sz w:val="22"/>
          <w:szCs w:val="22"/>
        </w:rPr>
        <w:t>S</w:t>
      </w:r>
      <w:r w:rsidR="00E26613">
        <w:rPr>
          <w:sz w:val="22"/>
          <w:szCs w:val="22"/>
        </w:rPr>
        <w:t>upplier</w:t>
      </w:r>
      <w:r w:rsidR="00BE61D6" w:rsidRPr="004346E7">
        <w:rPr>
          <w:sz w:val="22"/>
          <w:szCs w:val="22"/>
        </w:rPr>
        <w:t xml:space="preserve"> </w:t>
      </w:r>
      <w:r w:rsidRPr="004346E7">
        <w:rPr>
          <w:sz w:val="22"/>
          <w:szCs w:val="22"/>
        </w:rPr>
        <w:t xml:space="preserve">shall ensure that it is familiar with the content, the extent and nature of its obligations as outlined in the </w:t>
      </w:r>
      <w:r w:rsidR="00BE61D6">
        <w:rPr>
          <w:sz w:val="22"/>
          <w:szCs w:val="22"/>
        </w:rPr>
        <w:t>RFQ</w:t>
      </w:r>
      <w:r w:rsidR="00BE61D6" w:rsidRPr="004346E7">
        <w:rPr>
          <w:sz w:val="22"/>
          <w:szCs w:val="22"/>
        </w:rPr>
        <w:t xml:space="preserve"> </w:t>
      </w:r>
      <w:r w:rsidRPr="004346E7">
        <w:rPr>
          <w:sz w:val="22"/>
          <w:szCs w:val="22"/>
        </w:rPr>
        <w:t xml:space="preserve">documents and shall in any event be deemed to have done so before submitting its </w:t>
      </w:r>
      <w:r w:rsidR="00BE61D6">
        <w:rPr>
          <w:sz w:val="22"/>
          <w:szCs w:val="22"/>
        </w:rPr>
        <w:t>q</w:t>
      </w:r>
      <w:r w:rsidR="00BE61D6" w:rsidRPr="004346E7">
        <w:rPr>
          <w:sz w:val="22"/>
          <w:szCs w:val="22"/>
        </w:rPr>
        <w:t>uotation</w:t>
      </w:r>
      <w:r w:rsidRPr="004346E7">
        <w:rPr>
          <w:sz w:val="22"/>
          <w:szCs w:val="22"/>
        </w:rPr>
        <w:t>.</w:t>
      </w:r>
    </w:p>
    <w:p w:rsidR="00172B92" w:rsidRPr="004346E7" w:rsidRDefault="00172B92" w:rsidP="004346E7">
      <w:pPr>
        <w:pStyle w:val="A3"/>
        <w:ind w:left="1276" w:hanging="850"/>
        <w:rPr>
          <w:sz w:val="22"/>
          <w:szCs w:val="22"/>
        </w:rPr>
      </w:pPr>
      <w:r w:rsidRPr="004346E7">
        <w:rPr>
          <w:sz w:val="22"/>
          <w:szCs w:val="22"/>
        </w:rPr>
        <w:t xml:space="preserve">The </w:t>
      </w:r>
      <w:r w:rsidR="00152556">
        <w:rPr>
          <w:sz w:val="22"/>
          <w:szCs w:val="22"/>
        </w:rPr>
        <w:t>S</w:t>
      </w:r>
      <w:r w:rsidR="00E26613">
        <w:rPr>
          <w:sz w:val="22"/>
          <w:szCs w:val="22"/>
        </w:rPr>
        <w:t>upplier</w:t>
      </w:r>
      <w:r w:rsidR="00BE61D6" w:rsidRPr="004346E7">
        <w:rPr>
          <w:sz w:val="22"/>
          <w:szCs w:val="22"/>
        </w:rPr>
        <w:t xml:space="preserve"> </w:t>
      </w:r>
      <w:r w:rsidRPr="004346E7">
        <w:rPr>
          <w:sz w:val="22"/>
          <w:szCs w:val="22"/>
        </w:rPr>
        <w:t xml:space="preserve">will be deemed for all purposes connected with the </w:t>
      </w:r>
      <w:r w:rsidR="00BE61D6">
        <w:rPr>
          <w:sz w:val="22"/>
          <w:szCs w:val="22"/>
        </w:rPr>
        <w:t>RFQ</w:t>
      </w:r>
      <w:r w:rsidR="00BE61D6" w:rsidRPr="004346E7">
        <w:rPr>
          <w:sz w:val="22"/>
          <w:szCs w:val="22"/>
        </w:rPr>
        <w:t xml:space="preserve"> </w:t>
      </w:r>
      <w:r w:rsidRPr="004346E7">
        <w:rPr>
          <w:sz w:val="22"/>
          <w:szCs w:val="22"/>
        </w:rPr>
        <w:t xml:space="preserve">documents to have carried out all research, investigations and enquiries which can reasonably be carried out and to have satisfied itself as to the nature, extent, volume and character of the Services (in the context of and as described in the Specification) and the extent of the personnel, equipment, assets, plant and machinery which may be required and any other matter which may affect its </w:t>
      </w:r>
      <w:r w:rsidR="00BE61D6">
        <w:rPr>
          <w:sz w:val="22"/>
          <w:szCs w:val="22"/>
        </w:rPr>
        <w:t>q</w:t>
      </w:r>
      <w:r w:rsidR="00BE61D6" w:rsidRPr="004346E7">
        <w:rPr>
          <w:sz w:val="22"/>
          <w:szCs w:val="22"/>
        </w:rPr>
        <w:t>uotation</w:t>
      </w:r>
      <w:r w:rsidRPr="004346E7">
        <w:rPr>
          <w:sz w:val="22"/>
          <w:szCs w:val="22"/>
        </w:rPr>
        <w:t>.</w:t>
      </w:r>
    </w:p>
    <w:p w:rsidR="00172B92" w:rsidRPr="0001237E" w:rsidRDefault="00172B92" w:rsidP="00650BC0">
      <w:pPr>
        <w:pStyle w:val="A2"/>
        <w:tabs>
          <w:tab w:val="clear" w:pos="4692"/>
        </w:tabs>
        <w:ind w:left="1276" w:hanging="850"/>
        <w:rPr>
          <w:rFonts w:cs="Arial"/>
          <w:b/>
          <w:color w:val="000000"/>
          <w:sz w:val="22"/>
          <w:szCs w:val="22"/>
        </w:rPr>
      </w:pPr>
      <w:bookmarkStart w:id="5" w:name="_Toc506726723"/>
      <w:r w:rsidRPr="0001237E">
        <w:rPr>
          <w:rFonts w:cs="Arial"/>
          <w:b/>
          <w:color w:val="000000"/>
          <w:sz w:val="22"/>
          <w:szCs w:val="22"/>
        </w:rPr>
        <w:t>Costs and expenses</w:t>
      </w:r>
      <w:bookmarkEnd w:id="5"/>
    </w:p>
    <w:p w:rsidR="00172B92" w:rsidRPr="004346E7" w:rsidRDefault="00172B92" w:rsidP="004346E7">
      <w:pPr>
        <w:pStyle w:val="A3"/>
        <w:ind w:left="1276" w:hanging="850"/>
        <w:rPr>
          <w:sz w:val="22"/>
          <w:szCs w:val="22"/>
        </w:rPr>
      </w:pPr>
      <w:r w:rsidRPr="004346E7">
        <w:rPr>
          <w:sz w:val="22"/>
          <w:szCs w:val="22"/>
        </w:rPr>
        <w:t xml:space="preserve">All costs, expenses and liabilities incurred by the </w:t>
      </w:r>
      <w:r w:rsidR="00E26613">
        <w:rPr>
          <w:sz w:val="22"/>
          <w:szCs w:val="22"/>
        </w:rPr>
        <w:t>Supplier</w:t>
      </w:r>
      <w:r w:rsidR="00BE61D6" w:rsidRPr="004346E7">
        <w:rPr>
          <w:sz w:val="22"/>
          <w:szCs w:val="22"/>
        </w:rPr>
        <w:t xml:space="preserve"> </w:t>
      </w:r>
      <w:r w:rsidRPr="004346E7">
        <w:rPr>
          <w:sz w:val="22"/>
          <w:szCs w:val="22"/>
        </w:rPr>
        <w:t xml:space="preserve">in connection with preparation and submission of the </w:t>
      </w:r>
      <w:r w:rsidR="00BE61D6">
        <w:rPr>
          <w:sz w:val="22"/>
          <w:szCs w:val="22"/>
        </w:rPr>
        <w:t>q</w:t>
      </w:r>
      <w:r w:rsidR="00BE61D6" w:rsidRPr="004346E7">
        <w:rPr>
          <w:sz w:val="22"/>
          <w:szCs w:val="22"/>
        </w:rPr>
        <w:t xml:space="preserve">uotation </w:t>
      </w:r>
      <w:r w:rsidRPr="004346E7">
        <w:rPr>
          <w:sz w:val="22"/>
          <w:szCs w:val="22"/>
        </w:rPr>
        <w:t xml:space="preserve">will be borne by the </w:t>
      </w:r>
      <w:r w:rsidR="00E26613">
        <w:rPr>
          <w:sz w:val="22"/>
          <w:szCs w:val="22"/>
        </w:rPr>
        <w:t>supplier</w:t>
      </w:r>
      <w:r w:rsidRPr="004346E7">
        <w:rPr>
          <w:sz w:val="22"/>
          <w:szCs w:val="22"/>
        </w:rPr>
        <w:t>.</w:t>
      </w:r>
    </w:p>
    <w:p w:rsidR="00172B92" w:rsidRPr="004346E7" w:rsidRDefault="00172B92" w:rsidP="004346E7">
      <w:pPr>
        <w:pStyle w:val="A3"/>
        <w:ind w:left="1276" w:hanging="850"/>
        <w:rPr>
          <w:sz w:val="22"/>
          <w:szCs w:val="22"/>
        </w:rPr>
      </w:pPr>
      <w:r w:rsidRPr="004346E7">
        <w:rPr>
          <w:sz w:val="22"/>
          <w:szCs w:val="22"/>
        </w:rPr>
        <w:t xml:space="preserve">The </w:t>
      </w:r>
      <w:r w:rsidR="00E26613">
        <w:rPr>
          <w:sz w:val="22"/>
          <w:szCs w:val="22"/>
        </w:rPr>
        <w:t>supplier</w:t>
      </w:r>
      <w:r w:rsidR="00BE61D6" w:rsidRPr="004346E7">
        <w:rPr>
          <w:sz w:val="22"/>
          <w:szCs w:val="22"/>
        </w:rPr>
        <w:t xml:space="preserve"> </w:t>
      </w:r>
      <w:r w:rsidRPr="004346E7">
        <w:rPr>
          <w:sz w:val="22"/>
          <w:szCs w:val="22"/>
        </w:rPr>
        <w:t xml:space="preserve">shall have no claim whatsoever against the Authority in respect of such costs and in particular (but without limitation) the Authority shall not make any payments to the successful </w:t>
      </w:r>
      <w:r w:rsidR="00E26613">
        <w:rPr>
          <w:sz w:val="22"/>
          <w:szCs w:val="22"/>
        </w:rPr>
        <w:t>supplier</w:t>
      </w:r>
      <w:r w:rsidR="00BE61D6" w:rsidRPr="004346E7">
        <w:rPr>
          <w:sz w:val="22"/>
          <w:szCs w:val="22"/>
        </w:rPr>
        <w:t xml:space="preserve"> </w:t>
      </w:r>
      <w:r w:rsidRPr="004346E7">
        <w:rPr>
          <w:sz w:val="22"/>
          <w:szCs w:val="22"/>
        </w:rPr>
        <w:t xml:space="preserve">or any other </w:t>
      </w:r>
      <w:r w:rsidR="00E26613">
        <w:rPr>
          <w:sz w:val="22"/>
          <w:szCs w:val="22"/>
        </w:rPr>
        <w:t>supplier</w:t>
      </w:r>
      <w:r w:rsidR="00BE61D6">
        <w:rPr>
          <w:sz w:val="22"/>
          <w:szCs w:val="22"/>
        </w:rPr>
        <w:t xml:space="preserve"> </w:t>
      </w:r>
      <w:r w:rsidRPr="004346E7">
        <w:rPr>
          <w:sz w:val="22"/>
          <w:szCs w:val="22"/>
        </w:rPr>
        <w:t xml:space="preserve">save as expressly provided for in the Contract and (save to the extent set out in the </w:t>
      </w:r>
      <w:r w:rsidR="00BE61D6">
        <w:rPr>
          <w:sz w:val="22"/>
          <w:szCs w:val="22"/>
        </w:rPr>
        <w:t>RFQ</w:t>
      </w:r>
      <w:r w:rsidR="00BE61D6" w:rsidRPr="004346E7">
        <w:rPr>
          <w:sz w:val="22"/>
          <w:szCs w:val="22"/>
        </w:rPr>
        <w:t xml:space="preserve"> </w:t>
      </w:r>
      <w:r w:rsidRPr="004346E7">
        <w:rPr>
          <w:sz w:val="22"/>
          <w:szCs w:val="22"/>
        </w:rPr>
        <w:t xml:space="preserve">documents) no compensation or remuneration shall otherwise be payable by the Authority to the successful </w:t>
      </w:r>
      <w:r w:rsidR="00E26613">
        <w:rPr>
          <w:sz w:val="22"/>
          <w:szCs w:val="22"/>
        </w:rPr>
        <w:t>supplier</w:t>
      </w:r>
      <w:r w:rsidR="00BE61D6" w:rsidRPr="004346E7">
        <w:rPr>
          <w:sz w:val="22"/>
          <w:szCs w:val="22"/>
        </w:rPr>
        <w:t xml:space="preserve"> </w:t>
      </w:r>
      <w:r w:rsidRPr="004346E7">
        <w:rPr>
          <w:sz w:val="22"/>
          <w:szCs w:val="22"/>
        </w:rPr>
        <w:t xml:space="preserve">in respect of the Services by reason of the scope of the Services being different from that envisaged by the successful </w:t>
      </w:r>
      <w:r w:rsidR="00E26613">
        <w:rPr>
          <w:sz w:val="22"/>
          <w:szCs w:val="22"/>
        </w:rPr>
        <w:t>supplier</w:t>
      </w:r>
      <w:r w:rsidR="00BE61D6" w:rsidRPr="004346E7">
        <w:rPr>
          <w:sz w:val="22"/>
          <w:szCs w:val="22"/>
        </w:rPr>
        <w:t xml:space="preserve"> </w:t>
      </w:r>
      <w:r w:rsidRPr="004346E7">
        <w:rPr>
          <w:sz w:val="22"/>
          <w:szCs w:val="22"/>
        </w:rPr>
        <w:t>or otherwise.</w:t>
      </w:r>
    </w:p>
    <w:p w:rsidR="00172B92" w:rsidRPr="0001237E" w:rsidRDefault="00172B92" w:rsidP="00650BC0">
      <w:pPr>
        <w:pStyle w:val="A2"/>
        <w:tabs>
          <w:tab w:val="clear" w:pos="4692"/>
        </w:tabs>
        <w:ind w:left="1276" w:hanging="850"/>
        <w:rPr>
          <w:rFonts w:cs="Arial"/>
          <w:b/>
          <w:color w:val="000000"/>
          <w:sz w:val="22"/>
          <w:szCs w:val="22"/>
        </w:rPr>
      </w:pPr>
      <w:bookmarkStart w:id="6" w:name="_Toc506726724"/>
      <w:r w:rsidRPr="0001237E">
        <w:rPr>
          <w:rFonts w:cs="Arial"/>
          <w:b/>
          <w:color w:val="000000"/>
          <w:sz w:val="22"/>
          <w:szCs w:val="22"/>
        </w:rPr>
        <w:t>Further information and enquiries</w:t>
      </w:r>
      <w:bookmarkEnd w:id="6"/>
      <w:r w:rsidRPr="0001237E">
        <w:rPr>
          <w:rFonts w:cs="Arial"/>
          <w:b/>
          <w:color w:val="000000"/>
          <w:sz w:val="22"/>
          <w:szCs w:val="22"/>
        </w:rPr>
        <w:t xml:space="preserve"> </w:t>
      </w:r>
    </w:p>
    <w:p w:rsidR="00172B92" w:rsidRPr="004346E7" w:rsidRDefault="00172B92" w:rsidP="004346E7">
      <w:pPr>
        <w:pStyle w:val="A3"/>
        <w:ind w:left="1276" w:hanging="850"/>
        <w:rPr>
          <w:sz w:val="22"/>
          <w:szCs w:val="22"/>
        </w:rPr>
      </w:pPr>
      <w:r w:rsidRPr="004346E7">
        <w:rPr>
          <w:sz w:val="22"/>
          <w:szCs w:val="22"/>
        </w:rPr>
        <w:t>Any questions about this procurement should be submitted in writing via the capitalEsourcing</w:t>
      </w:r>
      <w:r w:rsidR="00A65DBC">
        <w:rPr>
          <w:sz w:val="22"/>
          <w:szCs w:val="22"/>
        </w:rPr>
        <w:t xml:space="preserve"> </w:t>
      </w:r>
      <w:r w:rsidRPr="004346E7">
        <w:rPr>
          <w:sz w:val="22"/>
          <w:szCs w:val="22"/>
        </w:rPr>
        <w:t xml:space="preserve">Portal. </w:t>
      </w:r>
      <w:r w:rsidR="009B17B7">
        <w:rPr>
          <w:sz w:val="22"/>
          <w:szCs w:val="22"/>
        </w:rPr>
        <w:t xml:space="preserve">Suppliers </w:t>
      </w:r>
      <w:r w:rsidRPr="004346E7">
        <w:rPr>
          <w:sz w:val="22"/>
          <w:szCs w:val="22"/>
        </w:rPr>
        <w:t xml:space="preserve">must clearly indicate, when submitting a question, which (if any) part of their question they view as confidential and applicable only to the </w:t>
      </w:r>
      <w:r w:rsidR="009B17B7">
        <w:rPr>
          <w:sz w:val="22"/>
          <w:szCs w:val="22"/>
        </w:rPr>
        <w:t>supplier</w:t>
      </w:r>
      <w:r w:rsidR="009B17B7" w:rsidRPr="004346E7">
        <w:rPr>
          <w:sz w:val="22"/>
          <w:szCs w:val="22"/>
        </w:rPr>
        <w:t xml:space="preserve"> </w:t>
      </w:r>
      <w:r w:rsidRPr="004346E7">
        <w:rPr>
          <w:sz w:val="22"/>
          <w:szCs w:val="22"/>
        </w:rPr>
        <w:t xml:space="preserve">submitting the question. If the Authority does not agree that the question is confidential and applicable only to the </w:t>
      </w:r>
      <w:r w:rsidR="009B17B7">
        <w:rPr>
          <w:sz w:val="22"/>
          <w:szCs w:val="22"/>
        </w:rPr>
        <w:t>supplier</w:t>
      </w:r>
      <w:r w:rsidRPr="004346E7">
        <w:rPr>
          <w:sz w:val="22"/>
          <w:szCs w:val="22"/>
        </w:rPr>
        <w:t xml:space="preserve">, the </w:t>
      </w:r>
      <w:r w:rsidR="009B17B7">
        <w:rPr>
          <w:sz w:val="22"/>
          <w:szCs w:val="22"/>
        </w:rPr>
        <w:t>supplier</w:t>
      </w:r>
      <w:r w:rsidR="009B17B7" w:rsidRPr="004346E7">
        <w:rPr>
          <w:sz w:val="22"/>
          <w:szCs w:val="22"/>
        </w:rPr>
        <w:t xml:space="preserve"> </w:t>
      </w:r>
      <w:r w:rsidRPr="004346E7">
        <w:rPr>
          <w:sz w:val="22"/>
          <w:szCs w:val="22"/>
        </w:rPr>
        <w:t>will be given the right to withdraw the question without it being answered.</w:t>
      </w:r>
    </w:p>
    <w:p w:rsidR="00172B92" w:rsidRPr="001644D6" w:rsidRDefault="00172B92" w:rsidP="00650BC0">
      <w:pPr>
        <w:pStyle w:val="A3"/>
        <w:tabs>
          <w:tab w:val="clear" w:pos="2429"/>
        </w:tabs>
        <w:ind w:left="1276" w:hanging="851"/>
        <w:rPr>
          <w:sz w:val="22"/>
          <w:szCs w:val="22"/>
        </w:rPr>
      </w:pPr>
      <w:r w:rsidRPr="00AC5A59">
        <w:rPr>
          <w:sz w:val="22"/>
          <w:szCs w:val="22"/>
        </w:rPr>
        <w:t>Once the procurement event is live</w:t>
      </w:r>
      <w:r w:rsidR="00CE1988" w:rsidRPr="00AC5A59">
        <w:rPr>
          <w:sz w:val="22"/>
          <w:szCs w:val="22"/>
        </w:rPr>
        <w:t>,</w:t>
      </w:r>
      <w:r w:rsidRPr="00AC5A59">
        <w:rPr>
          <w:sz w:val="22"/>
          <w:szCs w:val="22"/>
        </w:rPr>
        <w:t xml:space="preserve"> a </w:t>
      </w:r>
      <w:r w:rsidR="00E26613" w:rsidRPr="00AC5A59">
        <w:rPr>
          <w:sz w:val="22"/>
          <w:szCs w:val="22"/>
        </w:rPr>
        <w:t>supplier</w:t>
      </w:r>
      <w:r w:rsidR="00D43463" w:rsidRPr="00AC5A59">
        <w:rPr>
          <w:sz w:val="22"/>
          <w:szCs w:val="22"/>
        </w:rPr>
        <w:t xml:space="preserve"> </w:t>
      </w:r>
      <w:r w:rsidRPr="00AC5A59">
        <w:rPr>
          <w:sz w:val="22"/>
          <w:szCs w:val="22"/>
        </w:rPr>
        <w:t>is able to s</w:t>
      </w:r>
      <w:r w:rsidRPr="001644D6">
        <w:rPr>
          <w:sz w:val="22"/>
          <w:szCs w:val="22"/>
        </w:rPr>
        <w:t xml:space="preserve">ubmit clarification questions through the Messages feature within the Portal, accessed via the 'Messages' tab. This should be used for all queries and requests for clarification regarding the </w:t>
      </w:r>
      <w:r w:rsidR="00D43463" w:rsidRPr="001644D6">
        <w:rPr>
          <w:sz w:val="22"/>
          <w:szCs w:val="22"/>
        </w:rPr>
        <w:t xml:space="preserve">procurement </w:t>
      </w:r>
      <w:r w:rsidRPr="001644D6">
        <w:rPr>
          <w:sz w:val="22"/>
          <w:szCs w:val="22"/>
        </w:rPr>
        <w:t xml:space="preserve">as it provides an effective and auditable trail. A </w:t>
      </w:r>
      <w:r w:rsidR="00E26613" w:rsidRPr="001644D6">
        <w:rPr>
          <w:sz w:val="22"/>
          <w:szCs w:val="22"/>
        </w:rPr>
        <w:t>supplier</w:t>
      </w:r>
      <w:r w:rsidR="00D43463" w:rsidRPr="001644D6">
        <w:rPr>
          <w:sz w:val="22"/>
          <w:szCs w:val="22"/>
        </w:rPr>
        <w:t xml:space="preserve">’s </w:t>
      </w:r>
      <w:r w:rsidRPr="001644D6">
        <w:rPr>
          <w:sz w:val="22"/>
          <w:szCs w:val="22"/>
        </w:rPr>
        <w:t xml:space="preserve">queries will be secure and cannot be seen by any other </w:t>
      </w:r>
      <w:r w:rsidR="00E26613" w:rsidRPr="001644D6">
        <w:rPr>
          <w:sz w:val="22"/>
          <w:szCs w:val="22"/>
        </w:rPr>
        <w:t>supplier</w:t>
      </w:r>
      <w:r w:rsidR="00D43463" w:rsidRPr="001644D6">
        <w:rPr>
          <w:sz w:val="22"/>
          <w:szCs w:val="22"/>
        </w:rPr>
        <w:t>s</w:t>
      </w:r>
      <w:r w:rsidRPr="001644D6">
        <w:rPr>
          <w:sz w:val="22"/>
          <w:szCs w:val="22"/>
        </w:rPr>
        <w:t xml:space="preserve">. The Authority will publish the question and the response, in a suitably anonymous form, via the Messages tool to all </w:t>
      </w:r>
      <w:r w:rsidR="00E26613" w:rsidRPr="001644D6">
        <w:rPr>
          <w:sz w:val="22"/>
          <w:szCs w:val="22"/>
        </w:rPr>
        <w:t>supplier</w:t>
      </w:r>
      <w:r w:rsidR="00D43463" w:rsidRPr="001644D6">
        <w:rPr>
          <w:sz w:val="22"/>
          <w:szCs w:val="22"/>
        </w:rPr>
        <w:t xml:space="preserve">s </w:t>
      </w:r>
      <w:r w:rsidRPr="001644D6">
        <w:rPr>
          <w:sz w:val="22"/>
          <w:szCs w:val="22"/>
        </w:rPr>
        <w:t xml:space="preserve">before the </w:t>
      </w:r>
      <w:r w:rsidR="00D43463" w:rsidRPr="001644D6">
        <w:rPr>
          <w:sz w:val="22"/>
          <w:szCs w:val="22"/>
        </w:rPr>
        <w:t>Deadline</w:t>
      </w:r>
      <w:r w:rsidRPr="001644D6">
        <w:rPr>
          <w:sz w:val="22"/>
          <w:szCs w:val="22"/>
        </w:rPr>
        <w:t xml:space="preserve">. </w:t>
      </w:r>
    </w:p>
    <w:p w:rsidR="00BE61D6" w:rsidRPr="001F46A4" w:rsidRDefault="00BE61D6" w:rsidP="00650BC0">
      <w:pPr>
        <w:pStyle w:val="A2"/>
        <w:tabs>
          <w:tab w:val="clear" w:pos="4692"/>
        </w:tabs>
        <w:ind w:left="1276" w:hanging="861"/>
        <w:rPr>
          <w:b/>
          <w:sz w:val="22"/>
          <w:szCs w:val="22"/>
        </w:rPr>
      </w:pPr>
      <w:r w:rsidRPr="001F46A4">
        <w:rPr>
          <w:b/>
          <w:sz w:val="22"/>
          <w:szCs w:val="22"/>
        </w:rPr>
        <w:t>Freedom of Informa</w:t>
      </w:r>
      <w:r w:rsidR="0045704A" w:rsidRPr="001F46A4">
        <w:rPr>
          <w:b/>
          <w:sz w:val="22"/>
          <w:szCs w:val="22"/>
        </w:rPr>
        <w:t>tion</w:t>
      </w:r>
    </w:p>
    <w:p w:rsidR="0045704A" w:rsidRDefault="0045704A" w:rsidP="00D43463">
      <w:pPr>
        <w:pStyle w:val="A3"/>
        <w:ind w:left="1276" w:hanging="850"/>
        <w:rPr>
          <w:sz w:val="22"/>
          <w:szCs w:val="22"/>
        </w:rPr>
      </w:pPr>
      <w:r>
        <w:rPr>
          <w:sz w:val="22"/>
          <w:szCs w:val="22"/>
        </w:rPr>
        <w:t xml:space="preserve">The Authority is subject to the provisions of the Freedom of Information Act 2000 and the Environmental Information Regulations 2004 (FOI). If the </w:t>
      </w:r>
      <w:r w:rsidR="00E26613">
        <w:rPr>
          <w:sz w:val="22"/>
          <w:szCs w:val="22"/>
        </w:rPr>
        <w:t>supplier</w:t>
      </w:r>
      <w:r>
        <w:rPr>
          <w:sz w:val="22"/>
          <w:szCs w:val="22"/>
        </w:rPr>
        <w:t xml:space="preserve"> considers that any information supplied by </w:t>
      </w:r>
      <w:r w:rsidR="00215622">
        <w:rPr>
          <w:sz w:val="22"/>
          <w:szCs w:val="22"/>
        </w:rPr>
        <w:t>it</w:t>
      </w:r>
      <w:r>
        <w:rPr>
          <w:sz w:val="22"/>
          <w:szCs w:val="22"/>
        </w:rPr>
        <w:t xml:space="preserve"> is either commercially sensitive or confidential in nature, this should be highlighted and the reasons for its sensitivity given. In such cases the relevant material will, in response to FOI requests, be examined in the light of the exemptions provided for under FOI.</w:t>
      </w:r>
    </w:p>
    <w:p w:rsidR="00D43463" w:rsidRDefault="00E26613" w:rsidP="00D43463">
      <w:pPr>
        <w:pStyle w:val="A3"/>
        <w:ind w:left="1276" w:hanging="850"/>
        <w:rPr>
          <w:sz w:val="22"/>
          <w:szCs w:val="22"/>
        </w:rPr>
      </w:pPr>
      <w:r>
        <w:rPr>
          <w:sz w:val="22"/>
          <w:szCs w:val="22"/>
        </w:rPr>
        <w:t>Supplier</w:t>
      </w:r>
      <w:r w:rsidR="00D43463">
        <w:rPr>
          <w:sz w:val="22"/>
          <w:szCs w:val="22"/>
        </w:rPr>
        <w:t xml:space="preserve">s shall treat all information supplied by the Authority in connection with this RFQ as confidential. Information may be disclosed by </w:t>
      </w:r>
      <w:r>
        <w:rPr>
          <w:sz w:val="22"/>
          <w:szCs w:val="22"/>
        </w:rPr>
        <w:t>supplier</w:t>
      </w:r>
      <w:r w:rsidR="00D43463">
        <w:rPr>
          <w:sz w:val="22"/>
          <w:szCs w:val="22"/>
        </w:rPr>
        <w:t>s insofar as is necessary for the preparation, submission and evaluation of quotations.</w:t>
      </w:r>
    </w:p>
    <w:p w:rsidR="00B62654" w:rsidRDefault="00B62654" w:rsidP="00F84DEF">
      <w:pPr>
        <w:pStyle w:val="A2"/>
        <w:numPr>
          <w:ilvl w:val="0"/>
          <w:numId w:val="0"/>
        </w:numPr>
        <w:ind w:left="1290" w:hanging="864"/>
        <w:jc w:val="left"/>
        <w:rPr>
          <w:sz w:val="22"/>
          <w:szCs w:val="22"/>
        </w:rPr>
      </w:pPr>
    </w:p>
    <w:p w:rsidR="00D018B0" w:rsidRPr="00650BC0" w:rsidRDefault="00D018B0" w:rsidP="00D018B0">
      <w:pPr>
        <w:pStyle w:val="A1"/>
        <w:tabs>
          <w:tab w:val="clear" w:pos="576"/>
          <w:tab w:val="num" w:pos="1276"/>
        </w:tabs>
        <w:ind w:hanging="150"/>
        <w:rPr>
          <w:rFonts w:cs="Arial"/>
          <w:color w:val="000000"/>
          <w:sz w:val="22"/>
          <w:szCs w:val="22"/>
        </w:rPr>
      </w:pPr>
      <w:r w:rsidRPr="00650BC0">
        <w:rPr>
          <w:rFonts w:cs="Arial"/>
          <w:color w:val="000000"/>
          <w:sz w:val="22"/>
          <w:szCs w:val="22"/>
        </w:rPr>
        <w:t>CAPITALESOURCING</w:t>
      </w:r>
    </w:p>
    <w:p w:rsidR="00D018B0" w:rsidRDefault="00D018B0" w:rsidP="00650BC0">
      <w:pPr>
        <w:pStyle w:val="A2"/>
        <w:tabs>
          <w:tab w:val="clear" w:pos="4692"/>
        </w:tabs>
        <w:ind w:left="1276" w:hanging="848"/>
        <w:rPr>
          <w:sz w:val="22"/>
        </w:rPr>
      </w:pPr>
      <w:r>
        <w:rPr>
          <w:sz w:val="22"/>
        </w:rPr>
        <w:t>t</w:t>
      </w:r>
      <w:r w:rsidRPr="00D018B0">
        <w:rPr>
          <w:sz w:val="22"/>
        </w:rPr>
        <w:t xml:space="preserve">his procurement is being executed through the Authority’s electronic procurement portal, capitalEsourcing.  The system enables you to access all the </w:t>
      </w:r>
      <w:r w:rsidRPr="00D018B0">
        <w:rPr>
          <w:sz w:val="22"/>
        </w:rPr>
        <w:lastRenderedPageBreak/>
        <w:t>relevant procurement documents, to download them, and upload your responses as well as submit your Contract Prices</w:t>
      </w:r>
      <w:r w:rsidR="0011160F">
        <w:rPr>
          <w:sz w:val="22"/>
        </w:rPr>
        <w:t xml:space="preserve">.  There are </w:t>
      </w:r>
      <w:r w:rsidR="00F40B89">
        <w:rPr>
          <w:sz w:val="22"/>
        </w:rPr>
        <w:t>two</w:t>
      </w:r>
      <w:r w:rsidRPr="00D018B0">
        <w:rPr>
          <w:sz w:val="22"/>
        </w:rPr>
        <w:t xml:space="preserve"> electronic envelopes called the Qualification Envelope,</w:t>
      </w:r>
      <w:r w:rsidR="00F40B89">
        <w:rPr>
          <w:sz w:val="22"/>
        </w:rPr>
        <w:t xml:space="preserve"> and the Technical Envelope</w:t>
      </w:r>
      <w:r w:rsidRPr="00D018B0">
        <w:rPr>
          <w:sz w:val="22"/>
        </w:rPr>
        <w:t>.</w:t>
      </w:r>
    </w:p>
    <w:p w:rsidR="00D018B0" w:rsidRPr="00650BC0" w:rsidRDefault="00D018B0" w:rsidP="00650BC0">
      <w:pPr>
        <w:pStyle w:val="A2"/>
        <w:numPr>
          <w:ilvl w:val="0"/>
          <w:numId w:val="0"/>
        </w:numPr>
        <w:ind w:left="1276" w:hanging="848"/>
        <w:rPr>
          <w:sz w:val="20"/>
        </w:rPr>
      </w:pPr>
    </w:p>
    <w:p w:rsidR="00D95A3F" w:rsidRPr="00650BC0" w:rsidRDefault="00650BC0" w:rsidP="00D018B0">
      <w:pPr>
        <w:pStyle w:val="A2"/>
        <w:numPr>
          <w:ilvl w:val="0"/>
          <w:numId w:val="0"/>
        </w:numPr>
        <w:ind w:left="1276" w:hanging="850"/>
        <w:rPr>
          <w:sz w:val="20"/>
        </w:rPr>
      </w:pPr>
      <w:r w:rsidRPr="00650BC0">
        <w:rPr>
          <w:rFonts w:cs="Arial"/>
          <w:b/>
          <w:color w:val="000000"/>
          <w:sz w:val="22"/>
          <w:szCs w:val="22"/>
        </w:rPr>
        <w:t>7</w:t>
      </w:r>
      <w:r w:rsidRPr="00650BC0">
        <w:rPr>
          <w:rFonts w:cs="Arial"/>
          <w:color w:val="000000"/>
          <w:sz w:val="22"/>
          <w:szCs w:val="22"/>
        </w:rPr>
        <w:t>.</w:t>
      </w:r>
      <w:r w:rsidR="00D018B0" w:rsidRPr="00650BC0">
        <w:rPr>
          <w:rFonts w:cs="Arial"/>
          <w:color w:val="000000"/>
          <w:sz w:val="22"/>
          <w:szCs w:val="22"/>
        </w:rPr>
        <w:tab/>
      </w:r>
      <w:r w:rsidR="000A130B" w:rsidRPr="00650BC0">
        <w:rPr>
          <w:rFonts w:cs="Arial"/>
          <w:b/>
          <w:color w:val="000000"/>
          <w:sz w:val="22"/>
          <w:szCs w:val="22"/>
          <w:u w:val="single"/>
        </w:rPr>
        <w:t>QUALIFICATION ENVELOP</w:t>
      </w:r>
      <w:r w:rsidR="00D018B0" w:rsidRPr="00650BC0">
        <w:rPr>
          <w:rFonts w:cs="Arial"/>
          <w:b/>
          <w:color w:val="000000"/>
          <w:sz w:val="22"/>
          <w:szCs w:val="22"/>
          <w:u w:val="single"/>
        </w:rPr>
        <w:t>E</w:t>
      </w:r>
    </w:p>
    <w:p w:rsidR="004273A1" w:rsidRDefault="00082C19" w:rsidP="002D0758">
      <w:pPr>
        <w:pStyle w:val="A2"/>
        <w:numPr>
          <w:ilvl w:val="0"/>
          <w:numId w:val="0"/>
        </w:numPr>
        <w:ind w:left="1290" w:hanging="864"/>
        <w:rPr>
          <w:sz w:val="22"/>
          <w:szCs w:val="22"/>
        </w:rPr>
      </w:pPr>
      <w:r>
        <w:rPr>
          <w:sz w:val="22"/>
          <w:szCs w:val="22"/>
        </w:rPr>
        <w:t>7.1</w:t>
      </w:r>
      <w:r w:rsidR="00D95A3F">
        <w:rPr>
          <w:sz w:val="22"/>
          <w:szCs w:val="22"/>
        </w:rPr>
        <w:tab/>
      </w:r>
      <w:r w:rsidR="00582E4D">
        <w:rPr>
          <w:sz w:val="22"/>
          <w:szCs w:val="22"/>
        </w:rPr>
        <w:t xml:space="preserve">The </w:t>
      </w:r>
      <w:r w:rsidR="002D0758">
        <w:rPr>
          <w:sz w:val="22"/>
          <w:szCs w:val="22"/>
        </w:rPr>
        <w:t>‘</w:t>
      </w:r>
      <w:r w:rsidR="00582E4D">
        <w:rPr>
          <w:sz w:val="22"/>
          <w:szCs w:val="22"/>
        </w:rPr>
        <w:t>Qualification Envelope</w:t>
      </w:r>
      <w:r w:rsidR="002D0758">
        <w:rPr>
          <w:sz w:val="22"/>
          <w:szCs w:val="22"/>
        </w:rPr>
        <w:t>’</w:t>
      </w:r>
      <w:r w:rsidR="00582E4D">
        <w:rPr>
          <w:sz w:val="22"/>
          <w:szCs w:val="22"/>
        </w:rPr>
        <w:t xml:space="preserve"> contains a number of forms that you should download, complete and upload. These include the Form of Tender which is your formal offer to provide the Services.</w:t>
      </w:r>
    </w:p>
    <w:p w:rsidR="00082C19" w:rsidRDefault="00082C19" w:rsidP="002D0758">
      <w:pPr>
        <w:pStyle w:val="A2"/>
        <w:numPr>
          <w:ilvl w:val="0"/>
          <w:numId w:val="0"/>
        </w:numPr>
        <w:ind w:left="1290" w:hanging="864"/>
        <w:rPr>
          <w:sz w:val="22"/>
          <w:szCs w:val="22"/>
        </w:rPr>
      </w:pPr>
      <w:r>
        <w:rPr>
          <w:sz w:val="22"/>
          <w:szCs w:val="22"/>
        </w:rPr>
        <w:t>7.2</w:t>
      </w:r>
      <w:r>
        <w:rPr>
          <w:sz w:val="22"/>
          <w:szCs w:val="22"/>
        </w:rPr>
        <w:tab/>
        <w:t>The Qualification Envelope also contains a number of requests for information that constitute pass/fail tests. These are set out at the bottom of Table 2 below.</w:t>
      </w:r>
    </w:p>
    <w:p w:rsidR="00082C19" w:rsidRDefault="00082C19" w:rsidP="002D0758">
      <w:pPr>
        <w:pStyle w:val="A2"/>
        <w:numPr>
          <w:ilvl w:val="0"/>
          <w:numId w:val="0"/>
        </w:numPr>
        <w:ind w:left="1290" w:hanging="864"/>
        <w:rPr>
          <w:sz w:val="22"/>
          <w:szCs w:val="22"/>
        </w:rPr>
      </w:pPr>
      <w:r>
        <w:rPr>
          <w:sz w:val="22"/>
          <w:szCs w:val="22"/>
        </w:rPr>
        <w:t>7.3</w:t>
      </w:r>
      <w:r>
        <w:rPr>
          <w:sz w:val="22"/>
          <w:szCs w:val="22"/>
        </w:rPr>
        <w:tab/>
        <w:t>You MUST provide the information requested. If you fail to do so, you will be disqualified from further participation in the competition.</w:t>
      </w:r>
    </w:p>
    <w:p w:rsidR="004273A1" w:rsidRPr="00650BC0" w:rsidRDefault="004273A1" w:rsidP="00F84DEF">
      <w:pPr>
        <w:pStyle w:val="A2"/>
        <w:numPr>
          <w:ilvl w:val="0"/>
          <w:numId w:val="0"/>
        </w:numPr>
        <w:ind w:left="1290" w:hanging="864"/>
        <w:jc w:val="left"/>
        <w:rPr>
          <w:sz w:val="20"/>
          <w:szCs w:val="22"/>
        </w:rPr>
      </w:pPr>
    </w:p>
    <w:p w:rsidR="00F84DEF" w:rsidRPr="00650BC0" w:rsidRDefault="00650BC0" w:rsidP="00F84DEF">
      <w:pPr>
        <w:pStyle w:val="A2"/>
        <w:numPr>
          <w:ilvl w:val="0"/>
          <w:numId w:val="0"/>
        </w:numPr>
        <w:ind w:left="1290" w:hanging="864"/>
        <w:jc w:val="left"/>
        <w:rPr>
          <w:b/>
          <w:sz w:val="22"/>
          <w:szCs w:val="22"/>
          <w:u w:val="single"/>
        </w:rPr>
      </w:pPr>
      <w:r w:rsidRPr="00650BC0">
        <w:rPr>
          <w:b/>
          <w:sz w:val="22"/>
          <w:szCs w:val="22"/>
        </w:rPr>
        <w:t>8</w:t>
      </w:r>
      <w:r w:rsidR="00F84DEF" w:rsidRPr="00650BC0">
        <w:rPr>
          <w:b/>
          <w:sz w:val="22"/>
          <w:szCs w:val="22"/>
        </w:rPr>
        <w:t>.</w:t>
      </w:r>
      <w:r w:rsidR="00F84DEF" w:rsidRPr="00650BC0">
        <w:rPr>
          <w:b/>
          <w:sz w:val="22"/>
          <w:szCs w:val="22"/>
        </w:rPr>
        <w:tab/>
      </w:r>
      <w:r w:rsidR="00F84DEF" w:rsidRPr="00650BC0">
        <w:rPr>
          <w:b/>
          <w:sz w:val="22"/>
          <w:szCs w:val="22"/>
          <w:u w:val="single"/>
        </w:rPr>
        <w:t xml:space="preserve">TECHNICAL RESPONSE ENVELOPE </w:t>
      </w:r>
    </w:p>
    <w:p w:rsidR="00F84DEF" w:rsidRDefault="00650BC0" w:rsidP="00E629B4">
      <w:pPr>
        <w:pStyle w:val="A2"/>
        <w:numPr>
          <w:ilvl w:val="0"/>
          <w:numId w:val="0"/>
        </w:numPr>
        <w:ind w:left="1290" w:hanging="864"/>
        <w:rPr>
          <w:sz w:val="22"/>
          <w:szCs w:val="22"/>
        </w:rPr>
      </w:pPr>
      <w:r>
        <w:rPr>
          <w:sz w:val="22"/>
          <w:szCs w:val="22"/>
        </w:rPr>
        <w:t>8</w:t>
      </w:r>
      <w:r w:rsidR="00F84DEF">
        <w:rPr>
          <w:sz w:val="22"/>
          <w:szCs w:val="22"/>
        </w:rPr>
        <w:t>.1</w:t>
      </w:r>
      <w:r w:rsidR="00F84DEF">
        <w:rPr>
          <w:sz w:val="22"/>
          <w:szCs w:val="22"/>
        </w:rPr>
        <w:tab/>
      </w:r>
      <w:r w:rsidR="00582E4D">
        <w:rPr>
          <w:sz w:val="22"/>
          <w:szCs w:val="22"/>
        </w:rPr>
        <w:t xml:space="preserve">The </w:t>
      </w:r>
      <w:r w:rsidR="00F84DEF">
        <w:rPr>
          <w:sz w:val="22"/>
          <w:szCs w:val="22"/>
        </w:rPr>
        <w:t>‘Technical Response Envelope’</w:t>
      </w:r>
      <w:r w:rsidR="00582E4D">
        <w:rPr>
          <w:sz w:val="22"/>
          <w:szCs w:val="22"/>
        </w:rPr>
        <w:t xml:space="preserve"> enables you to upload your responses to the award criteria. </w:t>
      </w:r>
      <w:r w:rsidR="00F84DEF">
        <w:rPr>
          <w:sz w:val="22"/>
          <w:szCs w:val="22"/>
        </w:rPr>
        <w:t>Responses will be evaluated in accordance with the award criteria, weightings and marking scheme in Tables 1 and 2 below.</w:t>
      </w:r>
    </w:p>
    <w:p w:rsidR="00D95A3F" w:rsidRDefault="00D95A3F" w:rsidP="00F40B89">
      <w:pPr>
        <w:pStyle w:val="A2"/>
        <w:numPr>
          <w:ilvl w:val="0"/>
          <w:numId w:val="0"/>
        </w:numPr>
        <w:jc w:val="left"/>
        <w:rPr>
          <w:sz w:val="22"/>
          <w:szCs w:val="22"/>
        </w:rPr>
      </w:pPr>
    </w:p>
    <w:p w:rsidR="00172B92" w:rsidRPr="00650BC0" w:rsidRDefault="00814E6C" w:rsidP="00F84DEF">
      <w:pPr>
        <w:pStyle w:val="A1"/>
        <w:numPr>
          <w:ilvl w:val="0"/>
          <w:numId w:val="0"/>
        </w:numPr>
        <w:ind w:left="1276" w:hanging="850"/>
        <w:rPr>
          <w:sz w:val="22"/>
        </w:rPr>
      </w:pPr>
      <w:r>
        <w:rPr>
          <w:sz w:val="22"/>
          <w:u w:val="none"/>
        </w:rPr>
        <w:t>9</w:t>
      </w:r>
      <w:r w:rsidR="00F84DEF" w:rsidRPr="00650BC0">
        <w:rPr>
          <w:sz w:val="22"/>
          <w:u w:val="none"/>
        </w:rPr>
        <w:t>.</w:t>
      </w:r>
      <w:r w:rsidR="00F84DEF" w:rsidRPr="00650BC0">
        <w:rPr>
          <w:sz w:val="22"/>
          <w:u w:val="none"/>
        </w:rPr>
        <w:tab/>
      </w:r>
      <w:r w:rsidR="00172B92" w:rsidRPr="00650BC0">
        <w:rPr>
          <w:sz w:val="22"/>
        </w:rPr>
        <w:t>Conditions of contract</w:t>
      </w:r>
    </w:p>
    <w:p w:rsidR="0002668D" w:rsidRDefault="00814E6C" w:rsidP="00A35461">
      <w:pPr>
        <w:pStyle w:val="A2"/>
        <w:numPr>
          <w:ilvl w:val="0"/>
          <w:numId w:val="0"/>
        </w:numPr>
        <w:ind w:left="1276" w:hanging="850"/>
        <w:rPr>
          <w:sz w:val="22"/>
        </w:rPr>
      </w:pPr>
      <w:r>
        <w:rPr>
          <w:sz w:val="22"/>
        </w:rPr>
        <w:t>9</w:t>
      </w:r>
      <w:r w:rsidR="00A35461" w:rsidRPr="00A35461">
        <w:rPr>
          <w:sz w:val="22"/>
        </w:rPr>
        <w:t>.1</w:t>
      </w:r>
      <w:r w:rsidR="00A35461" w:rsidRPr="00A35461">
        <w:rPr>
          <w:sz w:val="22"/>
        </w:rPr>
        <w:tab/>
      </w:r>
      <w:r w:rsidR="00E26613" w:rsidRPr="00A35461">
        <w:rPr>
          <w:sz w:val="22"/>
        </w:rPr>
        <w:t>Supplier</w:t>
      </w:r>
      <w:r w:rsidR="0045704A" w:rsidRPr="00A35461">
        <w:rPr>
          <w:sz w:val="22"/>
        </w:rPr>
        <w:t xml:space="preserve">s </w:t>
      </w:r>
      <w:r w:rsidR="00D43463" w:rsidRPr="00A35461">
        <w:rPr>
          <w:sz w:val="22"/>
        </w:rPr>
        <w:t>should ensure that they understand and accept</w:t>
      </w:r>
      <w:r w:rsidR="0045704A" w:rsidRPr="00A35461">
        <w:rPr>
          <w:sz w:val="22"/>
        </w:rPr>
        <w:t xml:space="preserve"> </w:t>
      </w:r>
      <w:r w:rsidR="00DB3072" w:rsidRPr="00A35461">
        <w:rPr>
          <w:sz w:val="22"/>
        </w:rPr>
        <w:t xml:space="preserve">the terms and conditions of Contract </w:t>
      </w:r>
      <w:r w:rsidR="00172B92" w:rsidRPr="00A35461">
        <w:rPr>
          <w:sz w:val="22"/>
        </w:rPr>
        <w:t xml:space="preserve">contained in the ‘Attachments’ section of this </w:t>
      </w:r>
      <w:r w:rsidR="0045704A" w:rsidRPr="00A35461">
        <w:rPr>
          <w:sz w:val="22"/>
        </w:rPr>
        <w:t>RFQ</w:t>
      </w:r>
      <w:r w:rsidR="00D43463" w:rsidRPr="00A35461">
        <w:rPr>
          <w:sz w:val="22"/>
        </w:rPr>
        <w:t xml:space="preserve"> before submitting their quotation</w:t>
      </w:r>
      <w:r w:rsidR="00172B92" w:rsidRPr="00A35461">
        <w:rPr>
          <w:sz w:val="22"/>
        </w:rPr>
        <w:t>.</w:t>
      </w:r>
      <w:r w:rsidR="0045704A" w:rsidRPr="00A35461">
        <w:rPr>
          <w:sz w:val="22"/>
        </w:rPr>
        <w:t xml:space="preserve"> </w:t>
      </w:r>
      <w:r w:rsidR="00F1697F" w:rsidRPr="00A35461">
        <w:rPr>
          <w:sz w:val="22"/>
        </w:rPr>
        <w:t>Amend</w:t>
      </w:r>
      <w:r w:rsidR="0045704A" w:rsidRPr="00A35461">
        <w:rPr>
          <w:sz w:val="22"/>
        </w:rPr>
        <w:t xml:space="preserve">ments or variations </w:t>
      </w:r>
      <w:r w:rsidR="00F1697F" w:rsidRPr="00A35461">
        <w:rPr>
          <w:sz w:val="22"/>
        </w:rPr>
        <w:t xml:space="preserve">to the terms and conditions </w:t>
      </w:r>
      <w:r w:rsidR="0045704A" w:rsidRPr="00A35461">
        <w:rPr>
          <w:sz w:val="22"/>
        </w:rPr>
        <w:t xml:space="preserve">requested by a </w:t>
      </w:r>
      <w:r w:rsidR="00E26613" w:rsidRPr="00A35461">
        <w:rPr>
          <w:sz w:val="22"/>
        </w:rPr>
        <w:t>supplier</w:t>
      </w:r>
      <w:r w:rsidR="0045704A" w:rsidRPr="00A35461">
        <w:rPr>
          <w:sz w:val="22"/>
        </w:rPr>
        <w:t xml:space="preserve"> will not be acceptable to the Authority. Quotations will be considered non-compliant if any alterations are made and will be </w:t>
      </w:r>
      <w:r w:rsidR="00215622" w:rsidRPr="00A35461">
        <w:rPr>
          <w:sz w:val="22"/>
        </w:rPr>
        <w:t>rejected</w:t>
      </w:r>
      <w:r w:rsidR="00D43463" w:rsidRPr="00A35461">
        <w:rPr>
          <w:sz w:val="22"/>
        </w:rPr>
        <w:t xml:space="preserve">. </w:t>
      </w:r>
    </w:p>
    <w:p w:rsidR="00E629B4" w:rsidRPr="00A35461" w:rsidRDefault="00E629B4" w:rsidP="00A35461">
      <w:pPr>
        <w:pStyle w:val="A2"/>
        <w:numPr>
          <w:ilvl w:val="0"/>
          <w:numId w:val="0"/>
        </w:numPr>
        <w:ind w:left="1276" w:hanging="850"/>
        <w:rPr>
          <w:sz w:val="22"/>
        </w:rPr>
      </w:pPr>
    </w:p>
    <w:p w:rsidR="00D24DA4" w:rsidRPr="0001237E" w:rsidRDefault="00D018B0" w:rsidP="00A35461">
      <w:pPr>
        <w:pStyle w:val="A1"/>
        <w:numPr>
          <w:ilvl w:val="0"/>
          <w:numId w:val="0"/>
        </w:numPr>
        <w:ind w:left="1276" w:hanging="850"/>
        <w:rPr>
          <w:rFonts w:cs="Arial"/>
          <w:color w:val="000000"/>
          <w:sz w:val="22"/>
          <w:szCs w:val="22"/>
        </w:rPr>
      </w:pPr>
      <w:bookmarkStart w:id="7" w:name="_Toc506726734"/>
      <w:bookmarkStart w:id="8" w:name="_Toc371626602"/>
      <w:r w:rsidRPr="00650BC0">
        <w:rPr>
          <w:rFonts w:cs="Arial"/>
          <w:color w:val="000000"/>
          <w:sz w:val="22"/>
          <w:szCs w:val="22"/>
          <w:u w:val="none"/>
        </w:rPr>
        <w:t>1</w:t>
      </w:r>
      <w:r w:rsidR="00814E6C">
        <w:rPr>
          <w:rFonts w:cs="Arial"/>
          <w:color w:val="000000"/>
          <w:sz w:val="22"/>
          <w:szCs w:val="22"/>
          <w:u w:val="none"/>
        </w:rPr>
        <w:t>0</w:t>
      </w:r>
      <w:r w:rsidR="00A35461" w:rsidRPr="00650BC0">
        <w:rPr>
          <w:rFonts w:cs="Arial"/>
          <w:color w:val="000000"/>
          <w:sz w:val="22"/>
          <w:szCs w:val="22"/>
          <w:u w:val="none"/>
        </w:rPr>
        <w:t>.</w:t>
      </w:r>
      <w:r w:rsidR="00A35461" w:rsidRPr="00A35461">
        <w:rPr>
          <w:rFonts w:cs="Arial"/>
          <w:b w:val="0"/>
          <w:color w:val="000000"/>
          <w:sz w:val="22"/>
          <w:szCs w:val="22"/>
          <w:u w:val="none"/>
        </w:rPr>
        <w:tab/>
      </w:r>
      <w:r w:rsidR="00D24DA4" w:rsidRPr="0001237E">
        <w:rPr>
          <w:rFonts w:cs="Arial"/>
          <w:color w:val="000000"/>
          <w:sz w:val="22"/>
          <w:szCs w:val="22"/>
        </w:rPr>
        <w:t xml:space="preserve">Return Of </w:t>
      </w:r>
      <w:bookmarkEnd w:id="7"/>
      <w:bookmarkEnd w:id="8"/>
      <w:r w:rsidR="00D43463">
        <w:rPr>
          <w:rFonts w:cs="Arial"/>
          <w:color w:val="000000"/>
          <w:sz w:val="22"/>
          <w:szCs w:val="22"/>
        </w:rPr>
        <w:t>quotations</w:t>
      </w:r>
    </w:p>
    <w:p w:rsidR="00D24DA4" w:rsidRPr="004346E7" w:rsidRDefault="00650BC0" w:rsidP="00A35461">
      <w:pPr>
        <w:pStyle w:val="A2"/>
        <w:numPr>
          <w:ilvl w:val="0"/>
          <w:numId w:val="0"/>
        </w:numPr>
        <w:ind w:left="1276" w:hanging="850"/>
        <w:rPr>
          <w:rFonts w:cs="Arial"/>
          <w:color w:val="000000"/>
          <w:sz w:val="22"/>
          <w:szCs w:val="22"/>
        </w:rPr>
      </w:pPr>
      <w:r>
        <w:rPr>
          <w:rFonts w:cs="Arial"/>
          <w:color w:val="000000"/>
          <w:sz w:val="22"/>
          <w:szCs w:val="22"/>
        </w:rPr>
        <w:t>1</w:t>
      </w:r>
      <w:r w:rsidR="00814E6C">
        <w:rPr>
          <w:rFonts w:cs="Arial"/>
          <w:color w:val="000000"/>
          <w:sz w:val="22"/>
          <w:szCs w:val="22"/>
        </w:rPr>
        <w:t>0</w:t>
      </w:r>
      <w:r w:rsidR="00A35461">
        <w:rPr>
          <w:rFonts w:cs="Arial"/>
          <w:color w:val="000000"/>
          <w:sz w:val="22"/>
          <w:szCs w:val="22"/>
        </w:rPr>
        <w:t>.1</w:t>
      </w:r>
      <w:r w:rsidR="00A35461">
        <w:rPr>
          <w:rFonts w:cs="Arial"/>
          <w:color w:val="000000"/>
          <w:sz w:val="22"/>
          <w:szCs w:val="22"/>
        </w:rPr>
        <w:tab/>
      </w:r>
      <w:r w:rsidR="002D0758">
        <w:rPr>
          <w:rFonts w:cs="Arial"/>
          <w:color w:val="000000"/>
          <w:sz w:val="22"/>
          <w:szCs w:val="22"/>
        </w:rPr>
        <w:t xml:space="preserve">You are advised to </w:t>
      </w:r>
      <w:r w:rsidR="00D24DA4" w:rsidRPr="004346E7">
        <w:rPr>
          <w:rFonts w:cs="Arial"/>
          <w:color w:val="000000"/>
          <w:sz w:val="22"/>
          <w:szCs w:val="22"/>
        </w:rPr>
        <w:t xml:space="preserve">complete </w:t>
      </w:r>
      <w:r w:rsidR="002D0758">
        <w:rPr>
          <w:rFonts w:cs="Arial"/>
          <w:color w:val="000000"/>
          <w:sz w:val="22"/>
          <w:szCs w:val="22"/>
        </w:rPr>
        <w:t xml:space="preserve">your </w:t>
      </w:r>
      <w:r w:rsidR="00D24DA4" w:rsidRPr="004346E7">
        <w:rPr>
          <w:rFonts w:cs="Arial"/>
          <w:color w:val="000000"/>
          <w:sz w:val="22"/>
          <w:szCs w:val="22"/>
        </w:rPr>
        <w:t>Response Envelope</w:t>
      </w:r>
      <w:r w:rsidR="00916C00">
        <w:rPr>
          <w:rFonts w:cs="Arial"/>
          <w:color w:val="000000"/>
          <w:sz w:val="22"/>
          <w:szCs w:val="22"/>
        </w:rPr>
        <w:t>s</w:t>
      </w:r>
      <w:r w:rsidR="00D24DA4" w:rsidRPr="004346E7">
        <w:rPr>
          <w:rFonts w:cs="Arial"/>
          <w:color w:val="000000"/>
          <w:sz w:val="22"/>
          <w:szCs w:val="22"/>
        </w:rPr>
        <w:t xml:space="preserve"> in advance of the Deadline to allow time to request guidance </w:t>
      </w:r>
      <w:r w:rsidR="002D0758">
        <w:rPr>
          <w:rFonts w:cs="Arial"/>
          <w:color w:val="000000"/>
          <w:sz w:val="22"/>
          <w:szCs w:val="22"/>
        </w:rPr>
        <w:t xml:space="preserve">if it </w:t>
      </w:r>
      <w:r w:rsidR="00D24DA4" w:rsidRPr="004346E7">
        <w:rPr>
          <w:rFonts w:cs="Arial"/>
          <w:color w:val="000000"/>
          <w:sz w:val="22"/>
          <w:szCs w:val="22"/>
        </w:rPr>
        <w:t xml:space="preserve">is required.  It is the responsibility of </w:t>
      </w:r>
      <w:r w:rsidR="00E26613">
        <w:rPr>
          <w:rFonts w:cs="Arial"/>
          <w:color w:val="000000"/>
          <w:sz w:val="22"/>
          <w:szCs w:val="22"/>
        </w:rPr>
        <w:t>supplier</w:t>
      </w:r>
      <w:r w:rsidR="00D43463">
        <w:rPr>
          <w:rFonts w:cs="Arial"/>
          <w:color w:val="000000"/>
          <w:sz w:val="22"/>
          <w:szCs w:val="22"/>
        </w:rPr>
        <w:t>s</w:t>
      </w:r>
      <w:r w:rsidR="00D43463" w:rsidRPr="004346E7">
        <w:rPr>
          <w:rFonts w:cs="Arial"/>
          <w:color w:val="000000"/>
          <w:sz w:val="22"/>
          <w:szCs w:val="22"/>
        </w:rPr>
        <w:t xml:space="preserve"> </w:t>
      </w:r>
      <w:r w:rsidR="00D24DA4" w:rsidRPr="004346E7">
        <w:rPr>
          <w:rFonts w:cs="Arial"/>
          <w:color w:val="000000"/>
          <w:sz w:val="22"/>
          <w:szCs w:val="22"/>
        </w:rPr>
        <w:t>to ensure they are familiar with the system and allow sufficient time for finalising their completed Response Envelope</w:t>
      </w:r>
      <w:r w:rsidR="00F40B89">
        <w:rPr>
          <w:rFonts w:cs="Arial"/>
          <w:color w:val="000000"/>
          <w:sz w:val="22"/>
          <w:szCs w:val="22"/>
        </w:rPr>
        <w:t>s</w:t>
      </w:r>
      <w:r w:rsidR="00D24DA4" w:rsidRPr="004346E7">
        <w:rPr>
          <w:rFonts w:cs="Arial"/>
          <w:color w:val="000000"/>
          <w:sz w:val="22"/>
          <w:szCs w:val="22"/>
        </w:rPr>
        <w:t xml:space="preserve">. </w:t>
      </w:r>
    </w:p>
    <w:p w:rsidR="00D24DA4" w:rsidRPr="004346E7" w:rsidRDefault="00D018B0" w:rsidP="00A35461">
      <w:pPr>
        <w:pStyle w:val="A2"/>
        <w:numPr>
          <w:ilvl w:val="0"/>
          <w:numId w:val="0"/>
        </w:numPr>
        <w:ind w:left="1276" w:hanging="850"/>
        <w:rPr>
          <w:rFonts w:cs="Arial"/>
          <w:color w:val="000000"/>
          <w:sz w:val="22"/>
          <w:szCs w:val="22"/>
        </w:rPr>
      </w:pPr>
      <w:r>
        <w:rPr>
          <w:rFonts w:cs="Arial"/>
          <w:color w:val="000000"/>
          <w:sz w:val="22"/>
          <w:szCs w:val="22"/>
        </w:rPr>
        <w:t>1</w:t>
      </w:r>
      <w:r w:rsidR="00814E6C">
        <w:rPr>
          <w:rFonts w:cs="Arial"/>
          <w:color w:val="000000"/>
          <w:sz w:val="22"/>
          <w:szCs w:val="22"/>
        </w:rPr>
        <w:t>0</w:t>
      </w:r>
      <w:r w:rsidR="00A35461">
        <w:rPr>
          <w:rFonts w:cs="Arial"/>
          <w:color w:val="000000"/>
          <w:sz w:val="22"/>
          <w:szCs w:val="22"/>
        </w:rPr>
        <w:t>.2</w:t>
      </w:r>
      <w:r w:rsidR="00A35461">
        <w:rPr>
          <w:rFonts w:cs="Arial"/>
          <w:color w:val="000000"/>
          <w:sz w:val="22"/>
          <w:szCs w:val="22"/>
        </w:rPr>
        <w:tab/>
      </w:r>
      <w:r w:rsidR="00D24DA4" w:rsidRPr="004346E7">
        <w:rPr>
          <w:rFonts w:cs="Arial"/>
          <w:color w:val="000000"/>
          <w:sz w:val="22"/>
          <w:szCs w:val="22"/>
        </w:rPr>
        <w:t xml:space="preserve">The Authority is not responsible for inaccurate or incomplete contact information input into the Portal by </w:t>
      </w:r>
      <w:r w:rsidR="00E26613">
        <w:rPr>
          <w:rFonts w:cs="Arial"/>
          <w:color w:val="000000"/>
          <w:sz w:val="22"/>
          <w:szCs w:val="22"/>
        </w:rPr>
        <w:t>supplier</w:t>
      </w:r>
      <w:r w:rsidR="0048230B">
        <w:rPr>
          <w:rFonts w:cs="Arial"/>
          <w:color w:val="000000"/>
          <w:sz w:val="22"/>
          <w:szCs w:val="22"/>
        </w:rPr>
        <w:t>s</w:t>
      </w:r>
      <w:r w:rsidR="00D24DA4" w:rsidRPr="004346E7">
        <w:rPr>
          <w:rFonts w:cs="Arial"/>
          <w:color w:val="000000"/>
          <w:sz w:val="22"/>
          <w:szCs w:val="22"/>
        </w:rPr>
        <w:t xml:space="preserve">.  It is the </w:t>
      </w:r>
      <w:r w:rsidR="00F53761">
        <w:rPr>
          <w:rFonts w:cs="Arial"/>
          <w:color w:val="000000"/>
          <w:sz w:val="22"/>
          <w:szCs w:val="22"/>
        </w:rPr>
        <w:t>supplier’s responsibility</w:t>
      </w:r>
      <w:r w:rsidR="0048230B" w:rsidRPr="004346E7">
        <w:rPr>
          <w:rFonts w:cs="Arial"/>
          <w:color w:val="000000"/>
          <w:sz w:val="22"/>
          <w:szCs w:val="22"/>
        </w:rPr>
        <w:t xml:space="preserve"> </w:t>
      </w:r>
      <w:r w:rsidR="00D24DA4" w:rsidRPr="004346E7">
        <w:rPr>
          <w:rFonts w:cs="Arial"/>
          <w:color w:val="000000"/>
          <w:sz w:val="22"/>
          <w:szCs w:val="22"/>
        </w:rPr>
        <w:t xml:space="preserve">to ensure that the contact information they have entered for their organisation on the Portal is accurate and kept up to date.  Important notification messages relevant to this procurement may not be received by a </w:t>
      </w:r>
      <w:r w:rsidR="00E26613">
        <w:rPr>
          <w:rFonts w:cs="Arial"/>
          <w:color w:val="000000"/>
          <w:sz w:val="22"/>
          <w:szCs w:val="22"/>
        </w:rPr>
        <w:t>supplier</w:t>
      </w:r>
      <w:r w:rsidR="0048230B" w:rsidRPr="004346E7">
        <w:rPr>
          <w:rFonts w:cs="Arial"/>
          <w:color w:val="000000"/>
          <w:sz w:val="22"/>
          <w:szCs w:val="22"/>
        </w:rPr>
        <w:t xml:space="preserve"> </w:t>
      </w:r>
      <w:r w:rsidR="00D24DA4" w:rsidRPr="004346E7">
        <w:rPr>
          <w:rFonts w:cs="Arial"/>
          <w:color w:val="000000"/>
          <w:sz w:val="22"/>
          <w:szCs w:val="22"/>
        </w:rPr>
        <w:t xml:space="preserve">should the contact information be inaccurate.  If at any stage a </w:t>
      </w:r>
      <w:r w:rsidR="00E26613">
        <w:rPr>
          <w:rFonts w:cs="Arial"/>
          <w:color w:val="000000"/>
          <w:sz w:val="22"/>
          <w:szCs w:val="22"/>
        </w:rPr>
        <w:t>supplier</w:t>
      </w:r>
      <w:r w:rsidR="0048230B" w:rsidRPr="004346E7">
        <w:rPr>
          <w:rFonts w:cs="Arial"/>
          <w:color w:val="000000"/>
          <w:sz w:val="22"/>
          <w:szCs w:val="22"/>
        </w:rPr>
        <w:t xml:space="preserve"> </w:t>
      </w:r>
      <w:r w:rsidR="00D24DA4" w:rsidRPr="004346E7">
        <w:rPr>
          <w:rFonts w:cs="Arial"/>
          <w:color w:val="000000"/>
          <w:sz w:val="22"/>
          <w:szCs w:val="22"/>
        </w:rPr>
        <w:t xml:space="preserve">needs to update the contact information held for their organisation this can be achieved by submitting it via the Portal.  The Authority is under no obligation to respond/follow up on 'out of the office' responses received from a </w:t>
      </w:r>
      <w:r w:rsidR="00E26613">
        <w:rPr>
          <w:rFonts w:cs="Arial"/>
          <w:color w:val="000000"/>
          <w:sz w:val="22"/>
          <w:szCs w:val="22"/>
        </w:rPr>
        <w:t>supplier</w:t>
      </w:r>
      <w:r w:rsidR="0048230B">
        <w:rPr>
          <w:rFonts w:cs="Arial"/>
          <w:color w:val="000000"/>
          <w:sz w:val="22"/>
          <w:szCs w:val="22"/>
        </w:rPr>
        <w:t xml:space="preserve"> </w:t>
      </w:r>
      <w:r w:rsidR="00D24DA4" w:rsidRPr="004346E7">
        <w:rPr>
          <w:rFonts w:cs="Arial"/>
          <w:color w:val="000000"/>
          <w:sz w:val="22"/>
          <w:szCs w:val="22"/>
        </w:rPr>
        <w:t xml:space="preserve">and so </w:t>
      </w:r>
      <w:r w:rsidR="00E26613">
        <w:rPr>
          <w:rFonts w:cs="Arial"/>
          <w:color w:val="000000"/>
          <w:sz w:val="22"/>
          <w:szCs w:val="22"/>
        </w:rPr>
        <w:t>supplier</w:t>
      </w:r>
      <w:r w:rsidR="0048230B">
        <w:rPr>
          <w:rFonts w:cs="Arial"/>
          <w:color w:val="000000"/>
          <w:sz w:val="22"/>
          <w:szCs w:val="22"/>
        </w:rPr>
        <w:t>s</w:t>
      </w:r>
      <w:r w:rsidR="0048230B" w:rsidRPr="004346E7">
        <w:rPr>
          <w:rFonts w:cs="Arial"/>
          <w:color w:val="000000"/>
          <w:sz w:val="22"/>
          <w:szCs w:val="22"/>
        </w:rPr>
        <w:t xml:space="preserve"> </w:t>
      </w:r>
      <w:r w:rsidR="00D24DA4" w:rsidRPr="004346E7">
        <w:rPr>
          <w:rFonts w:cs="Arial"/>
          <w:color w:val="000000"/>
          <w:sz w:val="22"/>
          <w:szCs w:val="22"/>
        </w:rPr>
        <w:t>will need to make appropriate arrangements to deal with absences.  For any technical advice or assistance relating to the e-</w:t>
      </w:r>
      <w:r w:rsidR="004346E7" w:rsidRPr="004346E7">
        <w:rPr>
          <w:rFonts w:cs="Arial"/>
          <w:color w:val="000000"/>
          <w:sz w:val="22"/>
          <w:szCs w:val="22"/>
        </w:rPr>
        <w:t>Bidding</w:t>
      </w:r>
      <w:r w:rsidR="00D24DA4" w:rsidRPr="004346E7">
        <w:rPr>
          <w:rFonts w:cs="Arial"/>
          <w:color w:val="000000"/>
          <w:sz w:val="22"/>
          <w:szCs w:val="22"/>
        </w:rPr>
        <w:t xml:space="preserve"> system if for any reason the Portal is not available, please contact the capitalEsourcing helpdesk between 8.00am and 6.00pm Monday to Friday on 0800 368 4850 (or +442033496601 if outside the UK) or e-mail </w:t>
      </w:r>
      <w:hyperlink r:id="rId8" w:history="1">
        <w:r w:rsidR="00D24DA4" w:rsidRPr="004346E7">
          <w:rPr>
            <w:rFonts w:cs="Arial"/>
            <w:color w:val="000000"/>
          </w:rPr>
          <w:t>help@</w:t>
        </w:r>
      </w:hyperlink>
      <w:r w:rsidR="00D24DA4" w:rsidRPr="004346E7">
        <w:rPr>
          <w:rFonts w:cs="Arial"/>
          <w:color w:val="000000"/>
        </w:rPr>
        <w:t>capitalesourcing.com</w:t>
      </w:r>
      <w:r w:rsidR="00D24DA4" w:rsidRPr="004346E7">
        <w:rPr>
          <w:rFonts w:cs="Arial"/>
          <w:color w:val="000000"/>
          <w:sz w:val="22"/>
          <w:szCs w:val="22"/>
        </w:rPr>
        <w:t>.) This email address should only be used where there are technical issues with the Portal.  Otherwise, all questions and queries relating to this procurement should be submitted via the Portal.</w:t>
      </w:r>
    </w:p>
    <w:p w:rsidR="00D24DA4" w:rsidRPr="004346E7" w:rsidRDefault="00D018B0" w:rsidP="00A35461">
      <w:pPr>
        <w:pStyle w:val="A2"/>
        <w:numPr>
          <w:ilvl w:val="0"/>
          <w:numId w:val="0"/>
        </w:numPr>
        <w:ind w:left="1276" w:hanging="850"/>
        <w:rPr>
          <w:rFonts w:cs="Arial"/>
          <w:color w:val="000000"/>
          <w:sz w:val="22"/>
          <w:szCs w:val="22"/>
        </w:rPr>
      </w:pPr>
      <w:r>
        <w:rPr>
          <w:rFonts w:cs="Arial"/>
          <w:color w:val="000000"/>
          <w:sz w:val="22"/>
          <w:szCs w:val="22"/>
        </w:rPr>
        <w:lastRenderedPageBreak/>
        <w:t>1</w:t>
      </w:r>
      <w:r w:rsidR="00814E6C">
        <w:rPr>
          <w:rFonts w:cs="Arial"/>
          <w:color w:val="000000"/>
          <w:sz w:val="22"/>
          <w:szCs w:val="22"/>
        </w:rPr>
        <w:t>0</w:t>
      </w:r>
      <w:r>
        <w:rPr>
          <w:rFonts w:cs="Arial"/>
          <w:color w:val="000000"/>
          <w:sz w:val="22"/>
          <w:szCs w:val="22"/>
        </w:rPr>
        <w:t>.3</w:t>
      </w:r>
      <w:r w:rsidR="00A35461">
        <w:rPr>
          <w:rFonts w:cs="Arial"/>
          <w:color w:val="000000"/>
          <w:sz w:val="22"/>
          <w:szCs w:val="22"/>
        </w:rPr>
        <w:tab/>
      </w:r>
      <w:r w:rsidR="00D24DA4" w:rsidRPr="004346E7">
        <w:rPr>
          <w:rFonts w:cs="Arial"/>
          <w:color w:val="000000"/>
          <w:sz w:val="22"/>
          <w:szCs w:val="22"/>
        </w:rPr>
        <w:t>All aspects (documents/attachments/responses) of the completed Response Envelope</w:t>
      </w:r>
      <w:r w:rsidR="00B62654">
        <w:rPr>
          <w:rFonts w:cs="Arial"/>
          <w:color w:val="000000"/>
          <w:sz w:val="22"/>
          <w:szCs w:val="22"/>
        </w:rPr>
        <w:t>s</w:t>
      </w:r>
      <w:r w:rsidR="00D24DA4" w:rsidRPr="004346E7">
        <w:rPr>
          <w:rFonts w:cs="Arial"/>
          <w:color w:val="000000"/>
          <w:sz w:val="22"/>
          <w:szCs w:val="22"/>
        </w:rPr>
        <w:t xml:space="preserve"> must be submitted electronically via the Portal.  </w:t>
      </w:r>
      <w:r w:rsidR="00E26613">
        <w:rPr>
          <w:rFonts w:cs="Arial"/>
          <w:color w:val="000000"/>
          <w:sz w:val="22"/>
          <w:szCs w:val="22"/>
        </w:rPr>
        <w:t>Supplier</w:t>
      </w:r>
      <w:r w:rsidR="0048230B">
        <w:rPr>
          <w:rFonts w:cs="Arial"/>
          <w:color w:val="000000"/>
          <w:sz w:val="22"/>
          <w:szCs w:val="22"/>
        </w:rPr>
        <w:t>s must</w:t>
      </w:r>
      <w:r w:rsidR="00D24DA4" w:rsidRPr="004346E7">
        <w:rPr>
          <w:rFonts w:cs="Arial"/>
          <w:color w:val="000000"/>
          <w:sz w:val="22"/>
          <w:szCs w:val="22"/>
        </w:rPr>
        <w:t xml:space="preserve"> not return by email any part of </w:t>
      </w:r>
      <w:r w:rsidR="0048230B">
        <w:rPr>
          <w:rFonts w:cs="Arial"/>
          <w:color w:val="000000"/>
          <w:sz w:val="22"/>
          <w:szCs w:val="22"/>
        </w:rPr>
        <w:t>their</w:t>
      </w:r>
      <w:r w:rsidR="0048230B" w:rsidRPr="004346E7">
        <w:rPr>
          <w:rFonts w:cs="Arial"/>
          <w:color w:val="000000"/>
          <w:sz w:val="22"/>
          <w:szCs w:val="22"/>
        </w:rPr>
        <w:t xml:space="preserve"> </w:t>
      </w:r>
      <w:r w:rsidR="00D24DA4" w:rsidRPr="004346E7">
        <w:rPr>
          <w:rFonts w:cs="Arial"/>
          <w:color w:val="000000"/>
          <w:sz w:val="22"/>
          <w:szCs w:val="22"/>
        </w:rPr>
        <w:t>completed Response Envelope</w:t>
      </w:r>
      <w:r w:rsidR="00F40B89">
        <w:rPr>
          <w:rFonts w:cs="Arial"/>
          <w:color w:val="000000"/>
          <w:sz w:val="22"/>
          <w:szCs w:val="22"/>
        </w:rPr>
        <w:t>s</w:t>
      </w:r>
      <w:r w:rsidR="00D24DA4" w:rsidRPr="004346E7">
        <w:rPr>
          <w:rFonts w:cs="Arial"/>
          <w:color w:val="000000"/>
          <w:sz w:val="22"/>
          <w:szCs w:val="22"/>
        </w:rPr>
        <w:t>.</w:t>
      </w:r>
      <w:r w:rsidR="004346E7">
        <w:rPr>
          <w:rFonts w:cs="Arial"/>
          <w:color w:val="000000"/>
          <w:sz w:val="22"/>
          <w:szCs w:val="22"/>
        </w:rPr>
        <w:t xml:space="preserve"> An</w:t>
      </w:r>
      <w:r w:rsidR="00D24DA4" w:rsidRPr="004346E7">
        <w:rPr>
          <w:rFonts w:cs="Arial"/>
          <w:color w:val="000000"/>
          <w:sz w:val="22"/>
          <w:szCs w:val="22"/>
        </w:rPr>
        <w:t xml:space="preserve">y attempt </w:t>
      </w:r>
      <w:r w:rsidR="009B17B7">
        <w:rPr>
          <w:rFonts w:cs="Arial"/>
          <w:color w:val="000000"/>
          <w:sz w:val="22"/>
          <w:szCs w:val="22"/>
        </w:rPr>
        <w:t xml:space="preserve">by a supplier </w:t>
      </w:r>
      <w:r w:rsidR="00D24DA4" w:rsidRPr="004346E7">
        <w:rPr>
          <w:rFonts w:cs="Arial"/>
          <w:color w:val="000000"/>
          <w:sz w:val="22"/>
          <w:szCs w:val="22"/>
        </w:rPr>
        <w:t xml:space="preserve">to email any part of </w:t>
      </w:r>
      <w:r w:rsidR="009B17B7">
        <w:rPr>
          <w:rFonts w:cs="Arial"/>
          <w:color w:val="000000"/>
          <w:sz w:val="22"/>
          <w:szCs w:val="22"/>
        </w:rPr>
        <w:t>i</w:t>
      </w:r>
      <w:r w:rsidR="00795336">
        <w:rPr>
          <w:rFonts w:cs="Arial"/>
          <w:color w:val="000000"/>
          <w:sz w:val="22"/>
          <w:szCs w:val="22"/>
        </w:rPr>
        <w:t>t</w:t>
      </w:r>
      <w:r w:rsidR="009B17B7">
        <w:rPr>
          <w:rFonts w:cs="Arial"/>
          <w:color w:val="000000"/>
          <w:sz w:val="22"/>
          <w:szCs w:val="22"/>
        </w:rPr>
        <w:t>s</w:t>
      </w:r>
      <w:r w:rsidR="0048230B" w:rsidRPr="004346E7">
        <w:rPr>
          <w:rFonts w:cs="Arial"/>
          <w:color w:val="000000"/>
          <w:sz w:val="22"/>
          <w:szCs w:val="22"/>
        </w:rPr>
        <w:t xml:space="preserve"> </w:t>
      </w:r>
      <w:r w:rsidR="00D24DA4" w:rsidRPr="004346E7">
        <w:rPr>
          <w:rFonts w:cs="Arial"/>
          <w:color w:val="000000"/>
          <w:sz w:val="22"/>
          <w:szCs w:val="22"/>
        </w:rPr>
        <w:t>completed Response Envelope</w:t>
      </w:r>
      <w:r w:rsidR="00F40B89">
        <w:rPr>
          <w:rFonts w:cs="Arial"/>
          <w:color w:val="000000"/>
          <w:sz w:val="22"/>
          <w:szCs w:val="22"/>
        </w:rPr>
        <w:t>s</w:t>
      </w:r>
      <w:r w:rsidR="00D24DA4" w:rsidRPr="004346E7">
        <w:rPr>
          <w:rFonts w:cs="Arial"/>
          <w:color w:val="000000"/>
          <w:sz w:val="22"/>
          <w:szCs w:val="22"/>
        </w:rPr>
        <w:t xml:space="preserve"> may result in </w:t>
      </w:r>
      <w:r w:rsidR="0048230B">
        <w:rPr>
          <w:rFonts w:cs="Arial"/>
          <w:color w:val="000000"/>
          <w:sz w:val="22"/>
          <w:szCs w:val="22"/>
        </w:rPr>
        <w:t>its quotation</w:t>
      </w:r>
      <w:r w:rsidR="00D24DA4" w:rsidRPr="004346E7">
        <w:rPr>
          <w:rFonts w:cs="Arial"/>
          <w:color w:val="000000"/>
          <w:sz w:val="22"/>
          <w:szCs w:val="22"/>
        </w:rPr>
        <w:t xml:space="preserve"> being disqualified.  </w:t>
      </w:r>
    </w:p>
    <w:p w:rsidR="00D24DA4" w:rsidRPr="004346E7" w:rsidRDefault="00D018B0" w:rsidP="00A35461">
      <w:pPr>
        <w:pStyle w:val="A2"/>
        <w:numPr>
          <w:ilvl w:val="0"/>
          <w:numId w:val="0"/>
        </w:numPr>
        <w:ind w:left="1276" w:hanging="850"/>
        <w:rPr>
          <w:rFonts w:cs="Arial"/>
          <w:color w:val="000000"/>
          <w:sz w:val="22"/>
          <w:szCs w:val="22"/>
        </w:rPr>
      </w:pPr>
      <w:r>
        <w:rPr>
          <w:rFonts w:cs="Arial"/>
          <w:color w:val="000000"/>
          <w:sz w:val="22"/>
          <w:szCs w:val="22"/>
        </w:rPr>
        <w:t>1</w:t>
      </w:r>
      <w:r w:rsidR="00814E6C">
        <w:rPr>
          <w:rFonts w:cs="Arial"/>
          <w:color w:val="000000"/>
          <w:sz w:val="22"/>
          <w:szCs w:val="22"/>
        </w:rPr>
        <w:t>0</w:t>
      </w:r>
      <w:r w:rsidR="00A35461">
        <w:rPr>
          <w:rFonts w:cs="Arial"/>
          <w:color w:val="000000"/>
          <w:sz w:val="22"/>
          <w:szCs w:val="22"/>
        </w:rPr>
        <w:t>.4</w:t>
      </w:r>
      <w:r w:rsidR="00A35461">
        <w:rPr>
          <w:rFonts w:cs="Arial"/>
          <w:color w:val="000000"/>
          <w:sz w:val="22"/>
          <w:szCs w:val="22"/>
        </w:rPr>
        <w:tab/>
      </w:r>
      <w:r w:rsidR="00E26613">
        <w:rPr>
          <w:rFonts w:cs="Arial"/>
          <w:color w:val="000000"/>
          <w:sz w:val="22"/>
          <w:szCs w:val="22"/>
        </w:rPr>
        <w:t>Supplier</w:t>
      </w:r>
      <w:r w:rsidR="0048230B">
        <w:rPr>
          <w:rFonts w:cs="Arial"/>
          <w:color w:val="000000"/>
          <w:sz w:val="22"/>
          <w:szCs w:val="22"/>
        </w:rPr>
        <w:t>s</w:t>
      </w:r>
      <w:r w:rsidR="0048230B" w:rsidRPr="004346E7">
        <w:rPr>
          <w:rFonts w:cs="Arial"/>
          <w:color w:val="000000"/>
          <w:sz w:val="22"/>
          <w:szCs w:val="22"/>
        </w:rPr>
        <w:t xml:space="preserve"> </w:t>
      </w:r>
      <w:r w:rsidR="00D24DA4" w:rsidRPr="004346E7">
        <w:rPr>
          <w:rFonts w:cs="Arial"/>
          <w:color w:val="000000"/>
          <w:sz w:val="22"/>
          <w:szCs w:val="22"/>
        </w:rPr>
        <w:t xml:space="preserve">are advised to allow plenty of time to submit their completed Envelopes onto the Portal as this will take some time and the Authority reserves the right to </w:t>
      </w:r>
      <w:r w:rsidR="00215622">
        <w:rPr>
          <w:rFonts w:cs="Arial"/>
          <w:color w:val="000000"/>
          <w:sz w:val="22"/>
          <w:szCs w:val="22"/>
        </w:rPr>
        <w:t>reject</w:t>
      </w:r>
      <w:r w:rsidR="00215622" w:rsidRPr="004346E7">
        <w:rPr>
          <w:rFonts w:cs="Arial"/>
          <w:color w:val="000000"/>
          <w:sz w:val="22"/>
          <w:szCs w:val="22"/>
        </w:rPr>
        <w:t xml:space="preserve"> </w:t>
      </w:r>
      <w:r w:rsidR="00D24DA4" w:rsidRPr="004346E7">
        <w:rPr>
          <w:rFonts w:cs="Arial"/>
          <w:color w:val="000000"/>
          <w:sz w:val="22"/>
          <w:szCs w:val="22"/>
        </w:rPr>
        <w:t>and not evaluate any completed</w:t>
      </w:r>
      <w:r w:rsidR="0048230B">
        <w:rPr>
          <w:rFonts w:cs="Arial"/>
          <w:color w:val="000000"/>
          <w:sz w:val="22"/>
          <w:szCs w:val="22"/>
        </w:rPr>
        <w:t xml:space="preserve"> </w:t>
      </w:r>
      <w:r w:rsidR="00D24DA4" w:rsidRPr="004346E7">
        <w:rPr>
          <w:rFonts w:cs="Arial"/>
          <w:color w:val="000000"/>
          <w:sz w:val="22"/>
          <w:szCs w:val="22"/>
        </w:rPr>
        <w:t>Response Envelopes submitted after the Deadline.</w:t>
      </w:r>
    </w:p>
    <w:p w:rsidR="00D24DA4" w:rsidRDefault="00D018B0" w:rsidP="00A35461">
      <w:pPr>
        <w:pStyle w:val="A2"/>
        <w:numPr>
          <w:ilvl w:val="0"/>
          <w:numId w:val="0"/>
        </w:numPr>
        <w:ind w:left="1276" w:hanging="850"/>
        <w:rPr>
          <w:rFonts w:cs="Arial"/>
          <w:color w:val="000000"/>
          <w:sz w:val="22"/>
          <w:szCs w:val="22"/>
        </w:rPr>
      </w:pPr>
      <w:r>
        <w:rPr>
          <w:rFonts w:cs="Arial"/>
          <w:color w:val="000000"/>
          <w:sz w:val="22"/>
          <w:szCs w:val="22"/>
        </w:rPr>
        <w:t>1</w:t>
      </w:r>
      <w:r w:rsidR="00814E6C">
        <w:rPr>
          <w:rFonts w:cs="Arial"/>
          <w:color w:val="000000"/>
          <w:sz w:val="22"/>
          <w:szCs w:val="22"/>
        </w:rPr>
        <w:t>0</w:t>
      </w:r>
      <w:r w:rsidR="00A35461">
        <w:rPr>
          <w:rFonts w:cs="Arial"/>
          <w:color w:val="000000"/>
          <w:sz w:val="22"/>
          <w:szCs w:val="22"/>
        </w:rPr>
        <w:t>.5</w:t>
      </w:r>
      <w:r w:rsidR="00A35461">
        <w:rPr>
          <w:rFonts w:cs="Arial"/>
          <w:color w:val="000000"/>
          <w:sz w:val="22"/>
          <w:szCs w:val="22"/>
        </w:rPr>
        <w:tab/>
      </w:r>
      <w:r w:rsidR="00D24DA4" w:rsidRPr="004346E7">
        <w:rPr>
          <w:rFonts w:cs="Arial"/>
          <w:color w:val="000000"/>
          <w:sz w:val="22"/>
          <w:szCs w:val="22"/>
        </w:rPr>
        <w:t xml:space="preserve">All </w:t>
      </w:r>
      <w:r w:rsidR="0048230B">
        <w:rPr>
          <w:rFonts w:cs="Arial"/>
          <w:color w:val="000000"/>
          <w:sz w:val="22"/>
          <w:szCs w:val="22"/>
        </w:rPr>
        <w:t>q</w:t>
      </w:r>
      <w:r w:rsidR="004346E7" w:rsidRPr="004346E7">
        <w:rPr>
          <w:rFonts w:cs="Arial"/>
          <w:color w:val="000000"/>
          <w:sz w:val="22"/>
          <w:szCs w:val="22"/>
        </w:rPr>
        <w:t>uotation</w:t>
      </w:r>
      <w:r w:rsidR="0048230B">
        <w:rPr>
          <w:rFonts w:cs="Arial"/>
          <w:color w:val="000000"/>
          <w:sz w:val="22"/>
          <w:szCs w:val="22"/>
        </w:rPr>
        <w:t>s</w:t>
      </w:r>
      <w:r w:rsidR="00D24DA4" w:rsidRPr="004346E7">
        <w:rPr>
          <w:rFonts w:cs="Arial"/>
          <w:color w:val="000000"/>
          <w:sz w:val="22"/>
          <w:szCs w:val="22"/>
        </w:rPr>
        <w:t xml:space="preserve"> must remain valid and open for acceptance by the Authority for a period of 6 months.</w:t>
      </w:r>
      <w:bookmarkStart w:id="9" w:name="_Toc125275344"/>
    </w:p>
    <w:p w:rsidR="00BE7D37" w:rsidRPr="004346E7" w:rsidRDefault="00BE7D37" w:rsidP="00BE7D37">
      <w:pPr>
        <w:pStyle w:val="A2"/>
        <w:numPr>
          <w:ilvl w:val="0"/>
          <w:numId w:val="0"/>
        </w:numPr>
        <w:ind w:left="1290"/>
        <w:rPr>
          <w:rFonts w:cs="Arial"/>
          <w:color w:val="000000"/>
          <w:sz w:val="22"/>
          <w:szCs w:val="22"/>
        </w:rPr>
      </w:pPr>
    </w:p>
    <w:p w:rsidR="00D24DA4" w:rsidRPr="00BE7D37" w:rsidRDefault="000E5F10" w:rsidP="00A35461">
      <w:pPr>
        <w:pStyle w:val="A1"/>
        <w:numPr>
          <w:ilvl w:val="0"/>
          <w:numId w:val="0"/>
        </w:numPr>
        <w:ind w:left="1276" w:hanging="850"/>
        <w:rPr>
          <w:rFonts w:cs="Arial"/>
          <w:color w:val="000000"/>
          <w:sz w:val="22"/>
        </w:rPr>
      </w:pPr>
      <w:r w:rsidRPr="00650BC0">
        <w:rPr>
          <w:sz w:val="22"/>
          <w:u w:val="none"/>
        </w:rPr>
        <w:t>1</w:t>
      </w:r>
      <w:r w:rsidR="00814E6C">
        <w:rPr>
          <w:sz w:val="22"/>
          <w:u w:val="none"/>
        </w:rPr>
        <w:t>1</w:t>
      </w:r>
      <w:r w:rsidR="00A35461" w:rsidRPr="00650BC0">
        <w:rPr>
          <w:sz w:val="22"/>
          <w:u w:val="none"/>
        </w:rPr>
        <w:t>.</w:t>
      </w:r>
      <w:r w:rsidR="00A35461" w:rsidRPr="00650BC0">
        <w:rPr>
          <w:sz w:val="22"/>
          <w:u w:val="none"/>
        </w:rPr>
        <w:tab/>
      </w:r>
      <w:r w:rsidR="00D24DA4" w:rsidRPr="00650BC0">
        <w:rPr>
          <w:sz w:val="22"/>
        </w:rPr>
        <w:t xml:space="preserve">Evaluation </w:t>
      </w:r>
      <w:bookmarkEnd w:id="9"/>
      <w:r w:rsidR="0048230B" w:rsidRPr="00650BC0">
        <w:rPr>
          <w:sz w:val="22"/>
        </w:rPr>
        <w:t>MODEL AND EVALUATION METHODOLOGY</w:t>
      </w:r>
    </w:p>
    <w:p w:rsidR="00215622" w:rsidRPr="00BE7D37" w:rsidRDefault="000E5F10" w:rsidP="00A35461">
      <w:pPr>
        <w:pStyle w:val="A2"/>
        <w:numPr>
          <w:ilvl w:val="0"/>
          <w:numId w:val="0"/>
        </w:numPr>
        <w:ind w:left="1276" w:hanging="850"/>
        <w:rPr>
          <w:rFonts w:cs="Arial"/>
          <w:color w:val="000000"/>
          <w:sz w:val="22"/>
          <w:szCs w:val="22"/>
        </w:rPr>
      </w:pPr>
      <w:r>
        <w:rPr>
          <w:rFonts w:cs="Arial"/>
          <w:color w:val="000000"/>
          <w:sz w:val="22"/>
          <w:szCs w:val="22"/>
        </w:rPr>
        <w:t>1</w:t>
      </w:r>
      <w:r w:rsidR="00814E6C">
        <w:rPr>
          <w:rFonts w:cs="Arial"/>
          <w:color w:val="000000"/>
          <w:sz w:val="22"/>
          <w:szCs w:val="22"/>
        </w:rPr>
        <w:t>1</w:t>
      </w:r>
      <w:r w:rsidR="00A35461">
        <w:rPr>
          <w:rFonts w:cs="Arial"/>
          <w:color w:val="000000"/>
          <w:sz w:val="22"/>
          <w:szCs w:val="22"/>
        </w:rPr>
        <w:t>.2</w:t>
      </w:r>
      <w:r w:rsidR="00A35461">
        <w:rPr>
          <w:rFonts w:cs="Arial"/>
          <w:color w:val="000000"/>
          <w:sz w:val="22"/>
          <w:szCs w:val="22"/>
        </w:rPr>
        <w:tab/>
      </w:r>
      <w:r w:rsidR="00215622" w:rsidRPr="00BE7D37">
        <w:rPr>
          <w:rFonts w:cs="Arial"/>
          <w:color w:val="000000"/>
          <w:sz w:val="22"/>
          <w:szCs w:val="22"/>
        </w:rPr>
        <w:t xml:space="preserve">Each </w:t>
      </w:r>
      <w:r w:rsidR="00F40B89">
        <w:rPr>
          <w:rFonts w:cs="Arial"/>
          <w:color w:val="000000"/>
          <w:sz w:val="22"/>
          <w:szCs w:val="22"/>
        </w:rPr>
        <w:t>proposal</w:t>
      </w:r>
      <w:r w:rsidR="00215622" w:rsidRPr="00BE7D37">
        <w:rPr>
          <w:rFonts w:cs="Arial"/>
          <w:color w:val="000000"/>
          <w:sz w:val="22"/>
          <w:szCs w:val="22"/>
        </w:rPr>
        <w:t xml:space="preserve"> will be checked to ensure that it is complete, legally compliant and meets the Authority’s minimum standards.</w:t>
      </w:r>
      <w:r w:rsidR="00215622">
        <w:rPr>
          <w:rFonts w:cs="Arial"/>
          <w:color w:val="000000"/>
          <w:sz w:val="22"/>
          <w:szCs w:val="22"/>
        </w:rPr>
        <w:t xml:space="preserve"> </w:t>
      </w:r>
      <w:r w:rsidR="00215622" w:rsidRPr="0086389F">
        <w:rPr>
          <w:rFonts w:cs="Arial"/>
          <w:color w:val="000000"/>
          <w:sz w:val="22"/>
          <w:szCs w:val="22"/>
        </w:rPr>
        <w:t xml:space="preserve">If any questions that are marked pass or fail are not </w:t>
      </w:r>
      <w:r w:rsidR="002B2938" w:rsidRPr="0086389F">
        <w:rPr>
          <w:rFonts w:cs="Arial"/>
          <w:color w:val="000000"/>
          <w:sz w:val="22"/>
          <w:szCs w:val="22"/>
        </w:rPr>
        <w:t>passed,</w:t>
      </w:r>
      <w:r w:rsidR="00215622" w:rsidRPr="0086389F">
        <w:rPr>
          <w:rFonts w:cs="Arial"/>
          <w:color w:val="000000"/>
          <w:sz w:val="22"/>
          <w:szCs w:val="22"/>
        </w:rPr>
        <w:t xml:space="preserve"> then the quotation will be rejected.</w:t>
      </w:r>
    </w:p>
    <w:p w:rsidR="00015708" w:rsidRPr="0048123A" w:rsidRDefault="000E5F10" w:rsidP="00A35461">
      <w:pPr>
        <w:pStyle w:val="A2"/>
        <w:numPr>
          <w:ilvl w:val="0"/>
          <w:numId w:val="0"/>
        </w:numPr>
        <w:ind w:left="1276" w:hanging="850"/>
        <w:rPr>
          <w:rFonts w:cs="Arial"/>
          <w:color w:val="000000"/>
          <w:sz w:val="22"/>
          <w:szCs w:val="22"/>
        </w:rPr>
      </w:pPr>
      <w:r>
        <w:rPr>
          <w:rFonts w:cs="Arial"/>
          <w:color w:val="000000"/>
          <w:sz w:val="22"/>
          <w:szCs w:val="22"/>
        </w:rPr>
        <w:t>1</w:t>
      </w:r>
      <w:r w:rsidR="00814E6C">
        <w:rPr>
          <w:rFonts w:cs="Arial"/>
          <w:color w:val="000000"/>
          <w:sz w:val="22"/>
          <w:szCs w:val="22"/>
        </w:rPr>
        <w:t>1</w:t>
      </w:r>
      <w:r w:rsidR="00A35461">
        <w:rPr>
          <w:rFonts w:cs="Arial"/>
          <w:color w:val="000000"/>
          <w:sz w:val="22"/>
          <w:szCs w:val="22"/>
        </w:rPr>
        <w:t>.3</w:t>
      </w:r>
      <w:r w:rsidR="00A35461">
        <w:rPr>
          <w:rFonts w:cs="Arial"/>
          <w:color w:val="000000"/>
          <w:sz w:val="22"/>
          <w:szCs w:val="22"/>
        </w:rPr>
        <w:tab/>
      </w:r>
      <w:r w:rsidR="0048230B">
        <w:rPr>
          <w:rFonts w:cs="Arial"/>
          <w:color w:val="000000"/>
          <w:sz w:val="22"/>
          <w:szCs w:val="22"/>
        </w:rPr>
        <w:t>The Authority intend</w:t>
      </w:r>
      <w:r w:rsidR="009B17B7">
        <w:rPr>
          <w:rFonts w:cs="Arial"/>
          <w:color w:val="000000"/>
          <w:sz w:val="22"/>
          <w:szCs w:val="22"/>
        </w:rPr>
        <w:t>s</w:t>
      </w:r>
      <w:r w:rsidR="0048230B">
        <w:rPr>
          <w:rFonts w:cs="Arial"/>
          <w:color w:val="000000"/>
          <w:sz w:val="22"/>
          <w:szCs w:val="22"/>
        </w:rPr>
        <w:t xml:space="preserve"> to </w:t>
      </w:r>
      <w:r w:rsidR="00D24DA4" w:rsidRPr="004346E7">
        <w:rPr>
          <w:rFonts w:cs="Arial"/>
          <w:color w:val="000000"/>
          <w:sz w:val="22"/>
          <w:szCs w:val="22"/>
        </w:rPr>
        <w:t xml:space="preserve">award </w:t>
      </w:r>
      <w:r w:rsidR="009B17B7">
        <w:rPr>
          <w:rFonts w:cs="Arial"/>
          <w:color w:val="000000"/>
          <w:sz w:val="22"/>
          <w:szCs w:val="22"/>
        </w:rPr>
        <w:t>C</w:t>
      </w:r>
      <w:r w:rsidR="009B17B7" w:rsidRPr="004346E7">
        <w:rPr>
          <w:rFonts w:cs="Arial"/>
          <w:color w:val="000000"/>
          <w:sz w:val="22"/>
          <w:szCs w:val="22"/>
        </w:rPr>
        <w:t>ontract</w:t>
      </w:r>
      <w:r w:rsidR="0021605F">
        <w:rPr>
          <w:rFonts w:cs="Arial"/>
          <w:color w:val="000000"/>
          <w:sz w:val="22"/>
          <w:szCs w:val="22"/>
        </w:rPr>
        <w:t>s</w:t>
      </w:r>
      <w:r w:rsidR="009B17B7" w:rsidRPr="004346E7">
        <w:rPr>
          <w:rFonts w:cs="Arial"/>
          <w:color w:val="000000"/>
          <w:sz w:val="22"/>
          <w:szCs w:val="22"/>
        </w:rPr>
        <w:t xml:space="preserve"> </w:t>
      </w:r>
      <w:r w:rsidR="0048230B">
        <w:rPr>
          <w:rFonts w:cs="Arial"/>
          <w:color w:val="000000"/>
          <w:sz w:val="22"/>
          <w:szCs w:val="22"/>
        </w:rPr>
        <w:t>on the basis of the quotation that represents the most economically advantageous</w:t>
      </w:r>
      <w:r w:rsidR="00F40B89">
        <w:rPr>
          <w:rFonts w:cs="Arial"/>
          <w:color w:val="000000"/>
          <w:sz w:val="22"/>
          <w:szCs w:val="22"/>
        </w:rPr>
        <w:t xml:space="preserve"> (i.e. more outputs)</w:t>
      </w:r>
      <w:r w:rsidR="0048230B">
        <w:rPr>
          <w:rFonts w:cs="Arial"/>
          <w:color w:val="000000"/>
          <w:sz w:val="22"/>
          <w:szCs w:val="22"/>
        </w:rPr>
        <w:t xml:space="preserve"> offer to the Authority. The Authority shall evaluate quotations in accordance with the evaluation </w:t>
      </w:r>
      <w:r w:rsidR="0048230B" w:rsidRPr="0048123A">
        <w:rPr>
          <w:rFonts w:cs="Arial"/>
          <w:color w:val="000000"/>
          <w:sz w:val="22"/>
          <w:szCs w:val="22"/>
        </w:rPr>
        <w:t>methodology set out below</w:t>
      </w:r>
      <w:r w:rsidR="00D54AA5">
        <w:rPr>
          <w:rFonts w:cs="Arial"/>
          <w:color w:val="000000"/>
          <w:sz w:val="22"/>
          <w:szCs w:val="22"/>
        </w:rPr>
        <w:t>:</w:t>
      </w:r>
    </w:p>
    <w:p w:rsidR="00015708" w:rsidRPr="0048123A" w:rsidRDefault="00015708" w:rsidP="001F46A4">
      <w:pPr>
        <w:pStyle w:val="A2"/>
        <w:numPr>
          <w:ilvl w:val="0"/>
          <w:numId w:val="0"/>
        </w:numPr>
        <w:ind w:left="1290"/>
        <w:rPr>
          <w:rFonts w:cs="Arial"/>
          <w:color w:val="FF0000"/>
          <w:sz w:val="22"/>
          <w:szCs w:val="22"/>
        </w:rPr>
      </w:pPr>
      <w:r w:rsidRPr="0048123A">
        <w:rPr>
          <w:rFonts w:cs="Arial"/>
          <w:color w:val="000000"/>
          <w:sz w:val="22"/>
          <w:szCs w:val="22"/>
        </w:rPr>
        <w:t xml:space="preserve">Quality – </w:t>
      </w:r>
      <w:r w:rsidR="00F40B89">
        <w:rPr>
          <w:rFonts w:cs="Arial"/>
          <w:color w:val="000000"/>
          <w:sz w:val="22"/>
          <w:szCs w:val="22"/>
        </w:rPr>
        <w:t>10</w:t>
      </w:r>
      <w:r w:rsidR="0048123A" w:rsidRPr="0048123A">
        <w:rPr>
          <w:rFonts w:cs="Arial"/>
          <w:color w:val="000000"/>
          <w:sz w:val="22"/>
          <w:szCs w:val="22"/>
        </w:rPr>
        <w:t>0</w:t>
      </w:r>
      <w:r w:rsidR="00992579" w:rsidRPr="0048123A">
        <w:rPr>
          <w:rFonts w:cs="Arial"/>
          <w:color w:val="000000"/>
          <w:sz w:val="22"/>
          <w:szCs w:val="22"/>
        </w:rPr>
        <w:t xml:space="preserve"> %</w:t>
      </w:r>
      <w:r w:rsidR="00E5214D" w:rsidRPr="0048123A">
        <w:rPr>
          <w:rFonts w:cs="Arial"/>
          <w:color w:val="000000"/>
          <w:sz w:val="22"/>
          <w:szCs w:val="22"/>
        </w:rPr>
        <w:t xml:space="preserve"> </w:t>
      </w:r>
    </w:p>
    <w:p w:rsidR="00E75329" w:rsidRDefault="000E5F10" w:rsidP="009238DA">
      <w:pPr>
        <w:pStyle w:val="A2"/>
        <w:numPr>
          <w:ilvl w:val="0"/>
          <w:numId w:val="0"/>
        </w:numPr>
        <w:ind w:left="1290" w:hanging="864"/>
        <w:rPr>
          <w:rFonts w:cs="Arial"/>
          <w:color w:val="000000"/>
          <w:sz w:val="22"/>
          <w:szCs w:val="22"/>
        </w:rPr>
      </w:pPr>
      <w:r>
        <w:rPr>
          <w:rFonts w:cs="Arial"/>
          <w:color w:val="000000"/>
          <w:sz w:val="22"/>
          <w:szCs w:val="22"/>
        </w:rPr>
        <w:t>1</w:t>
      </w:r>
      <w:r w:rsidR="00814E6C">
        <w:rPr>
          <w:rFonts w:cs="Arial"/>
          <w:color w:val="000000"/>
          <w:sz w:val="22"/>
          <w:szCs w:val="22"/>
        </w:rPr>
        <w:t>1</w:t>
      </w:r>
      <w:r w:rsidR="00A35461">
        <w:rPr>
          <w:rFonts w:cs="Arial"/>
          <w:color w:val="000000"/>
          <w:sz w:val="22"/>
          <w:szCs w:val="22"/>
        </w:rPr>
        <w:t>.4</w:t>
      </w:r>
      <w:r w:rsidR="00A35461">
        <w:rPr>
          <w:rFonts w:cs="Arial"/>
          <w:color w:val="000000"/>
          <w:sz w:val="22"/>
          <w:szCs w:val="22"/>
        </w:rPr>
        <w:tab/>
      </w:r>
      <w:r w:rsidR="0048230B">
        <w:rPr>
          <w:rFonts w:cs="Arial"/>
          <w:color w:val="000000"/>
          <w:sz w:val="22"/>
          <w:szCs w:val="22"/>
        </w:rPr>
        <w:t xml:space="preserve">The different criteria and sub-criteria for award together with the detailed scoring mechanism </w:t>
      </w:r>
      <w:r w:rsidR="008E0900">
        <w:rPr>
          <w:rFonts w:cs="Arial"/>
          <w:color w:val="000000"/>
          <w:sz w:val="22"/>
          <w:szCs w:val="22"/>
        </w:rPr>
        <w:t xml:space="preserve">(Table 1) </w:t>
      </w:r>
      <w:r w:rsidR="0048230B">
        <w:rPr>
          <w:rFonts w:cs="Arial"/>
          <w:color w:val="000000"/>
          <w:sz w:val="22"/>
          <w:szCs w:val="22"/>
        </w:rPr>
        <w:t>are set out</w:t>
      </w:r>
      <w:r w:rsidR="008E0900">
        <w:rPr>
          <w:rFonts w:cs="Arial"/>
          <w:color w:val="000000"/>
          <w:sz w:val="22"/>
          <w:szCs w:val="22"/>
        </w:rPr>
        <w:t xml:space="preserve"> below. </w:t>
      </w:r>
      <w:r w:rsidR="00E75329">
        <w:rPr>
          <w:rFonts w:cs="Arial"/>
          <w:color w:val="000000"/>
          <w:sz w:val="22"/>
          <w:szCs w:val="22"/>
        </w:rPr>
        <w:t>The written responses to the Award Criteria</w:t>
      </w:r>
      <w:r w:rsidR="00391142">
        <w:rPr>
          <w:rFonts w:cs="Arial"/>
          <w:color w:val="000000"/>
          <w:sz w:val="22"/>
          <w:szCs w:val="22"/>
        </w:rPr>
        <w:t xml:space="preserve"> </w:t>
      </w:r>
      <w:r w:rsidR="008E0900">
        <w:rPr>
          <w:rFonts w:cs="Arial"/>
          <w:color w:val="000000"/>
          <w:sz w:val="22"/>
          <w:szCs w:val="22"/>
        </w:rPr>
        <w:t xml:space="preserve">will be </w:t>
      </w:r>
      <w:r w:rsidR="00E75329">
        <w:rPr>
          <w:rFonts w:cs="Arial"/>
          <w:color w:val="000000"/>
          <w:sz w:val="22"/>
          <w:szCs w:val="22"/>
        </w:rPr>
        <w:t>evaluated</w:t>
      </w:r>
      <w:r w:rsidR="00391142">
        <w:rPr>
          <w:rFonts w:cs="Arial"/>
          <w:color w:val="000000"/>
          <w:sz w:val="22"/>
          <w:szCs w:val="22"/>
        </w:rPr>
        <w:t>. A</w:t>
      </w:r>
      <w:r w:rsidR="008E0900">
        <w:rPr>
          <w:rFonts w:cs="Arial"/>
          <w:color w:val="000000"/>
          <w:sz w:val="22"/>
          <w:szCs w:val="22"/>
        </w:rPr>
        <w:t xml:space="preserve"> weighting is attributed to each evaluation heading </w:t>
      </w:r>
    </w:p>
    <w:p w:rsidR="008E0900" w:rsidRPr="004346E7" w:rsidRDefault="00E75329" w:rsidP="00D54AA5">
      <w:pPr>
        <w:pStyle w:val="A2"/>
        <w:numPr>
          <w:ilvl w:val="0"/>
          <w:numId w:val="0"/>
        </w:numPr>
        <w:ind w:left="1290" w:hanging="864"/>
        <w:rPr>
          <w:rFonts w:cs="Arial"/>
          <w:color w:val="000000"/>
          <w:sz w:val="22"/>
          <w:szCs w:val="22"/>
        </w:rPr>
      </w:pPr>
      <w:r>
        <w:rPr>
          <w:rFonts w:cs="Arial"/>
          <w:color w:val="000000"/>
          <w:sz w:val="22"/>
          <w:szCs w:val="22"/>
        </w:rPr>
        <w:t>1</w:t>
      </w:r>
      <w:r w:rsidR="00814E6C">
        <w:rPr>
          <w:rFonts w:cs="Arial"/>
          <w:color w:val="000000"/>
          <w:sz w:val="22"/>
          <w:szCs w:val="22"/>
        </w:rPr>
        <w:t>1</w:t>
      </w:r>
      <w:r>
        <w:rPr>
          <w:rFonts w:cs="Arial"/>
          <w:color w:val="000000"/>
          <w:sz w:val="22"/>
          <w:szCs w:val="22"/>
        </w:rPr>
        <w:t>.</w:t>
      </w:r>
      <w:r w:rsidR="009238DA">
        <w:rPr>
          <w:rFonts w:cs="Arial"/>
          <w:color w:val="000000"/>
          <w:sz w:val="22"/>
          <w:szCs w:val="22"/>
        </w:rPr>
        <w:t>5</w:t>
      </w:r>
      <w:r>
        <w:rPr>
          <w:rFonts w:cs="Arial"/>
          <w:color w:val="000000"/>
          <w:sz w:val="22"/>
          <w:szCs w:val="22"/>
        </w:rPr>
        <w:tab/>
      </w:r>
      <w:r w:rsidR="00AC774A">
        <w:rPr>
          <w:rFonts w:cs="Arial"/>
          <w:color w:val="000000"/>
          <w:sz w:val="22"/>
          <w:szCs w:val="22"/>
        </w:rPr>
        <w:t xml:space="preserve">The final Quality </w:t>
      </w:r>
      <w:r w:rsidR="008E0900">
        <w:rPr>
          <w:rFonts w:cs="Arial"/>
          <w:color w:val="000000"/>
          <w:sz w:val="22"/>
          <w:szCs w:val="22"/>
        </w:rPr>
        <w:t>Scores will be aggregated to give an overall score for the quotation.</w:t>
      </w:r>
    </w:p>
    <w:p w:rsidR="00D24DA4" w:rsidRPr="0001237E" w:rsidRDefault="000E5F10" w:rsidP="00A35461">
      <w:pPr>
        <w:pStyle w:val="A2"/>
        <w:numPr>
          <w:ilvl w:val="0"/>
          <w:numId w:val="0"/>
        </w:numPr>
        <w:ind w:left="1276" w:hanging="850"/>
        <w:rPr>
          <w:rFonts w:cs="Arial"/>
          <w:color w:val="000000"/>
          <w:sz w:val="22"/>
          <w:szCs w:val="22"/>
        </w:rPr>
      </w:pPr>
      <w:r>
        <w:rPr>
          <w:rFonts w:cs="Arial"/>
          <w:color w:val="000000"/>
          <w:sz w:val="22"/>
          <w:szCs w:val="22"/>
        </w:rPr>
        <w:t>1</w:t>
      </w:r>
      <w:r w:rsidR="00814E6C">
        <w:rPr>
          <w:rFonts w:cs="Arial"/>
          <w:color w:val="000000"/>
          <w:sz w:val="22"/>
          <w:szCs w:val="22"/>
        </w:rPr>
        <w:t>1</w:t>
      </w:r>
      <w:r w:rsidR="00A35461">
        <w:rPr>
          <w:rFonts w:cs="Arial"/>
          <w:color w:val="000000"/>
          <w:sz w:val="22"/>
          <w:szCs w:val="22"/>
        </w:rPr>
        <w:t>.</w:t>
      </w:r>
      <w:r w:rsidR="00814E6C">
        <w:rPr>
          <w:rFonts w:cs="Arial"/>
          <w:color w:val="000000"/>
          <w:sz w:val="22"/>
          <w:szCs w:val="22"/>
        </w:rPr>
        <w:t>6</w:t>
      </w:r>
      <w:r w:rsidR="00A35461">
        <w:rPr>
          <w:rFonts w:cs="Arial"/>
          <w:color w:val="000000"/>
          <w:sz w:val="22"/>
          <w:szCs w:val="22"/>
        </w:rPr>
        <w:tab/>
      </w:r>
      <w:r w:rsidR="00D24DA4" w:rsidRPr="0001237E">
        <w:rPr>
          <w:rFonts w:cs="Arial"/>
          <w:color w:val="000000"/>
          <w:sz w:val="22"/>
          <w:szCs w:val="22"/>
        </w:rPr>
        <w:t>The Authority reserves to itself the right in its absolute discretion:</w:t>
      </w:r>
    </w:p>
    <w:p w:rsidR="00D24DA4" w:rsidRPr="0001237E" w:rsidRDefault="00D24DA4" w:rsidP="00A35461">
      <w:pPr>
        <w:pStyle w:val="A3"/>
        <w:numPr>
          <w:ilvl w:val="0"/>
          <w:numId w:val="25"/>
        </w:numPr>
        <w:rPr>
          <w:rFonts w:cs="Arial"/>
          <w:color w:val="000000"/>
          <w:sz w:val="22"/>
          <w:szCs w:val="22"/>
        </w:rPr>
      </w:pPr>
      <w:r w:rsidRPr="0001237E">
        <w:rPr>
          <w:rFonts w:cs="Arial"/>
          <w:color w:val="000000"/>
          <w:sz w:val="22"/>
          <w:szCs w:val="22"/>
        </w:rPr>
        <w:t>to award the Contract</w:t>
      </w:r>
      <w:r w:rsidR="00AC774A">
        <w:rPr>
          <w:rFonts w:cs="Arial"/>
          <w:color w:val="000000"/>
          <w:sz w:val="22"/>
          <w:szCs w:val="22"/>
        </w:rPr>
        <w:t>(s)</w:t>
      </w:r>
      <w:r w:rsidRPr="0001237E">
        <w:rPr>
          <w:rFonts w:cs="Arial"/>
          <w:color w:val="000000"/>
          <w:sz w:val="22"/>
          <w:szCs w:val="22"/>
        </w:rPr>
        <w:t xml:space="preserve"> to any </w:t>
      </w:r>
      <w:r w:rsidR="00015708">
        <w:rPr>
          <w:rFonts w:cs="Arial"/>
          <w:color w:val="000000"/>
          <w:sz w:val="22"/>
          <w:szCs w:val="22"/>
        </w:rPr>
        <w:t>supplier</w:t>
      </w:r>
      <w:r w:rsidRPr="0001237E">
        <w:rPr>
          <w:rFonts w:cs="Arial"/>
          <w:color w:val="000000"/>
          <w:sz w:val="22"/>
          <w:szCs w:val="22"/>
        </w:rPr>
        <w:t>;</w:t>
      </w:r>
    </w:p>
    <w:p w:rsidR="00D24DA4" w:rsidRDefault="00D24DA4" w:rsidP="00A35461">
      <w:pPr>
        <w:pStyle w:val="A3"/>
        <w:numPr>
          <w:ilvl w:val="0"/>
          <w:numId w:val="25"/>
        </w:numPr>
        <w:rPr>
          <w:rFonts w:cs="Arial"/>
          <w:color w:val="000000"/>
          <w:sz w:val="22"/>
          <w:szCs w:val="22"/>
        </w:rPr>
      </w:pPr>
      <w:r w:rsidRPr="0001237E">
        <w:rPr>
          <w:rFonts w:cs="Arial"/>
          <w:color w:val="000000"/>
          <w:sz w:val="22"/>
          <w:szCs w:val="22"/>
        </w:rPr>
        <w:t>not to award the Contract</w:t>
      </w:r>
      <w:r w:rsidR="00AC774A">
        <w:rPr>
          <w:rFonts w:cs="Arial"/>
          <w:color w:val="000000"/>
          <w:sz w:val="22"/>
          <w:szCs w:val="22"/>
        </w:rPr>
        <w:t>(s)</w:t>
      </w:r>
      <w:r w:rsidRPr="0001237E">
        <w:rPr>
          <w:rFonts w:cs="Arial"/>
          <w:color w:val="000000"/>
          <w:sz w:val="22"/>
          <w:szCs w:val="22"/>
        </w:rPr>
        <w:t xml:space="preserve"> to any of the </w:t>
      </w:r>
      <w:r w:rsidR="00015708">
        <w:rPr>
          <w:rFonts w:cs="Arial"/>
          <w:color w:val="000000"/>
          <w:sz w:val="22"/>
          <w:szCs w:val="22"/>
        </w:rPr>
        <w:t>suppliers</w:t>
      </w:r>
      <w:r w:rsidR="00015708" w:rsidRPr="0001237E">
        <w:rPr>
          <w:rFonts w:cs="Arial"/>
          <w:color w:val="000000"/>
          <w:sz w:val="22"/>
          <w:szCs w:val="22"/>
        </w:rPr>
        <w:t xml:space="preserve"> </w:t>
      </w:r>
      <w:r w:rsidRPr="0001237E">
        <w:rPr>
          <w:rFonts w:cs="Arial"/>
          <w:color w:val="000000"/>
          <w:sz w:val="22"/>
          <w:szCs w:val="22"/>
        </w:rPr>
        <w:t>or at all.</w:t>
      </w:r>
    </w:p>
    <w:p w:rsidR="00D24DA4" w:rsidRDefault="000E5F10" w:rsidP="00A35461">
      <w:pPr>
        <w:pStyle w:val="A2"/>
        <w:numPr>
          <w:ilvl w:val="0"/>
          <w:numId w:val="0"/>
        </w:numPr>
        <w:ind w:left="1276" w:hanging="850"/>
        <w:rPr>
          <w:rFonts w:cs="Arial"/>
          <w:color w:val="000000"/>
          <w:sz w:val="22"/>
          <w:szCs w:val="22"/>
        </w:rPr>
      </w:pPr>
      <w:r>
        <w:rPr>
          <w:rFonts w:cs="Arial"/>
          <w:color w:val="000000"/>
          <w:sz w:val="22"/>
          <w:szCs w:val="22"/>
        </w:rPr>
        <w:t>1</w:t>
      </w:r>
      <w:r w:rsidR="00814E6C">
        <w:rPr>
          <w:rFonts w:cs="Arial"/>
          <w:color w:val="000000"/>
          <w:sz w:val="22"/>
          <w:szCs w:val="22"/>
        </w:rPr>
        <w:t>1</w:t>
      </w:r>
      <w:r w:rsidR="00A35461">
        <w:rPr>
          <w:rFonts w:cs="Arial"/>
          <w:color w:val="000000"/>
          <w:sz w:val="22"/>
          <w:szCs w:val="22"/>
        </w:rPr>
        <w:t>.</w:t>
      </w:r>
      <w:r w:rsidR="00814E6C">
        <w:rPr>
          <w:rFonts w:cs="Arial"/>
          <w:color w:val="000000"/>
          <w:sz w:val="22"/>
          <w:szCs w:val="22"/>
        </w:rPr>
        <w:t>7</w:t>
      </w:r>
      <w:r w:rsidR="00A35461">
        <w:rPr>
          <w:rFonts w:cs="Arial"/>
          <w:color w:val="000000"/>
          <w:sz w:val="22"/>
          <w:szCs w:val="22"/>
        </w:rPr>
        <w:tab/>
      </w:r>
      <w:r w:rsidR="009449B8" w:rsidRPr="00BE7D37">
        <w:rPr>
          <w:rFonts w:cs="Arial"/>
          <w:color w:val="000000"/>
          <w:sz w:val="22"/>
          <w:szCs w:val="22"/>
        </w:rPr>
        <w:t>The responses to the questions relating to the Award Criteria will be scored using the scoring mechanism below</w:t>
      </w:r>
      <w:r w:rsidR="00BE7D37">
        <w:rPr>
          <w:rFonts w:cs="Arial"/>
          <w:color w:val="000000"/>
          <w:sz w:val="22"/>
          <w:szCs w:val="22"/>
        </w:rPr>
        <w:t xml:space="preserve"> (Table </w:t>
      </w:r>
      <w:r w:rsidR="009449B8" w:rsidRPr="00BE7D37">
        <w:rPr>
          <w:rFonts w:cs="Arial"/>
          <w:color w:val="000000"/>
          <w:sz w:val="22"/>
          <w:szCs w:val="22"/>
        </w:rPr>
        <w:t>1), and then weighted in accordance with the weightings listed in Table 2.</w:t>
      </w:r>
    </w:p>
    <w:p w:rsidR="00593DAE" w:rsidRDefault="00593DAE" w:rsidP="00A35461">
      <w:pPr>
        <w:pStyle w:val="A2"/>
        <w:numPr>
          <w:ilvl w:val="0"/>
          <w:numId w:val="0"/>
        </w:numPr>
        <w:ind w:left="1276" w:hanging="850"/>
        <w:rPr>
          <w:rFonts w:cs="Arial"/>
          <w:color w:val="000000"/>
          <w:sz w:val="22"/>
          <w:szCs w:val="22"/>
        </w:rPr>
      </w:pPr>
    </w:p>
    <w:p w:rsidR="00593DAE" w:rsidRDefault="00593DAE" w:rsidP="00A35461">
      <w:pPr>
        <w:pStyle w:val="A2"/>
        <w:numPr>
          <w:ilvl w:val="0"/>
          <w:numId w:val="0"/>
        </w:numPr>
        <w:ind w:left="1276" w:hanging="850"/>
        <w:rPr>
          <w:rFonts w:cs="Arial"/>
          <w:color w:val="000000"/>
          <w:sz w:val="22"/>
          <w:szCs w:val="22"/>
        </w:rPr>
      </w:pPr>
      <w:r>
        <w:rPr>
          <w:rFonts w:cs="Arial"/>
          <w:color w:val="000000"/>
          <w:sz w:val="22"/>
          <w:szCs w:val="22"/>
        </w:rPr>
        <w:t>1</w:t>
      </w:r>
      <w:r w:rsidR="00814E6C">
        <w:rPr>
          <w:rFonts w:cs="Arial"/>
          <w:color w:val="000000"/>
          <w:sz w:val="22"/>
          <w:szCs w:val="22"/>
        </w:rPr>
        <w:t>1</w:t>
      </w:r>
      <w:r>
        <w:rPr>
          <w:rFonts w:cs="Arial"/>
          <w:color w:val="000000"/>
          <w:sz w:val="22"/>
          <w:szCs w:val="22"/>
        </w:rPr>
        <w:t>.</w:t>
      </w:r>
      <w:r w:rsidR="00814E6C">
        <w:rPr>
          <w:rFonts w:cs="Arial"/>
          <w:color w:val="000000"/>
          <w:sz w:val="22"/>
          <w:szCs w:val="22"/>
        </w:rPr>
        <w:t>8</w:t>
      </w:r>
      <w:r>
        <w:rPr>
          <w:rFonts w:cs="Arial"/>
          <w:color w:val="000000"/>
          <w:sz w:val="22"/>
          <w:szCs w:val="22"/>
        </w:rPr>
        <w:tab/>
        <w:t>IF NONE OF THE OFFERS RECEIVED</w:t>
      </w:r>
      <w:r w:rsidR="00AC774A">
        <w:rPr>
          <w:rFonts w:cs="Arial"/>
          <w:color w:val="000000"/>
          <w:sz w:val="22"/>
          <w:szCs w:val="22"/>
        </w:rPr>
        <w:t xml:space="preserve"> </w:t>
      </w:r>
      <w:r>
        <w:rPr>
          <w:rFonts w:cs="Arial"/>
          <w:color w:val="000000"/>
          <w:sz w:val="22"/>
          <w:szCs w:val="22"/>
        </w:rPr>
        <w:t xml:space="preserve">ACHIEVE A QUALITY SCORE OF AT LEAST 50%, THE AUTHORITY WILL ABANDON THE PROCUREMENT PROCESS AND (AT ITS ABSOLUTE DISCRETION) MAY ENTER INTO DIRECT NEGOTIATIONS WITH SERVICE PROVIDERS. </w:t>
      </w:r>
    </w:p>
    <w:p w:rsidR="00593DAE" w:rsidRDefault="00593DAE" w:rsidP="00A35461">
      <w:pPr>
        <w:pStyle w:val="A2"/>
        <w:numPr>
          <w:ilvl w:val="0"/>
          <w:numId w:val="0"/>
        </w:numPr>
        <w:ind w:left="1276" w:hanging="850"/>
        <w:rPr>
          <w:rFonts w:cs="Arial"/>
          <w:color w:val="000000"/>
          <w:sz w:val="22"/>
          <w:szCs w:val="22"/>
        </w:rPr>
      </w:pPr>
    </w:p>
    <w:p w:rsidR="00593DAE" w:rsidRDefault="00593DAE" w:rsidP="00A35461">
      <w:pPr>
        <w:pStyle w:val="A2"/>
        <w:numPr>
          <w:ilvl w:val="0"/>
          <w:numId w:val="0"/>
        </w:numPr>
        <w:ind w:left="1276" w:hanging="850"/>
        <w:rPr>
          <w:rFonts w:cs="Arial"/>
          <w:color w:val="000000"/>
          <w:sz w:val="22"/>
          <w:szCs w:val="22"/>
        </w:rPr>
      </w:pPr>
      <w:r>
        <w:rPr>
          <w:rFonts w:cs="Arial"/>
          <w:color w:val="000000"/>
          <w:sz w:val="22"/>
          <w:szCs w:val="22"/>
        </w:rPr>
        <w:t>1</w:t>
      </w:r>
      <w:r w:rsidR="00814E6C">
        <w:rPr>
          <w:rFonts w:cs="Arial"/>
          <w:color w:val="000000"/>
          <w:sz w:val="22"/>
          <w:szCs w:val="22"/>
        </w:rPr>
        <w:t>1</w:t>
      </w:r>
      <w:r>
        <w:rPr>
          <w:rFonts w:cs="Arial"/>
          <w:color w:val="000000"/>
          <w:sz w:val="22"/>
          <w:szCs w:val="22"/>
        </w:rPr>
        <w:t>.</w:t>
      </w:r>
      <w:r w:rsidR="00814E6C">
        <w:rPr>
          <w:rFonts w:cs="Arial"/>
          <w:color w:val="000000"/>
          <w:sz w:val="22"/>
          <w:szCs w:val="22"/>
        </w:rPr>
        <w:t>9</w:t>
      </w:r>
      <w:r>
        <w:rPr>
          <w:rFonts w:cs="Arial"/>
          <w:color w:val="000000"/>
          <w:sz w:val="22"/>
          <w:szCs w:val="22"/>
        </w:rPr>
        <w:tab/>
        <w:t>Written responses to each award criterion</w:t>
      </w:r>
      <w:r w:rsidR="002B2938">
        <w:rPr>
          <w:rFonts w:cs="Arial"/>
          <w:color w:val="000000"/>
          <w:sz w:val="22"/>
          <w:szCs w:val="22"/>
        </w:rPr>
        <w:t xml:space="preserve"> </w:t>
      </w:r>
      <w:r>
        <w:rPr>
          <w:rFonts w:cs="Arial"/>
          <w:color w:val="000000"/>
          <w:sz w:val="22"/>
          <w:szCs w:val="22"/>
        </w:rPr>
        <w:t>should be clear and concise and contained on no more than 4 sides of A4</w:t>
      </w:r>
      <w:r w:rsidR="005008EA">
        <w:rPr>
          <w:rFonts w:cs="Arial"/>
          <w:color w:val="000000"/>
          <w:sz w:val="22"/>
          <w:szCs w:val="22"/>
        </w:rPr>
        <w:t>.</w:t>
      </w:r>
      <w:r>
        <w:rPr>
          <w:rFonts w:cs="Arial"/>
          <w:color w:val="000000"/>
          <w:sz w:val="22"/>
          <w:szCs w:val="22"/>
        </w:rPr>
        <w:t xml:space="preserve"> </w:t>
      </w:r>
    </w:p>
    <w:p w:rsidR="00814E6C" w:rsidRDefault="00814E6C" w:rsidP="00A35461">
      <w:pPr>
        <w:pStyle w:val="A2"/>
        <w:numPr>
          <w:ilvl w:val="0"/>
          <w:numId w:val="0"/>
        </w:numPr>
        <w:ind w:left="1276" w:hanging="850"/>
        <w:rPr>
          <w:rFonts w:cs="Arial"/>
          <w:color w:val="000000"/>
          <w:sz w:val="22"/>
          <w:szCs w:val="22"/>
        </w:rPr>
      </w:pPr>
    </w:p>
    <w:p w:rsidR="00814E6C" w:rsidRDefault="00814E6C" w:rsidP="00A35461">
      <w:pPr>
        <w:pStyle w:val="A2"/>
        <w:numPr>
          <w:ilvl w:val="0"/>
          <w:numId w:val="0"/>
        </w:numPr>
        <w:ind w:left="1276" w:hanging="850"/>
        <w:rPr>
          <w:rFonts w:cs="Arial"/>
          <w:color w:val="000000"/>
          <w:sz w:val="22"/>
          <w:szCs w:val="22"/>
        </w:rPr>
      </w:pPr>
    </w:p>
    <w:p w:rsidR="00814E6C" w:rsidRDefault="00814E6C" w:rsidP="00A35461">
      <w:pPr>
        <w:pStyle w:val="A2"/>
        <w:numPr>
          <w:ilvl w:val="0"/>
          <w:numId w:val="0"/>
        </w:numPr>
        <w:ind w:left="1276" w:hanging="850"/>
        <w:rPr>
          <w:rFonts w:cs="Arial"/>
          <w:color w:val="000000"/>
          <w:sz w:val="22"/>
          <w:szCs w:val="22"/>
        </w:rPr>
      </w:pPr>
    </w:p>
    <w:p w:rsidR="00BE7D37" w:rsidRPr="00BE7D37" w:rsidRDefault="00BE7D37" w:rsidP="00BE7D37">
      <w:pPr>
        <w:pStyle w:val="A2"/>
        <w:numPr>
          <w:ilvl w:val="0"/>
          <w:numId w:val="0"/>
        </w:numPr>
        <w:ind w:left="1290"/>
        <w:rPr>
          <w:rFonts w:cs="Arial"/>
          <w:color w:val="000000"/>
          <w:sz w:val="22"/>
          <w:szCs w:val="22"/>
        </w:rPr>
      </w:pPr>
    </w:p>
    <w:p w:rsidR="009449B8" w:rsidRPr="00BE7D37" w:rsidRDefault="009449B8" w:rsidP="00B62654">
      <w:pPr>
        <w:ind w:left="1276" w:hanging="709"/>
        <w:rPr>
          <w:rFonts w:cs="Arial"/>
          <w:b/>
          <w:color w:val="000000"/>
          <w:sz w:val="22"/>
          <w:szCs w:val="22"/>
          <w:u w:val="single"/>
        </w:rPr>
      </w:pPr>
      <w:r w:rsidRPr="00BE7D37">
        <w:rPr>
          <w:rFonts w:cs="Arial"/>
          <w:b/>
          <w:color w:val="000000"/>
          <w:sz w:val="22"/>
          <w:szCs w:val="22"/>
          <w:u w:val="single"/>
        </w:rPr>
        <w:lastRenderedPageBreak/>
        <w:t>Table 1:</w:t>
      </w:r>
      <w:r w:rsidR="00B62654">
        <w:rPr>
          <w:rFonts w:cs="Arial"/>
          <w:b/>
          <w:color w:val="000000"/>
          <w:sz w:val="22"/>
          <w:szCs w:val="22"/>
          <w:u w:val="single"/>
        </w:rPr>
        <w:t xml:space="preserve"> MARKING SCHEME</w:t>
      </w:r>
    </w:p>
    <w:p w:rsidR="009449B8" w:rsidRDefault="009449B8" w:rsidP="009449B8">
      <w:pPr>
        <w:ind w:left="720"/>
        <w:rPr>
          <w:rFonts w:cs="Arial"/>
          <w:color w:val="000000"/>
          <w:sz w:val="22"/>
          <w:szCs w:val="22"/>
        </w:rPr>
      </w:pPr>
    </w:p>
    <w:tbl>
      <w:tblPr>
        <w:tblW w:w="825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834"/>
        <w:gridCol w:w="5478"/>
      </w:tblGrid>
      <w:tr w:rsidR="00D24DA4" w:rsidRPr="000E1AF5" w:rsidTr="0051287C">
        <w:trPr>
          <w:tblHeader/>
        </w:trPr>
        <w:tc>
          <w:tcPr>
            <w:tcW w:w="947" w:type="dxa"/>
            <w:tcBorders>
              <w:top w:val="single" w:sz="4" w:space="0" w:color="auto"/>
              <w:left w:val="single" w:sz="4" w:space="0" w:color="auto"/>
              <w:bottom w:val="single" w:sz="4" w:space="0" w:color="auto"/>
              <w:right w:val="single" w:sz="4" w:space="0" w:color="auto"/>
            </w:tcBorders>
            <w:shd w:val="clear" w:color="auto" w:fill="C0C0C0"/>
            <w:hideMark/>
          </w:tcPr>
          <w:p w:rsidR="00D24DA4" w:rsidRPr="000E1AF5" w:rsidRDefault="00D24DA4" w:rsidP="0051287C">
            <w:pPr>
              <w:spacing w:after="60"/>
              <w:jc w:val="center"/>
              <w:rPr>
                <w:rFonts w:cs="Arial"/>
                <w:b/>
                <w:color w:val="000000"/>
                <w:sz w:val="22"/>
                <w:szCs w:val="22"/>
              </w:rPr>
            </w:pPr>
            <w:r w:rsidRPr="000E1AF5">
              <w:rPr>
                <w:rFonts w:cs="Arial"/>
                <w:b/>
                <w:color w:val="000000"/>
                <w:sz w:val="22"/>
                <w:szCs w:val="22"/>
              </w:rPr>
              <w:t>Score</w:t>
            </w:r>
          </w:p>
        </w:tc>
        <w:tc>
          <w:tcPr>
            <w:tcW w:w="1834" w:type="dxa"/>
            <w:tcBorders>
              <w:top w:val="single" w:sz="4" w:space="0" w:color="auto"/>
              <w:left w:val="single" w:sz="4" w:space="0" w:color="auto"/>
              <w:bottom w:val="single" w:sz="4" w:space="0" w:color="auto"/>
              <w:right w:val="single" w:sz="4" w:space="0" w:color="auto"/>
            </w:tcBorders>
            <w:shd w:val="clear" w:color="auto" w:fill="C0C0C0"/>
            <w:hideMark/>
          </w:tcPr>
          <w:p w:rsidR="00D24DA4" w:rsidRPr="000E1AF5" w:rsidRDefault="00D24DA4" w:rsidP="0051287C">
            <w:pPr>
              <w:spacing w:after="60"/>
              <w:rPr>
                <w:rFonts w:cs="Arial"/>
                <w:b/>
                <w:color w:val="000000"/>
                <w:sz w:val="22"/>
                <w:szCs w:val="22"/>
              </w:rPr>
            </w:pPr>
            <w:r w:rsidRPr="000E1AF5">
              <w:rPr>
                <w:rFonts w:cs="Arial"/>
                <w:b/>
                <w:color w:val="000000"/>
                <w:sz w:val="22"/>
                <w:szCs w:val="22"/>
              </w:rPr>
              <w:t>Rating</w:t>
            </w:r>
          </w:p>
        </w:tc>
        <w:tc>
          <w:tcPr>
            <w:tcW w:w="5478" w:type="dxa"/>
            <w:tcBorders>
              <w:top w:val="single" w:sz="4" w:space="0" w:color="auto"/>
              <w:left w:val="single" w:sz="4" w:space="0" w:color="auto"/>
              <w:bottom w:val="single" w:sz="4" w:space="0" w:color="auto"/>
              <w:right w:val="single" w:sz="4" w:space="0" w:color="auto"/>
            </w:tcBorders>
            <w:shd w:val="clear" w:color="auto" w:fill="C0C0C0"/>
            <w:hideMark/>
          </w:tcPr>
          <w:p w:rsidR="00D24DA4" w:rsidRPr="000E1AF5" w:rsidRDefault="00D24DA4" w:rsidP="0051287C">
            <w:pPr>
              <w:spacing w:after="60"/>
              <w:rPr>
                <w:rFonts w:cs="Arial"/>
                <w:b/>
                <w:color w:val="000000"/>
                <w:sz w:val="22"/>
                <w:szCs w:val="22"/>
              </w:rPr>
            </w:pPr>
            <w:r w:rsidRPr="000E1AF5">
              <w:rPr>
                <w:rFonts w:cs="Arial"/>
                <w:b/>
                <w:color w:val="000000"/>
                <w:sz w:val="22"/>
                <w:szCs w:val="22"/>
              </w:rPr>
              <w:t>Criteria for Awarding Score</w:t>
            </w:r>
          </w:p>
        </w:tc>
      </w:tr>
      <w:tr w:rsidR="00D24DA4" w:rsidRPr="000E1AF5" w:rsidTr="0051287C">
        <w:tc>
          <w:tcPr>
            <w:tcW w:w="947"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0</w:t>
            </w:r>
          </w:p>
        </w:tc>
        <w:tc>
          <w:tcPr>
            <w:tcW w:w="1834"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widowControl w:val="0"/>
              <w:spacing w:before="120" w:after="120"/>
              <w:rPr>
                <w:rFonts w:cs="Arial"/>
                <w:b/>
                <w:bCs/>
                <w:sz w:val="20"/>
              </w:rPr>
            </w:pPr>
            <w:r w:rsidRPr="000E1AF5">
              <w:rPr>
                <w:rFonts w:cs="Arial"/>
                <w:b/>
                <w:bCs/>
                <w:sz w:val="20"/>
              </w:rPr>
              <w:t>Unacceptable</w:t>
            </w:r>
          </w:p>
          <w:p w:rsidR="00D24DA4" w:rsidRPr="000E1AF5" w:rsidRDefault="00D24DA4" w:rsidP="0051287C">
            <w:pPr>
              <w:autoSpaceDE w:val="0"/>
              <w:autoSpaceDN w:val="0"/>
              <w:adjustRightInd w:val="0"/>
              <w:spacing w:before="100" w:after="100"/>
              <w:rPr>
                <w:rFonts w:cs="Arial"/>
                <w:color w:val="000000"/>
                <w:sz w:val="20"/>
              </w:rPr>
            </w:pPr>
            <w:r w:rsidRPr="000E1AF5">
              <w:rPr>
                <w:rFonts w:cs="Arial"/>
                <w:b/>
                <w:bCs/>
                <w:sz w:val="20"/>
              </w:rPr>
              <w:t>(fail)</w:t>
            </w:r>
          </w:p>
        </w:tc>
        <w:tc>
          <w:tcPr>
            <w:tcW w:w="5478"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autoSpaceDE w:val="0"/>
              <w:autoSpaceDN w:val="0"/>
              <w:adjustRightInd w:val="0"/>
              <w:spacing w:before="100" w:after="100"/>
              <w:rPr>
                <w:rFonts w:cs="Arial"/>
                <w:color w:val="000000"/>
                <w:sz w:val="20"/>
              </w:rPr>
            </w:pPr>
            <w:r w:rsidRPr="000E1AF5">
              <w:rPr>
                <w:rFonts w:cs="Arial"/>
                <w:sz w:val="20"/>
              </w:rPr>
              <w:t>The information is omitted/no details provided, or irrelevant answer provided</w:t>
            </w:r>
          </w:p>
        </w:tc>
      </w:tr>
      <w:tr w:rsidR="00D24DA4" w:rsidRPr="000E1AF5" w:rsidTr="0051287C">
        <w:tc>
          <w:tcPr>
            <w:tcW w:w="947"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1</w:t>
            </w:r>
          </w:p>
        </w:tc>
        <w:tc>
          <w:tcPr>
            <w:tcW w:w="1834"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widowControl w:val="0"/>
              <w:spacing w:before="120" w:after="120"/>
              <w:rPr>
                <w:rFonts w:cs="Arial"/>
                <w:b/>
                <w:bCs/>
                <w:sz w:val="20"/>
              </w:rPr>
            </w:pPr>
            <w:r w:rsidRPr="000E1AF5">
              <w:rPr>
                <w:rFonts w:cs="Arial"/>
                <w:b/>
                <w:bCs/>
                <w:sz w:val="20"/>
              </w:rPr>
              <w:t xml:space="preserve">Poor </w:t>
            </w:r>
          </w:p>
          <w:p w:rsidR="00D24DA4" w:rsidRPr="000E1AF5" w:rsidRDefault="00D24DA4" w:rsidP="0051287C">
            <w:pPr>
              <w:autoSpaceDE w:val="0"/>
              <w:autoSpaceDN w:val="0"/>
              <w:adjustRightInd w:val="0"/>
              <w:spacing w:before="100" w:after="100"/>
              <w:rPr>
                <w:rFonts w:cs="Arial"/>
                <w:color w:val="000000"/>
                <w:sz w:val="20"/>
              </w:rPr>
            </w:pPr>
            <w:r w:rsidRPr="000E1AF5">
              <w:rPr>
                <w:rFonts w:cs="Arial"/>
                <w:b/>
                <w:bCs/>
                <w:sz w:val="20"/>
              </w:rPr>
              <w:t>(fail)</w:t>
            </w:r>
          </w:p>
        </w:tc>
        <w:tc>
          <w:tcPr>
            <w:tcW w:w="5478" w:type="dxa"/>
            <w:tcBorders>
              <w:top w:val="single" w:sz="4" w:space="0" w:color="auto"/>
              <w:left w:val="single" w:sz="4" w:space="0" w:color="auto"/>
              <w:bottom w:val="single" w:sz="4" w:space="0" w:color="auto"/>
              <w:right w:val="single" w:sz="4" w:space="0" w:color="auto"/>
            </w:tcBorders>
            <w:hideMark/>
          </w:tcPr>
          <w:p w:rsidR="00D24DA4" w:rsidRPr="000E1AF5" w:rsidRDefault="00D24DA4" w:rsidP="008E0900">
            <w:pPr>
              <w:autoSpaceDE w:val="0"/>
              <w:autoSpaceDN w:val="0"/>
              <w:adjustRightInd w:val="0"/>
              <w:spacing w:before="100" w:after="100"/>
              <w:rPr>
                <w:rFonts w:cs="Arial"/>
                <w:color w:val="000000"/>
                <w:sz w:val="20"/>
              </w:rPr>
            </w:pPr>
            <w:r w:rsidRPr="000E1AF5">
              <w:rPr>
                <w:rFonts w:cs="Arial"/>
                <w:sz w:val="20"/>
              </w:rPr>
              <w:t xml:space="preserve">The Authority has serious reservations that the </w:t>
            </w:r>
            <w:r w:rsidR="00E26613" w:rsidRPr="000E1AF5">
              <w:rPr>
                <w:rFonts w:cs="Arial"/>
                <w:sz w:val="20"/>
              </w:rPr>
              <w:t>supplier</w:t>
            </w:r>
            <w:r w:rsidR="008E0900" w:rsidRPr="000E1AF5">
              <w:rPr>
                <w:rFonts w:cs="Arial"/>
                <w:sz w:val="20"/>
              </w:rPr>
              <w:t xml:space="preserve"> </w:t>
            </w:r>
            <w:r w:rsidRPr="000E1AF5">
              <w:rPr>
                <w:rFonts w:cs="Arial"/>
                <w:sz w:val="20"/>
              </w:rPr>
              <w:t>understands the requirement in the question. The proposal provides very limited evidence and assurance that the relevant aspect of the service would be delivered to the expected standard and there are serious doubts about aspects of the response.</w:t>
            </w:r>
          </w:p>
        </w:tc>
      </w:tr>
      <w:tr w:rsidR="00D24DA4" w:rsidRPr="000E1AF5" w:rsidTr="0051287C">
        <w:tc>
          <w:tcPr>
            <w:tcW w:w="947"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2</w:t>
            </w:r>
          </w:p>
        </w:tc>
        <w:tc>
          <w:tcPr>
            <w:tcW w:w="1834"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autoSpaceDE w:val="0"/>
              <w:autoSpaceDN w:val="0"/>
              <w:adjustRightInd w:val="0"/>
              <w:spacing w:before="100" w:after="100"/>
              <w:rPr>
                <w:rFonts w:cs="Arial"/>
                <w:color w:val="000000"/>
                <w:sz w:val="20"/>
              </w:rPr>
            </w:pPr>
            <w:r w:rsidRPr="000E1AF5">
              <w:rPr>
                <w:rFonts w:cs="Arial"/>
                <w:b/>
                <w:bCs/>
                <w:sz w:val="20"/>
              </w:rPr>
              <w:t>Fair</w:t>
            </w:r>
            <w:r w:rsidRPr="000E1AF5">
              <w:rPr>
                <w:rFonts w:cs="Arial"/>
                <w:sz w:val="20"/>
              </w:rPr>
              <w:t xml:space="preserve"> </w:t>
            </w:r>
          </w:p>
        </w:tc>
        <w:tc>
          <w:tcPr>
            <w:tcW w:w="5478" w:type="dxa"/>
            <w:tcBorders>
              <w:top w:val="single" w:sz="4" w:space="0" w:color="auto"/>
              <w:left w:val="single" w:sz="4" w:space="0" w:color="auto"/>
              <w:bottom w:val="single" w:sz="4" w:space="0" w:color="auto"/>
              <w:right w:val="single" w:sz="4" w:space="0" w:color="auto"/>
            </w:tcBorders>
            <w:hideMark/>
          </w:tcPr>
          <w:p w:rsidR="00D24DA4" w:rsidRPr="000E1AF5" w:rsidRDefault="00D24DA4" w:rsidP="008E0900">
            <w:pPr>
              <w:autoSpaceDE w:val="0"/>
              <w:autoSpaceDN w:val="0"/>
              <w:adjustRightInd w:val="0"/>
              <w:spacing w:before="100" w:after="100"/>
              <w:rPr>
                <w:rFonts w:cs="Arial"/>
                <w:color w:val="000000"/>
                <w:sz w:val="20"/>
              </w:rPr>
            </w:pPr>
            <w:r w:rsidRPr="000E1AF5">
              <w:rPr>
                <w:rFonts w:cs="Arial"/>
                <w:sz w:val="20"/>
              </w:rPr>
              <w:t xml:space="preserve">The submission is superficial and generic in its scope. The Authority has some reservations that the </w:t>
            </w:r>
            <w:r w:rsidR="00E26613" w:rsidRPr="000E1AF5">
              <w:rPr>
                <w:rFonts w:cs="Arial"/>
                <w:sz w:val="20"/>
              </w:rPr>
              <w:t>supplier</w:t>
            </w:r>
            <w:r w:rsidR="008E0900" w:rsidRPr="000E1AF5">
              <w:rPr>
                <w:rFonts w:cs="Arial"/>
                <w:sz w:val="20"/>
              </w:rPr>
              <w:t xml:space="preserve"> </w:t>
            </w:r>
            <w:r w:rsidRPr="000E1AF5">
              <w:rPr>
                <w:rFonts w:cs="Arial"/>
                <w:sz w:val="20"/>
              </w:rPr>
              <w:t>understands the requirement in the question. The proposal provides some limited evidence and assurance that the relevant aspect of the service or requirement would be delivered to a satisfactory standard.</w:t>
            </w:r>
          </w:p>
        </w:tc>
      </w:tr>
      <w:tr w:rsidR="00D24DA4" w:rsidRPr="000E1AF5" w:rsidTr="0051287C">
        <w:tc>
          <w:tcPr>
            <w:tcW w:w="947"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3</w:t>
            </w:r>
          </w:p>
        </w:tc>
        <w:tc>
          <w:tcPr>
            <w:tcW w:w="1834" w:type="dxa"/>
            <w:tcBorders>
              <w:top w:val="single" w:sz="4" w:space="0" w:color="auto"/>
              <w:left w:val="single" w:sz="4" w:space="0" w:color="auto"/>
              <w:bottom w:val="single" w:sz="4" w:space="0" w:color="auto"/>
              <w:right w:val="single" w:sz="4" w:space="0" w:color="auto"/>
            </w:tcBorders>
            <w:hideMark/>
          </w:tcPr>
          <w:p w:rsidR="00D24DA4" w:rsidRPr="00795336" w:rsidRDefault="00D24DA4" w:rsidP="0051287C">
            <w:pPr>
              <w:autoSpaceDE w:val="0"/>
              <w:autoSpaceDN w:val="0"/>
              <w:adjustRightInd w:val="0"/>
              <w:spacing w:before="100" w:after="100"/>
              <w:rPr>
                <w:rFonts w:cs="Arial"/>
                <w:b/>
                <w:color w:val="000000"/>
                <w:sz w:val="20"/>
              </w:rPr>
            </w:pPr>
            <w:r w:rsidRPr="00795336">
              <w:rPr>
                <w:rFonts w:cs="Arial"/>
                <w:b/>
                <w:color w:val="000000"/>
                <w:sz w:val="20"/>
              </w:rPr>
              <w:t>Satisfactory</w:t>
            </w:r>
          </w:p>
        </w:tc>
        <w:tc>
          <w:tcPr>
            <w:tcW w:w="5478" w:type="dxa"/>
            <w:tcBorders>
              <w:top w:val="single" w:sz="4" w:space="0" w:color="auto"/>
              <w:left w:val="single" w:sz="4" w:space="0" w:color="auto"/>
              <w:bottom w:val="single" w:sz="4" w:space="0" w:color="auto"/>
              <w:right w:val="single" w:sz="4" w:space="0" w:color="auto"/>
            </w:tcBorders>
            <w:hideMark/>
          </w:tcPr>
          <w:p w:rsidR="00D24DA4" w:rsidRPr="000E1AF5" w:rsidRDefault="00D24DA4" w:rsidP="008E0900">
            <w:pPr>
              <w:autoSpaceDE w:val="0"/>
              <w:autoSpaceDN w:val="0"/>
              <w:adjustRightInd w:val="0"/>
              <w:spacing w:before="100" w:after="100"/>
              <w:rPr>
                <w:rFonts w:cs="Arial"/>
                <w:color w:val="000000"/>
                <w:sz w:val="20"/>
              </w:rPr>
            </w:pPr>
            <w:r w:rsidRPr="000E1AF5">
              <w:rPr>
                <w:rFonts w:cs="Arial"/>
                <w:sz w:val="20"/>
              </w:rPr>
              <w:t xml:space="preserve">The Authority is reasonably confident that the </w:t>
            </w:r>
            <w:r w:rsidR="00E26613" w:rsidRPr="000E1AF5">
              <w:rPr>
                <w:rFonts w:cs="Arial"/>
                <w:sz w:val="20"/>
              </w:rPr>
              <w:t>supplier</w:t>
            </w:r>
            <w:r w:rsidR="008E0900" w:rsidRPr="000E1AF5">
              <w:rPr>
                <w:rFonts w:cs="Arial"/>
                <w:sz w:val="20"/>
              </w:rPr>
              <w:t xml:space="preserve"> </w:t>
            </w:r>
            <w:r w:rsidRPr="000E1AF5">
              <w:rPr>
                <w:rFonts w:cs="Arial"/>
                <w:sz w:val="20"/>
              </w:rPr>
              <w:t>understands the requirement in the question and the proposal provides some satisfactory evidence and assurance that the relevant aspect of the service or requirement would be delivered to a satisfactory standard.</w:t>
            </w:r>
          </w:p>
        </w:tc>
      </w:tr>
      <w:tr w:rsidR="00D24DA4" w:rsidRPr="000E1AF5" w:rsidTr="0051287C">
        <w:tc>
          <w:tcPr>
            <w:tcW w:w="947"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4</w:t>
            </w:r>
          </w:p>
        </w:tc>
        <w:tc>
          <w:tcPr>
            <w:tcW w:w="1834" w:type="dxa"/>
            <w:tcBorders>
              <w:top w:val="single" w:sz="4" w:space="0" w:color="auto"/>
              <w:left w:val="single" w:sz="4" w:space="0" w:color="auto"/>
              <w:bottom w:val="single" w:sz="4" w:space="0" w:color="auto"/>
              <w:right w:val="single" w:sz="4" w:space="0" w:color="auto"/>
            </w:tcBorders>
            <w:hideMark/>
          </w:tcPr>
          <w:p w:rsidR="00D24DA4" w:rsidRPr="00795336" w:rsidRDefault="00D24DA4" w:rsidP="0051287C">
            <w:pPr>
              <w:autoSpaceDE w:val="0"/>
              <w:autoSpaceDN w:val="0"/>
              <w:adjustRightInd w:val="0"/>
              <w:spacing w:before="100" w:after="100"/>
              <w:rPr>
                <w:rFonts w:cs="Arial"/>
                <w:b/>
                <w:color w:val="000000"/>
                <w:sz w:val="20"/>
              </w:rPr>
            </w:pPr>
            <w:r w:rsidRPr="00795336">
              <w:rPr>
                <w:rFonts w:cs="Arial"/>
                <w:b/>
                <w:color w:val="000000"/>
                <w:sz w:val="20"/>
              </w:rPr>
              <w:t>Good</w:t>
            </w:r>
          </w:p>
        </w:tc>
        <w:tc>
          <w:tcPr>
            <w:tcW w:w="5478" w:type="dxa"/>
            <w:tcBorders>
              <w:top w:val="single" w:sz="4" w:space="0" w:color="auto"/>
              <w:left w:val="single" w:sz="4" w:space="0" w:color="auto"/>
              <w:bottom w:val="single" w:sz="4" w:space="0" w:color="auto"/>
              <w:right w:val="single" w:sz="4" w:space="0" w:color="auto"/>
            </w:tcBorders>
            <w:hideMark/>
          </w:tcPr>
          <w:p w:rsidR="00D24DA4" w:rsidRPr="000E1AF5" w:rsidRDefault="00D24DA4" w:rsidP="008E0900">
            <w:pPr>
              <w:autoSpaceDE w:val="0"/>
              <w:autoSpaceDN w:val="0"/>
              <w:adjustRightInd w:val="0"/>
              <w:spacing w:before="100" w:after="100"/>
              <w:rPr>
                <w:rFonts w:cs="Arial"/>
                <w:color w:val="000000"/>
                <w:sz w:val="20"/>
              </w:rPr>
            </w:pPr>
            <w:r w:rsidRPr="000E1AF5">
              <w:rPr>
                <w:rFonts w:cs="Arial"/>
                <w:sz w:val="20"/>
              </w:rPr>
              <w:t xml:space="preserve">The submission is robust and well documented. The Authority is </w:t>
            </w:r>
            <w:r w:rsidRPr="000E1AF5">
              <w:rPr>
                <w:rFonts w:cs="Arial"/>
                <w:bCs/>
                <w:sz w:val="20"/>
              </w:rPr>
              <w:t>confident</w:t>
            </w:r>
            <w:r w:rsidRPr="000E1AF5">
              <w:rPr>
                <w:rFonts w:cs="Arial"/>
                <w:b/>
                <w:bCs/>
                <w:i/>
                <w:iCs/>
                <w:sz w:val="20"/>
              </w:rPr>
              <w:t xml:space="preserve"> </w:t>
            </w:r>
            <w:r w:rsidRPr="000E1AF5">
              <w:rPr>
                <w:rFonts w:cs="Arial"/>
                <w:sz w:val="20"/>
              </w:rPr>
              <w:t xml:space="preserve">that the </w:t>
            </w:r>
            <w:r w:rsidR="00E26613" w:rsidRPr="000E1AF5">
              <w:rPr>
                <w:rFonts w:cs="Arial"/>
                <w:sz w:val="20"/>
              </w:rPr>
              <w:t>supplier</w:t>
            </w:r>
            <w:r w:rsidR="008E0900" w:rsidRPr="000E1AF5">
              <w:rPr>
                <w:rFonts w:cs="Arial"/>
                <w:sz w:val="20"/>
              </w:rPr>
              <w:t xml:space="preserve"> </w:t>
            </w:r>
            <w:r w:rsidRPr="000E1AF5">
              <w:rPr>
                <w:rFonts w:cs="Arial"/>
                <w:sz w:val="20"/>
              </w:rPr>
              <w:t>understands the requirement in the question and the proposal provides good evidence and assurance that the relevant aspect of the service or requirement would be delivered to a good standard.</w:t>
            </w:r>
          </w:p>
        </w:tc>
      </w:tr>
      <w:tr w:rsidR="00D24DA4" w:rsidRPr="000E1AF5" w:rsidTr="0051287C">
        <w:tc>
          <w:tcPr>
            <w:tcW w:w="947"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5</w:t>
            </w:r>
          </w:p>
        </w:tc>
        <w:tc>
          <w:tcPr>
            <w:tcW w:w="1834" w:type="dxa"/>
            <w:tcBorders>
              <w:top w:val="single" w:sz="4" w:space="0" w:color="auto"/>
              <w:left w:val="single" w:sz="4" w:space="0" w:color="auto"/>
              <w:bottom w:val="single" w:sz="4" w:space="0" w:color="auto"/>
              <w:right w:val="single" w:sz="4" w:space="0" w:color="auto"/>
            </w:tcBorders>
            <w:hideMark/>
          </w:tcPr>
          <w:p w:rsidR="00D24DA4" w:rsidRPr="000E1AF5" w:rsidRDefault="00D24DA4" w:rsidP="0051287C">
            <w:pPr>
              <w:autoSpaceDE w:val="0"/>
              <w:autoSpaceDN w:val="0"/>
              <w:adjustRightInd w:val="0"/>
              <w:spacing w:before="100" w:after="100"/>
              <w:rPr>
                <w:rFonts w:cs="Arial"/>
                <w:color w:val="000000"/>
                <w:sz w:val="20"/>
              </w:rPr>
            </w:pPr>
            <w:r w:rsidRPr="000E1AF5">
              <w:rPr>
                <w:rFonts w:cs="Arial"/>
                <w:b/>
                <w:color w:val="000000"/>
                <w:sz w:val="20"/>
              </w:rPr>
              <w:t>Excellent</w:t>
            </w:r>
          </w:p>
        </w:tc>
        <w:tc>
          <w:tcPr>
            <w:tcW w:w="5478" w:type="dxa"/>
            <w:tcBorders>
              <w:top w:val="single" w:sz="4" w:space="0" w:color="auto"/>
              <w:left w:val="single" w:sz="4" w:space="0" w:color="auto"/>
              <w:bottom w:val="single" w:sz="4" w:space="0" w:color="auto"/>
              <w:right w:val="single" w:sz="4" w:space="0" w:color="auto"/>
            </w:tcBorders>
            <w:hideMark/>
          </w:tcPr>
          <w:p w:rsidR="00D24DA4" w:rsidRPr="000E1AF5" w:rsidRDefault="00D24DA4" w:rsidP="008E0900">
            <w:pPr>
              <w:autoSpaceDE w:val="0"/>
              <w:autoSpaceDN w:val="0"/>
              <w:adjustRightInd w:val="0"/>
              <w:spacing w:before="100" w:after="100"/>
              <w:rPr>
                <w:rFonts w:cs="Arial"/>
                <w:color w:val="000000"/>
                <w:sz w:val="20"/>
              </w:rPr>
            </w:pPr>
            <w:r w:rsidRPr="000E1AF5">
              <w:rPr>
                <w:rFonts w:cs="Arial"/>
                <w:sz w:val="20"/>
              </w:rPr>
              <w:t xml:space="preserve">The proposal is innovative and adds value. The Authority is completely confident that the </w:t>
            </w:r>
            <w:r w:rsidR="00E26613" w:rsidRPr="000E1AF5">
              <w:rPr>
                <w:rFonts w:cs="Arial"/>
                <w:sz w:val="20"/>
              </w:rPr>
              <w:t>supplier</w:t>
            </w:r>
            <w:r w:rsidR="008E0900" w:rsidRPr="000E1AF5">
              <w:rPr>
                <w:rFonts w:cs="Arial"/>
                <w:sz w:val="20"/>
              </w:rPr>
              <w:t xml:space="preserve"> </w:t>
            </w:r>
            <w:r w:rsidRPr="000E1AF5">
              <w:rPr>
                <w:rFonts w:cs="Arial"/>
                <w:sz w:val="20"/>
              </w:rPr>
              <w:t>understands the requirement in the question and the proposal provides very good evidence and assurance that the relevant aspects of the service or requirement would be delivered to an excellent standard.</w:t>
            </w:r>
          </w:p>
        </w:tc>
      </w:tr>
    </w:tbl>
    <w:p w:rsidR="00D24DA4" w:rsidRDefault="00D24DA4" w:rsidP="00D24DA4"/>
    <w:p w:rsidR="00152556" w:rsidRDefault="00152556" w:rsidP="00D24DA4">
      <w:pPr>
        <w:rPr>
          <w:rFonts w:cs="Arial"/>
          <w:b/>
          <w:color w:val="000000"/>
          <w:sz w:val="22"/>
          <w:szCs w:val="22"/>
          <w:u w:val="single"/>
        </w:rPr>
      </w:pPr>
    </w:p>
    <w:p w:rsidR="00152556" w:rsidRDefault="00152556" w:rsidP="00D24DA4">
      <w:pPr>
        <w:rPr>
          <w:rFonts w:cs="Arial"/>
          <w:b/>
          <w:color w:val="000000"/>
          <w:sz w:val="22"/>
          <w:szCs w:val="22"/>
          <w:u w:val="single"/>
        </w:rPr>
      </w:pPr>
    </w:p>
    <w:p w:rsidR="00152556" w:rsidRDefault="00152556" w:rsidP="00D24DA4">
      <w:pPr>
        <w:rPr>
          <w:rFonts w:cs="Arial"/>
          <w:b/>
          <w:color w:val="000000"/>
          <w:sz w:val="22"/>
          <w:szCs w:val="22"/>
          <w:u w:val="single"/>
        </w:rPr>
      </w:pPr>
    </w:p>
    <w:p w:rsidR="00D24DA4" w:rsidRDefault="009449B8" w:rsidP="00082C19">
      <w:pPr>
        <w:ind w:left="567"/>
        <w:rPr>
          <w:b/>
        </w:rPr>
      </w:pPr>
      <w:r w:rsidRPr="00BE7D37">
        <w:rPr>
          <w:rFonts w:cs="Arial"/>
          <w:b/>
          <w:color w:val="000000"/>
          <w:sz w:val="22"/>
          <w:szCs w:val="22"/>
          <w:u w:val="single"/>
        </w:rPr>
        <w:t>Table 2</w:t>
      </w:r>
      <w:r w:rsidRPr="00B62654">
        <w:rPr>
          <w:u w:val="single"/>
        </w:rPr>
        <w:t>:</w:t>
      </w:r>
      <w:r w:rsidR="00E5214D" w:rsidRPr="00B62654">
        <w:rPr>
          <w:sz w:val="22"/>
          <w:u w:val="single"/>
        </w:rPr>
        <w:t xml:space="preserve"> </w:t>
      </w:r>
      <w:r w:rsidR="00E5214D" w:rsidRPr="00B62654">
        <w:rPr>
          <w:b/>
          <w:u w:val="single"/>
        </w:rPr>
        <w:t>Technical Quality</w:t>
      </w:r>
      <w:r w:rsidR="008A104D">
        <w:rPr>
          <w:b/>
        </w:rPr>
        <w:t xml:space="preserve"> </w:t>
      </w:r>
      <w:r w:rsidR="00D54AA5">
        <w:rPr>
          <w:b/>
        </w:rPr>
        <w:t>100</w:t>
      </w:r>
      <w:r w:rsidR="002E067A">
        <w:rPr>
          <w:b/>
        </w:rPr>
        <w:t xml:space="preserve">% </w:t>
      </w:r>
      <w:r w:rsidR="00E5214D" w:rsidRPr="001613AA">
        <w:rPr>
          <w:b/>
        </w:rPr>
        <w:t>total weighting</w:t>
      </w:r>
      <w:r w:rsidR="00F855D3">
        <w:rPr>
          <w:b/>
        </w:rPr>
        <w:t xml:space="preserve"> </w:t>
      </w:r>
    </w:p>
    <w:p w:rsidR="00082C19" w:rsidRDefault="00082C19" w:rsidP="00082C19">
      <w:pPr>
        <w:ind w:left="567"/>
      </w:pPr>
    </w:p>
    <w:p w:rsidR="00082C19" w:rsidRDefault="00082C19" w:rsidP="00082C19">
      <w:pPr>
        <w:ind w:left="567"/>
      </w:pPr>
    </w:p>
    <w:p w:rsidR="00082C19" w:rsidRDefault="00082C19" w:rsidP="00082C19">
      <w:pPr>
        <w:pStyle w:val="ListParagraph"/>
        <w:numPr>
          <w:ilvl w:val="0"/>
          <w:numId w:val="37"/>
        </w:numPr>
        <w:spacing w:after="200" w:line="276" w:lineRule="auto"/>
        <w:contextualSpacing/>
        <w:jc w:val="left"/>
        <w:rPr>
          <w:rFonts w:cs="Arial"/>
          <w:b/>
          <w:szCs w:val="24"/>
        </w:rPr>
      </w:pPr>
      <w:r>
        <w:rPr>
          <w:rFonts w:cs="Arial"/>
          <w:b/>
          <w:szCs w:val="24"/>
        </w:rPr>
        <w:t xml:space="preserve">Award </w:t>
      </w:r>
      <w:r w:rsidRPr="007C61B9">
        <w:rPr>
          <w:rFonts w:cs="Arial"/>
          <w:b/>
          <w:szCs w:val="24"/>
        </w:rPr>
        <w:t>Criteria</w:t>
      </w:r>
    </w:p>
    <w:tbl>
      <w:tblPr>
        <w:tblStyle w:val="TableGrid"/>
        <w:tblW w:w="8387" w:type="dxa"/>
        <w:tblInd w:w="675" w:type="dxa"/>
        <w:tblLook w:val="04A0" w:firstRow="1" w:lastRow="0" w:firstColumn="1" w:lastColumn="0" w:noHBand="0" w:noVBand="1"/>
      </w:tblPr>
      <w:tblGrid>
        <w:gridCol w:w="5688"/>
        <w:gridCol w:w="1429"/>
        <w:gridCol w:w="1270"/>
      </w:tblGrid>
      <w:tr w:rsidR="003B00AF" w:rsidRPr="00D31FE1" w:rsidTr="003B00AF">
        <w:tc>
          <w:tcPr>
            <w:tcW w:w="5688" w:type="dxa"/>
            <w:shd w:val="clear" w:color="auto" w:fill="D9D9D9" w:themeFill="background1" w:themeFillShade="D9"/>
            <w:vAlign w:val="center"/>
          </w:tcPr>
          <w:p w:rsidR="003B00AF" w:rsidRPr="00D31FE1" w:rsidRDefault="003B00AF" w:rsidP="00EC0A1F">
            <w:pPr>
              <w:rPr>
                <w:rFonts w:ascii="Arial" w:hAnsi="Arial" w:cs="Arial"/>
                <w:b/>
                <w:bCs/>
              </w:rPr>
            </w:pPr>
            <w:r w:rsidRPr="00D31FE1">
              <w:rPr>
                <w:rFonts w:ascii="Arial" w:hAnsi="Arial" w:cs="Arial"/>
                <w:b/>
                <w:bCs/>
              </w:rPr>
              <w:t>Section</w:t>
            </w:r>
          </w:p>
          <w:p w:rsidR="003B00AF" w:rsidRPr="00D31FE1" w:rsidRDefault="003B00AF" w:rsidP="00EC0A1F">
            <w:pPr>
              <w:rPr>
                <w:rFonts w:ascii="Arial" w:hAnsi="Arial" w:cs="Arial"/>
              </w:rPr>
            </w:pPr>
            <w:r w:rsidRPr="00D31FE1">
              <w:rPr>
                <w:rFonts w:ascii="Arial" w:hAnsi="Arial" w:cs="Arial"/>
              </w:rPr>
              <w:t>Section questions</w:t>
            </w:r>
          </w:p>
        </w:tc>
        <w:tc>
          <w:tcPr>
            <w:tcW w:w="1429" w:type="dxa"/>
            <w:shd w:val="clear" w:color="auto" w:fill="D9D9D9" w:themeFill="background1" w:themeFillShade="D9"/>
            <w:vAlign w:val="center"/>
          </w:tcPr>
          <w:p w:rsidR="003B00AF" w:rsidRPr="00D31FE1" w:rsidRDefault="003B00AF" w:rsidP="00EC0A1F">
            <w:pPr>
              <w:jc w:val="center"/>
              <w:rPr>
                <w:rFonts w:ascii="Arial" w:hAnsi="Arial" w:cs="Arial"/>
                <w:b/>
                <w:bCs/>
              </w:rPr>
            </w:pPr>
            <w:r w:rsidRPr="00D31FE1">
              <w:rPr>
                <w:rFonts w:ascii="Arial" w:hAnsi="Arial" w:cs="Arial"/>
                <w:b/>
                <w:bCs/>
              </w:rPr>
              <w:t>Value of question to section</w:t>
            </w:r>
          </w:p>
        </w:tc>
        <w:tc>
          <w:tcPr>
            <w:tcW w:w="1270" w:type="dxa"/>
            <w:shd w:val="clear" w:color="auto" w:fill="D9D9D9" w:themeFill="background1" w:themeFillShade="D9"/>
            <w:vAlign w:val="center"/>
          </w:tcPr>
          <w:p w:rsidR="003B00AF" w:rsidRPr="00D31FE1" w:rsidRDefault="003B00AF" w:rsidP="00EC0A1F">
            <w:pPr>
              <w:jc w:val="center"/>
              <w:rPr>
                <w:rFonts w:ascii="Arial" w:hAnsi="Arial" w:cs="Arial"/>
                <w:b/>
                <w:bCs/>
              </w:rPr>
            </w:pPr>
            <w:r w:rsidRPr="00D31FE1">
              <w:rPr>
                <w:rFonts w:ascii="Arial" w:hAnsi="Arial" w:cs="Arial"/>
                <w:b/>
                <w:bCs/>
              </w:rPr>
              <w:t>Value of section to overall score</w:t>
            </w:r>
          </w:p>
        </w:tc>
      </w:tr>
      <w:tr w:rsidR="003B00AF" w:rsidRPr="00D31FE1" w:rsidTr="003B00AF">
        <w:tc>
          <w:tcPr>
            <w:tcW w:w="5688" w:type="dxa"/>
          </w:tcPr>
          <w:p w:rsidR="003B00AF" w:rsidRPr="00D31FE1" w:rsidRDefault="003B00AF" w:rsidP="00EC0A1F">
            <w:pPr>
              <w:rPr>
                <w:rFonts w:ascii="Arial" w:hAnsi="Arial" w:cs="Arial"/>
                <w:b/>
                <w:bCs/>
              </w:rPr>
            </w:pPr>
            <w:r w:rsidRPr="00D31FE1">
              <w:rPr>
                <w:rFonts w:ascii="Arial" w:hAnsi="Arial" w:cs="Arial"/>
                <w:b/>
                <w:bCs/>
              </w:rPr>
              <w:t>Experience</w:t>
            </w:r>
          </w:p>
          <w:p w:rsidR="003B00AF" w:rsidRPr="00D31FE1" w:rsidRDefault="003B00AF" w:rsidP="00EC0A1F">
            <w:pPr>
              <w:rPr>
                <w:rFonts w:ascii="Arial" w:hAnsi="Arial" w:cs="Arial"/>
                <w:b/>
              </w:rPr>
            </w:pPr>
          </w:p>
          <w:p w:rsidR="003B00AF" w:rsidRPr="00D31FE1" w:rsidRDefault="003B00AF" w:rsidP="003B00AF">
            <w:pPr>
              <w:pStyle w:val="ListParagraph"/>
              <w:numPr>
                <w:ilvl w:val="0"/>
                <w:numId w:val="44"/>
              </w:numPr>
              <w:contextualSpacing/>
              <w:jc w:val="left"/>
              <w:rPr>
                <w:rFonts w:ascii="Arial" w:hAnsi="Arial" w:cs="Arial"/>
              </w:rPr>
            </w:pPr>
            <w:r w:rsidRPr="00D31FE1">
              <w:rPr>
                <w:rFonts w:ascii="Arial" w:hAnsi="Arial" w:cs="Arial"/>
              </w:rPr>
              <w:lastRenderedPageBreak/>
              <w:t>Please list the workspaces that are or have been managed by your organisation.</w:t>
            </w:r>
          </w:p>
          <w:p w:rsidR="003B00AF" w:rsidRPr="00D31FE1" w:rsidRDefault="003B00AF" w:rsidP="003B00AF">
            <w:pPr>
              <w:pStyle w:val="ListParagraph"/>
              <w:numPr>
                <w:ilvl w:val="0"/>
                <w:numId w:val="44"/>
              </w:numPr>
              <w:contextualSpacing/>
              <w:jc w:val="left"/>
              <w:rPr>
                <w:rFonts w:ascii="Arial" w:hAnsi="Arial" w:cs="Arial"/>
              </w:rPr>
            </w:pPr>
            <w:r w:rsidRPr="00D31FE1">
              <w:rPr>
                <w:rFonts w:ascii="Arial" w:hAnsi="Arial" w:cs="Arial"/>
              </w:rPr>
              <w:t>Details of your experience of facilitating business growth through a workspace environment.</w:t>
            </w:r>
          </w:p>
          <w:p w:rsidR="003B00AF" w:rsidRPr="00D31FE1" w:rsidRDefault="003B00AF" w:rsidP="003B00AF">
            <w:pPr>
              <w:pStyle w:val="ListParagraph"/>
              <w:numPr>
                <w:ilvl w:val="0"/>
                <w:numId w:val="44"/>
              </w:numPr>
              <w:contextualSpacing/>
              <w:jc w:val="left"/>
              <w:rPr>
                <w:rFonts w:ascii="Arial" w:hAnsi="Arial" w:cs="Arial"/>
              </w:rPr>
            </w:pPr>
            <w:r w:rsidRPr="00D31FE1">
              <w:rPr>
                <w:rFonts w:ascii="Arial" w:hAnsi="Arial" w:cs="Arial"/>
              </w:rPr>
              <w:t>Details of the project delivery team.</w:t>
            </w:r>
          </w:p>
          <w:p w:rsidR="003B00AF" w:rsidRPr="00D31FE1" w:rsidRDefault="003B00AF" w:rsidP="00EC0A1F">
            <w:pPr>
              <w:rPr>
                <w:rFonts w:ascii="Arial" w:hAnsi="Arial" w:cs="Arial"/>
                <w:b/>
              </w:rPr>
            </w:pPr>
          </w:p>
        </w:tc>
        <w:tc>
          <w:tcPr>
            <w:tcW w:w="1429" w:type="dxa"/>
          </w:tcPr>
          <w:p w:rsidR="003B00AF" w:rsidRPr="00D31FE1" w:rsidRDefault="003B00AF" w:rsidP="00EC0A1F">
            <w:pPr>
              <w:rPr>
                <w:rFonts w:ascii="Arial" w:hAnsi="Arial" w:cs="Arial"/>
                <w:b/>
              </w:rPr>
            </w:pPr>
          </w:p>
          <w:p w:rsidR="003B00AF" w:rsidRPr="00D31FE1" w:rsidRDefault="003B00AF" w:rsidP="00EC0A1F">
            <w:pPr>
              <w:rPr>
                <w:rFonts w:ascii="Arial" w:hAnsi="Arial" w:cs="Arial"/>
                <w:b/>
              </w:rPr>
            </w:pPr>
          </w:p>
          <w:p w:rsidR="003B00AF" w:rsidRPr="00D31FE1" w:rsidRDefault="003B00AF" w:rsidP="00EC0A1F">
            <w:pPr>
              <w:jc w:val="right"/>
              <w:rPr>
                <w:rFonts w:ascii="Arial" w:hAnsi="Arial" w:cs="Arial"/>
              </w:rPr>
            </w:pPr>
            <w:r w:rsidRPr="00D31FE1">
              <w:rPr>
                <w:rFonts w:ascii="Arial" w:hAnsi="Arial" w:cs="Arial"/>
              </w:rPr>
              <w:lastRenderedPageBreak/>
              <w:t>40%</w:t>
            </w:r>
          </w:p>
          <w:p w:rsidR="003B00AF" w:rsidRPr="00D31FE1" w:rsidRDefault="003B00AF" w:rsidP="00EC0A1F">
            <w:pPr>
              <w:jc w:val="right"/>
              <w:rPr>
                <w:rFonts w:ascii="Arial" w:hAnsi="Arial" w:cs="Arial"/>
              </w:rPr>
            </w:pPr>
          </w:p>
          <w:p w:rsidR="003B00AF" w:rsidRPr="00D31FE1" w:rsidRDefault="003B00AF" w:rsidP="00EC0A1F">
            <w:pPr>
              <w:jc w:val="right"/>
              <w:rPr>
                <w:rFonts w:ascii="Arial" w:hAnsi="Arial" w:cs="Arial"/>
              </w:rPr>
            </w:pPr>
            <w:r w:rsidRPr="00D31FE1">
              <w:rPr>
                <w:rFonts w:ascii="Arial" w:hAnsi="Arial" w:cs="Arial"/>
              </w:rPr>
              <w:t>40%</w:t>
            </w:r>
          </w:p>
          <w:p w:rsidR="003B00AF" w:rsidRPr="00D31FE1" w:rsidRDefault="003B00AF" w:rsidP="00EC0A1F">
            <w:pPr>
              <w:jc w:val="right"/>
              <w:rPr>
                <w:rFonts w:ascii="Arial" w:hAnsi="Arial" w:cs="Arial"/>
              </w:rPr>
            </w:pPr>
          </w:p>
          <w:p w:rsidR="003B00AF" w:rsidRPr="00D31FE1" w:rsidRDefault="003B00AF" w:rsidP="00EC0A1F">
            <w:pPr>
              <w:jc w:val="right"/>
              <w:rPr>
                <w:rFonts w:ascii="Arial" w:hAnsi="Arial" w:cs="Arial"/>
                <w:b/>
                <w:bCs/>
              </w:rPr>
            </w:pPr>
            <w:r w:rsidRPr="00D31FE1">
              <w:rPr>
                <w:rFonts w:ascii="Arial" w:hAnsi="Arial" w:cs="Arial"/>
              </w:rPr>
              <w:t>20%</w:t>
            </w:r>
          </w:p>
        </w:tc>
        <w:tc>
          <w:tcPr>
            <w:tcW w:w="1270" w:type="dxa"/>
          </w:tcPr>
          <w:p w:rsidR="003B00AF" w:rsidRPr="00D31FE1" w:rsidRDefault="003B00AF" w:rsidP="00EC0A1F">
            <w:pPr>
              <w:rPr>
                <w:rFonts w:ascii="Arial" w:hAnsi="Arial" w:cs="Arial"/>
                <w:b/>
              </w:rPr>
            </w:pPr>
          </w:p>
          <w:p w:rsidR="003B00AF" w:rsidRPr="00D31FE1" w:rsidRDefault="003B00AF" w:rsidP="00EC0A1F">
            <w:pPr>
              <w:rPr>
                <w:rFonts w:ascii="Arial" w:hAnsi="Arial" w:cs="Arial"/>
                <w:b/>
              </w:rPr>
            </w:pPr>
          </w:p>
          <w:p w:rsidR="003B00AF" w:rsidRPr="00D31FE1" w:rsidRDefault="003B00AF" w:rsidP="00EC0A1F">
            <w:pPr>
              <w:rPr>
                <w:rFonts w:ascii="Arial" w:hAnsi="Arial" w:cs="Arial"/>
                <w:b/>
              </w:rPr>
            </w:pPr>
          </w:p>
          <w:p w:rsidR="003B00AF" w:rsidRPr="00D31FE1" w:rsidRDefault="003B00AF" w:rsidP="00EC0A1F">
            <w:pPr>
              <w:rPr>
                <w:rFonts w:ascii="Arial" w:hAnsi="Arial" w:cs="Arial"/>
                <w:b/>
              </w:rPr>
            </w:pPr>
          </w:p>
          <w:p w:rsidR="003B00AF" w:rsidRPr="00D31FE1" w:rsidRDefault="003B00AF" w:rsidP="00EC0A1F">
            <w:pPr>
              <w:rPr>
                <w:rFonts w:ascii="Arial" w:hAnsi="Arial" w:cs="Arial"/>
                <w:b/>
              </w:rPr>
            </w:pPr>
          </w:p>
          <w:p w:rsidR="003B00AF" w:rsidRPr="00D31FE1" w:rsidRDefault="003B00AF" w:rsidP="00EC0A1F">
            <w:pPr>
              <w:rPr>
                <w:rFonts w:ascii="Arial" w:hAnsi="Arial" w:cs="Arial"/>
                <w:b/>
              </w:rPr>
            </w:pPr>
          </w:p>
          <w:p w:rsidR="003B00AF" w:rsidRPr="00D31FE1" w:rsidRDefault="003B00AF" w:rsidP="00EC0A1F">
            <w:pPr>
              <w:jc w:val="right"/>
              <w:rPr>
                <w:rFonts w:ascii="Arial" w:hAnsi="Arial" w:cs="Arial"/>
                <w:b/>
                <w:bCs/>
              </w:rPr>
            </w:pPr>
            <w:r w:rsidRPr="00D31FE1">
              <w:rPr>
                <w:rFonts w:ascii="Arial" w:hAnsi="Arial" w:cs="Arial"/>
                <w:b/>
                <w:bCs/>
              </w:rPr>
              <w:t>15%</w:t>
            </w:r>
          </w:p>
        </w:tc>
      </w:tr>
      <w:tr w:rsidR="003B00AF" w:rsidRPr="00D31FE1" w:rsidTr="003B00AF">
        <w:tc>
          <w:tcPr>
            <w:tcW w:w="5688" w:type="dxa"/>
          </w:tcPr>
          <w:p w:rsidR="003B00AF" w:rsidRPr="00D31FE1" w:rsidRDefault="003B00AF" w:rsidP="00EC0A1F">
            <w:pPr>
              <w:rPr>
                <w:rFonts w:ascii="Arial" w:hAnsi="Arial" w:cs="Arial"/>
                <w:b/>
                <w:bCs/>
              </w:rPr>
            </w:pPr>
            <w:r w:rsidRPr="00D31FE1">
              <w:rPr>
                <w:rFonts w:ascii="Arial" w:hAnsi="Arial" w:cs="Arial"/>
                <w:b/>
                <w:bCs/>
              </w:rPr>
              <w:lastRenderedPageBreak/>
              <w:t>Your proposal</w:t>
            </w:r>
          </w:p>
          <w:p w:rsidR="003B00AF" w:rsidRPr="00D31FE1" w:rsidRDefault="003B00AF" w:rsidP="00EC0A1F">
            <w:pPr>
              <w:rPr>
                <w:rFonts w:ascii="Arial" w:hAnsi="Arial" w:cs="Arial"/>
                <w:b/>
              </w:rPr>
            </w:pPr>
          </w:p>
          <w:p w:rsidR="003B00AF" w:rsidRPr="00D31FE1" w:rsidRDefault="003B00AF" w:rsidP="003B00AF">
            <w:pPr>
              <w:pStyle w:val="ListParagraph"/>
              <w:numPr>
                <w:ilvl w:val="0"/>
                <w:numId w:val="45"/>
              </w:numPr>
              <w:contextualSpacing/>
              <w:jc w:val="left"/>
              <w:rPr>
                <w:rFonts w:ascii="Arial" w:hAnsi="Arial" w:cs="Arial"/>
              </w:rPr>
            </w:pPr>
            <w:r w:rsidRPr="00D31FE1">
              <w:rPr>
                <w:rFonts w:ascii="Arial" w:hAnsi="Arial" w:cs="Arial"/>
              </w:rPr>
              <w:t>Provide evidence that you understand the brief</w:t>
            </w:r>
          </w:p>
          <w:p w:rsidR="003B00AF" w:rsidRPr="00D31FE1" w:rsidRDefault="003B00AF" w:rsidP="003B00AF">
            <w:pPr>
              <w:pStyle w:val="ListParagraph"/>
              <w:numPr>
                <w:ilvl w:val="0"/>
                <w:numId w:val="45"/>
              </w:numPr>
              <w:contextualSpacing/>
              <w:jc w:val="left"/>
              <w:rPr>
                <w:rFonts w:ascii="Arial" w:hAnsi="Arial" w:cs="Arial"/>
              </w:rPr>
            </w:pPr>
            <w:r w:rsidRPr="00D31FE1">
              <w:rPr>
                <w:rFonts w:ascii="Arial" w:hAnsi="Arial" w:cs="Arial"/>
              </w:rPr>
              <w:t>The vision for 205 Holland Park Avenue</w:t>
            </w:r>
          </w:p>
          <w:p w:rsidR="003B00AF" w:rsidRPr="00D31FE1" w:rsidRDefault="003B00AF" w:rsidP="003B00AF">
            <w:pPr>
              <w:pStyle w:val="ListParagraph"/>
              <w:numPr>
                <w:ilvl w:val="0"/>
                <w:numId w:val="45"/>
              </w:numPr>
              <w:contextualSpacing/>
              <w:jc w:val="left"/>
              <w:rPr>
                <w:rFonts w:ascii="Arial" w:hAnsi="Arial" w:cs="Arial"/>
              </w:rPr>
            </w:pPr>
            <w:r w:rsidRPr="00D31FE1">
              <w:rPr>
                <w:rFonts w:ascii="Arial" w:hAnsi="Arial" w:cs="Arial"/>
              </w:rPr>
              <w:t>The operational model you intend to adopt to deliver a co-working space at 205 Holland Park Avenue</w:t>
            </w:r>
          </w:p>
          <w:p w:rsidR="003B00AF" w:rsidRPr="0014658B" w:rsidRDefault="003B00AF" w:rsidP="003B00AF">
            <w:pPr>
              <w:pStyle w:val="ListParagraph"/>
              <w:numPr>
                <w:ilvl w:val="0"/>
                <w:numId w:val="45"/>
              </w:numPr>
              <w:contextualSpacing/>
              <w:jc w:val="left"/>
              <w:rPr>
                <w:rFonts w:ascii="Arial" w:hAnsi="Arial" w:cs="Arial"/>
                <w:color w:val="000000" w:themeColor="text1"/>
              </w:rPr>
            </w:pPr>
            <w:r w:rsidRPr="00F71949">
              <w:rPr>
                <w:rFonts w:ascii="Arial" w:hAnsi="Arial" w:cs="Arial"/>
                <w:color w:val="000000" w:themeColor="text1"/>
              </w:rPr>
              <w:t xml:space="preserve">Achievement of </w:t>
            </w:r>
            <w:r>
              <w:rPr>
                <w:rFonts w:ascii="Arial" w:hAnsi="Arial" w:cs="Arial"/>
                <w:color w:val="000000" w:themeColor="text1"/>
              </w:rPr>
              <w:t xml:space="preserve">social value and </w:t>
            </w:r>
            <w:r w:rsidRPr="00F71949">
              <w:rPr>
                <w:rFonts w:ascii="Arial" w:hAnsi="Arial" w:cs="Arial"/>
                <w:color w:val="000000" w:themeColor="text1"/>
              </w:rPr>
              <w:t>economic outcomes</w:t>
            </w:r>
          </w:p>
        </w:tc>
        <w:tc>
          <w:tcPr>
            <w:tcW w:w="1429" w:type="dxa"/>
          </w:tcPr>
          <w:p w:rsidR="003B00AF" w:rsidRPr="00D31FE1" w:rsidRDefault="003B00AF" w:rsidP="00EC0A1F">
            <w:pPr>
              <w:rPr>
                <w:rFonts w:ascii="Arial" w:hAnsi="Arial" w:cs="Arial"/>
                <w:b/>
              </w:rPr>
            </w:pPr>
          </w:p>
          <w:p w:rsidR="003B00AF" w:rsidRPr="00D31FE1" w:rsidRDefault="003B00AF" w:rsidP="00EC0A1F">
            <w:pPr>
              <w:rPr>
                <w:rFonts w:ascii="Arial" w:hAnsi="Arial" w:cs="Arial"/>
                <w:b/>
              </w:rPr>
            </w:pPr>
          </w:p>
          <w:p w:rsidR="003B00AF" w:rsidRPr="00D31FE1" w:rsidRDefault="003B00AF" w:rsidP="00EC0A1F">
            <w:pPr>
              <w:jc w:val="right"/>
              <w:rPr>
                <w:rFonts w:ascii="Arial" w:hAnsi="Arial" w:cs="Arial"/>
              </w:rPr>
            </w:pPr>
            <w:r w:rsidRPr="00D31FE1">
              <w:rPr>
                <w:rFonts w:ascii="Arial" w:hAnsi="Arial" w:cs="Arial"/>
              </w:rPr>
              <w:t>10%</w:t>
            </w:r>
          </w:p>
          <w:p w:rsidR="003B00AF" w:rsidRPr="00D31FE1" w:rsidRDefault="003B00AF" w:rsidP="00EC0A1F">
            <w:pPr>
              <w:jc w:val="right"/>
              <w:rPr>
                <w:rFonts w:ascii="Arial" w:hAnsi="Arial" w:cs="Arial"/>
              </w:rPr>
            </w:pPr>
            <w:r w:rsidRPr="00D31FE1">
              <w:rPr>
                <w:rFonts w:ascii="Arial" w:hAnsi="Arial" w:cs="Arial"/>
              </w:rPr>
              <w:t>20%</w:t>
            </w:r>
          </w:p>
          <w:p w:rsidR="003B00AF" w:rsidRPr="00D31FE1" w:rsidRDefault="003B00AF" w:rsidP="00EC0A1F">
            <w:pPr>
              <w:jc w:val="right"/>
              <w:rPr>
                <w:rFonts w:ascii="Arial" w:hAnsi="Arial" w:cs="Arial"/>
              </w:rPr>
            </w:pPr>
            <w:r w:rsidRPr="00D31FE1">
              <w:rPr>
                <w:rFonts w:ascii="Arial" w:hAnsi="Arial" w:cs="Arial"/>
              </w:rPr>
              <w:t>35%</w:t>
            </w:r>
          </w:p>
          <w:p w:rsidR="003B00AF" w:rsidRPr="00D31FE1" w:rsidRDefault="003B00AF" w:rsidP="00EC0A1F">
            <w:pPr>
              <w:jc w:val="right"/>
              <w:rPr>
                <w:rFonts w:ascii="Arial" w:hAnsi="Arial" w:cs="Arial"/>
              </w:rPr>
            </w:pPr>
          </w:p>
          <w:p w:rsidR="003B00AF" w:rsidRDefault="003B00AF" w:rsidP="00EC0A1F">
            <w:pPr>
              <w:jc w:val="right"/>
              <w:rPr>
                <w:rFonts w:ascii="Arial" w:hAnsi="Arial" w:cs="Arial"/>
              </w:rPr>
            </w:pPr>
          </w:p>
          <w:p w:rsidR="003B00AF" w:rsidRPr="00D31FE1" w:rsidRDefault="003B00AF" w:rsidP="00EC0A1F">
            <w:pPr>
              <w:jc w:val="right"/>
              <w:rPr>
                <w:rFonts w:ascii="Arial" w:hAnsi="Arial" w:cs="Arial"/>
                <w:b/>
                <w:bCs/>
              </w:rPr>
            </w:pPr>
            <w:r w:rsidRPr="00D31FE1">
              <w:rPr>
                <w:rFonts w:ascii="Arial" w:hAnsi="Arial" w:cs="Arial"/>
              </w:rPr>
              <w:t>35%</w:t>
            </w:r>
          </w:p>
        </w:tc>
        <w:tc>
          <w:tcPr>
            <w:tcW w:w="1270" w:type="dxa"/>
          </w:tcPr>
          <w:p w:rsidR="003B00AF" w:rsidRPr="00D31FE1" w:rsidRDefault="003B00AF" w:rsidP="00EC0A1F">
            <w:pPr>
              <w:jc w:val="right"/>
              <w:rPr>
                <w:rFonts w:ascii="Arial" w:hAnsi="Arial" w:cs="Arial"/>
                <w:b/>
              </w:rPr>
            </w:pPr>
          </w:p>
          <w:p w:rsidR="003B00AF" w:rsidRPr="00D31FE1" w:rsidRDefault="003B00AF" w:rsidP="00EC0A1F">
            <w:pPr>
              <w:jc w:val="right"/>
              <w:rPr>
                <w:rFonts w:ascii="Arial" w:hAnsi="Arial" w:cs="Arial"/>
                <w:b/>
              </w:rPr>
            </w:pPr>
          </w:p>
          <w:p w:rsidR="003B00AF" w:rsidRPr="00D31FE1" w:rsidRDefault="003B00AF" w:rsidP="00EC0A1F">
            <w:pPr>
              <w:jc w:val="right"/>
              <w:rPr>
                <w:rFonts w:ascii="Arial" w:hAnsi="Arial" w:cs="Arial"/>
                <w:b/>
              </w:rPr>
            </w:pPr>
          </w:p>
          <w:p w:rsidR="003B00AF" w:rsidRPr="00D31FE1" w:rsidRDefault="003B00AF" w:rsidP="00EC0A1F">
            <w:pPr>
              <w:jc w:val="right"/>
              <w:rPr>
                <w:rFonts w:ascii="Arial" w:hAnsi="Arial" w:cs="Arial"/>
                <w:b/>
              </w:rPr>
            </w:pPr>
          </w:p>
          <w:p w:rsidR="003B00AF" w:rsidRPr="00D31FE1" w:rsidRDefault="003B00AF" w:rsidP="00EC0A1F">
            <w:pPr>
              <w:jc w:val="right"/>
              <w:rPr>
                <w:rFonts w:ascii="Arial" w:hAnsi="Arial" w:cs="Arial"/>
                <w:b/>
              </w:rPr>
            </w:pPr>
          </w:p>
          <w:p w:rsidR="003B00AF" w:rsidRPr="00D31FE1" w:rsidRDefault="003B00AF" w:rsidP="00EC0A1F">
            <w:pPr>
              <w:jc w:val="right"/>
              <w:rPr>
                <w:rFonts w:ascii="Arial" w:hAnsi="Arial" w:cs="Arial"/>
                <w:b/>
              </w:rPr>
            </w:pPr>
          </w:p>
          <w:p w:rsidR="003B00AF" w:rsidRDefault="003B00AF" w:rsidP="00EC0A1F">
            <w:pPr>
              <w:jc w:val="right"/>
              <w:rPr>
                <w:rFonts w:ascii="Arial" w:hAnsi="Arial" w:cs="Arial"/>
                <w:b/>
                <w:bCs/>
              </w:rPr>
            </w:pPr>
          </w:p>
          <w:p w:rsidR="003B00AF" w:rsidRPr="00D31FE1" w:rsidRDefault="003B00AF" w:rsidP="00EC0A1F">
            <w:pPr>
              <w:jc w:val="right"/>
              <w:rPr>
                <w:rFonts w:ascii="Arial" w:hAnsi="Arial" w:cs="Arial"/>
                <w:b/>
                <w:bCs/>
              </w:rPr>
            </w:pPr>
            <w:r w:rsidRPr="00D31FE1">
              <w:rPr>
                <w:rFonts w:ascii="Arial" w:hAnsi="Arial" w:cs="Arial"/>
                <w:b/>
                <w:bCs/>
              </w:rPr>
              <w:t>35%</w:t>
            </w:r>
          </w:p>
        </w:tc>
      </w:tr>
      <w:tr w:rsidR="003B00AF" w:rsidRPr="00D31FE1" w:rsidTr="003B00AF">
        <w:tc>
          <w:tcPr>
            <w:tcW w:w="5688" w:type="dxa"/>
          </w:tcPr>
          <w:p w:rsidR="003B00AF" w:rsidRPr="00D31FE1" w:rsidRDefault="003B00AF" w:rsidP="00EC0A1F">
            <w:pPr>
              <w:rPr>
                <w:rFonts w:ascii="Arial" w:hAnsi="Arial" w:cs="Arial"/>
                <w:b/>
                <w:bCs/>
              </w:rPr>
            </w:pPr>
            <w:r w:rsidRPr="00D31FE1">
              <w:rPr>
                <w:rFonts w:ascii="Arial" w:hAnsi="Arial" w:cs="Arial"/>
                <w:b/>
                <w:bCs/>
              </w:rPr>
              <w:t>Viability</w:t>
            </w:r>
          </w:p>
          <w:p w:rsidR="003B00AF" w:rsidRPr="00D31FE1" w:rsidRDefault="003B00AF" w:rsidP="00EC0A1F">
            <w:pPr>
              <w:rPr>
                <w:rFonts w:ascii="Arial" w:hAnsi="Arial" w:cs="Arial"/>
              </w:rPr>
            </w:pPr>
          </w:p>
          <w:p w:rsidR="003B00AF" w:rsidRPr="00D31FE1" w:rsidRDefault="003B00AF" w:rsidP="003B00AF">
            <w:pPr>
              <w:pStyle w:val="ListParagraph"/>
              <w:numPr>
                <w:ilvl w:val="0"/>
                <w:numId w:val="46"/>
              </w:numPr>
              <w:contextualSpacing/>
              <w:jc w:val="left"/>
              <w:rPr>
                <w:rFonts w:ascii="Arial" w:hAnsi="Arial" w:cs="Arial"/>
              </w:rPr>
            </w:pPr>
            <w:r w:rsidRPr="00D31FE1">
              <w:rPr>
                <w:rFonts w:ascii="Arial" w:hAnsi="Arial" w:cs="Arial"/>
              </w:rPr>
              <w:t xml:space="preserve">Project management </w:t>
            </w:r>
            <w:r w:rsidRPr="00D31FE1">
              <w:rPr>
                <w:rFonts w:ascii="Arial" w:hAnsi="Arial" w:cs="Arial"/>
                <w:b/>
                <w:bCs/>
              </w:rPr>
              <w:t>(25%)</w:t>
            </w:r>
          </w:p>
          <w:p w:rsidR="003B00AF" w:rsidRPr="00D31FE1" w:rsidRDefault="003B00AF" w:rsidP="003B00AF">
            <w:pPr>
              <w:pStyle w:val="ListParagraph"/>
              <w:numPr>
                <w:ilvl w:val="0"/>
                <w:numId w:val="46"/>
              </w:numPr>
              <w:contextualSpacing/>
              <w:jc w:val="left"/>
              <w:rPr>
                <w:rFonts w:ascii="Arial" w:hAnsi="Arial" w:cs="Arial"/>
              </w:rPr>
            </w:pPr>
            <w:r w:rsidRPr="00D31FE1">
              <w:rPr>
                <w:rFonts w:ascii="Arial" w:hAnsi="Arial" w:cs="Arial"/>
              </w:rPr>
              <w:t xml:space="preserve">Operational plan </w:t>
            </w:r>
            <w:r w:rsidRPr="00D31FE1">
              <w:rPr>
                <w:rFonts w:ascii="Arial" w:hAnsi="Arial" w:cs="Arial"/>
                <w:b/>
                <w:bCs/>
              </w:rPr>
              <w:t>(25%)</w:t>
            </w:r>
          </w:p>
          <w:p w:rsidR="003B00AF" w:rsidRPr="00D31FE1" w:rsidRDefault="003B00AF" w:rsidP="003B00AF">
            <w:pPr>
              <w:pStyle w:val="ListParagraph"/>
              <w:numPr>
                <w:ilvl w:val="0"/>
                <w:numId w:val="46"/>
              </w:numPr>
              <w:contextualSpacing/>
              <w:jc w:val="left"/>
              <w:rPr>
                <w:rFonts w:ascii="Arial" w:hAnsi="Arial" w:cs="Arial"/>
              </w:rPr>
            </w:pPr>
            <w:r w:rsidRPr="00D31FE1">
              <w:rPr>
                <w:rFonts w:ascii="Arial" w:hAnsi="Arial" w:cs="Arial"/>
              </w:rPr>
              <w:t xml:space="preserve">Project finances </w:t>
            </w:r>
            <w:r w:rsidRPr="00D31FE1">
              <w:rPr>
                <w:rFonts w:ascii="Arial" w:hAnsi="Arial" w:cs="Arial"/>
                <w:b/>
                <w:bCs/>
              </w:rPr>
              <w:t>(40%)</w:t>
            </w:r>
          </w:p>
          <w:p w:rsidR="003B00AF" w:rsidRPr="00D31FE1" w:rsidRDefault="003B00AF" w:rsidP="003B00AF">
            <w:pPr>
              <w:pStyle w:val="ListParagraph"/>
              <w:numPr>
                <w:ilvl w:val="0"/>
                <w:numId w:val="46"/>
              </w:numPr>
              <w:contextualSpacing/>
              <w:jc w:val="left"/>
              <w:rPr>
                <w:rFonts w:ascii="Arial" w:hAnsi="Arial" w:cs="Arial"/>
              </w:rPr>
            </w:pPr>
            <w:r w:rsidRPr="00D31FE1">
              <w:rPr>
                <w:rFonts w:ascii="Arial" w:hAnsi="Arial" w:cs="Arial"/>
              </w:rPr>
              <w:t xml:space="preserve">Risk assessment </w:t>
            </w:r>
            <w:r w:rsidRPr="00D31FE1">
              <w:rPr>
                <w:rFonts w:ascii="Arial" w:hAnsi="Arial" w:cs="Arial"/>
                <w:b/>
                <w:bCs/>
              </w:rPr>
              <w:t>(10%)</w:t>
            </w:r>
          </w:p>
          <w:p w:rsidR="003B00AF" w:rsidRPr="00D31FE1" w:rsidRDefault="003B00AF" w:rsidP="00EC0A1F">
            <w:pPr>
              <w:rPr>
                <w:rFonts w:ascii="Arial" w:hAnsi="Arial" w:cs="Arial"/>
                <w:b/>
              </w:rPr>
            </w:pPr>
          </w:p>
        </w:tc>
        <w:tc>
          <w:tcPr>
            <w:tcW w:w="1429" w:type="dxa"/>
          </w:tcPr>
          <w:p w:rsidR="003B00AF" w:rsidRPr="00D31FE1" w:rsidRDefault="003B00AF" w:rsidP="00EC0A1F">
            <w:pPr>
              <w:jc w:val="right"/>
              <w:rPr>
                <w:rFonts w:ascii="Arial" w:hAnsi="Arial" w:cs="Arial"/>
              </w:rPr>
            </w:pPr>
          </w:p>
          <w:p w:rsidR="003B00AF" w:rsidRPr="00D31FE1" w:rsidRDefault="003B00AF" w:rsidP="00EC0A1F">
            <w:pPr>
              <w:jc w:val="right"/>
              <w:rPr>
                <w:rFonts w:ascii="Arial" w:hAnsi="Arial" w:cs="Arial"/>
              </w:rPr>
            </w:pPr>
          </w:p>
          <w:p w:rsidR="003B00AF" w:rsidRPr="00D31FE1" w:rsidRDefault="003B00AF" w:rsidP="00EC0A1F">
            <w:pPr>
              <w:jc w:val="right"/>
              <w:rPr>
                <w:rFonts w:ascii="Arial" w:hAnsi="Arial" w:cs="Arial"/>
              </w:rPr>
            </w:pPr>
            <w:r w:rsidRPr="00D31FE1">
              <w:rPr>
                <w:rFonts w:ascii="Arial" w:hAnsi="Arial" w:cs="Arial"/>
              </w:rPr>
              <w:t>25%</w:t>
            </w:r>
          </w:p>
          <w:p w:rsidR="003B00AF" w:rsidRPr="00D31FE1" w:rsidRDefault="003B00AF" w:rsidP="00EC0A1F">
            <w:pPr>
              <w:jc w:val="right"/>
              <w:rPr>
                <w:rFonts w:ascii="Arial" w:hAnsi="Arial" w:cs="Arial"/>
              </w:rPr>
            </w:pPr>
            <w:r w:rsidRPr="00D31FE1">
              <w:rPr>
                <w:rFonts w:ascii="Arial" w:hAnsi="Arial" w:cs="Arial"/>
              </w:rPr>
              <w:t>25%</w:t>
            </w:r>
          </w:p>
          <w:p w:rsidR="003B00AF" w:rsidRPr="00D31FE1" w:rsidRDefault="003B00AF" w:rsidP="00EC0A1F">
            <w:pPr>
              <w:jc w:val="right"/>
              <w:rPr>
                <w:rFonts w:ascii="Arial" w:hAnsi="Arial" w:cs="Arial"/>
              </w:rPr>
            </w:pPr>
            <w:r w:rsidRPr="00D31FE1">
              <w:rPr>
                <w:rFonts w:ascii="Arial" w:hAnsi="Arial" w:cs="Arial"/>
              </w:rPr>
              <w:t>40%</w:t>
            </w:r>
          </w:p>
          <w:p w:rsidR="003B00AF" w:rsidRPr="00D31FE1" w:rsidRDefault="003B00AF" w:rsidP="00EC0A1F">
            <w:pPr>
              <w:jc w:val="right"/>
              <w:rPr>
                <w:rFonts w:ascii="Arial" w:hAnsi="Arial" w:cs="Arial"/>
              </w:rPr>
            </w:pPr>
            <w:r w:rsidRPr="00D31FE1">
              <w:rPr>
                <w:rFonts w:ascii="Arial" w:hAnsi="Arial" w:cs="Arial"/>
              </w:rPr>
              <w:t>10%</w:t>
            </w:r>
          </w:p>
        </w:tc>
        <w:tc>
          <w:tcPr>
            <w:tcW w:w="1270" w:type="dxa"/>
          </w:tcPr>
          <w:p w:rsidR="003B00AF" w:rsidRPr="00D31FE1" w:rsidRDefault="003B00AF" w:rsidP="00EC0A1F">
            <w:pPr>
              <w:jc w:val="right"/>
              <w:rPr>
                <w:rFonts w:ascii="Arial" w:hAnsi="Arial" w:cs="Arial"/>
                <w:b/>
              </w:rPr>
            </w:pPr>
          </w:p>
          <w:p w:rsidR="003B00AF" w:rsidRPr="00D31FE1" w:rsidRDefault="003B00AF" w:rsidP="00EC0A1F">
            <w:pPr>
              <w:jc w:val="right"/>
              <w:rPr>
                <w:rFonts w:ascii="Arial" w:hAnsi="Arial" w:cs="Arial"/>
                <w:b/>
              </w:rPr>
            </w:pPr>
          </w:p>
          <w:p w:rsidR="003B00AF" w:rsidRPr="00D31FE1" w:rsidRDefault="003B00AF" w:rsidP="00EC0A1F">
            <w:pPr>
              <w:jc w:val="right"/>
              <w:rPr>
                <w:rFonts w:ascii="Arial" w:hAnsi="Arial" w:cs="Arial"/>
                <w:b/>
              </w:rPr>
            </w:pPr>
          </w:p>
          <w:p w:rsidR="003B00AF" w:rsidRPr="00D31FE1" w:rsidRDefault="003B00AF" w:rsidP="00EC0A1F">
            <w:pPr>
              <w:jc w:val="right"/>
              <w:rPr>
                <w:rFonts w:ascii="Arial" w:hAnsi="Arial" w:cs="Arial"/>
                <w:b/>
              </w:rPr>
            </w:pPr>
          </w:p>
          <w:p w:rsidR="003B00AF" w:rsidRPr="00D31FE1" w:rsidRDefault="003B00AF" w:rsidP="00EC0A1F">
            <w:pPr>
              <w:jc w:val="right"/>
              <w:rPr>
                <w:rFonts w:ascii="Arial" w:hAnsi="Arial" w:cs="Arial"/>
                <w:b/>
              </w:rPr>
            </w:pPr>
          </w:p>
          <w:p w:rsidR="003B00AF" w:rsidRPr="00D31FE1" w:rsidRDefault="003B00AF" w:rsidP="00EC0A1F">
            <w:pPr>
              <w:jc w:val="right"/>
              <w:rPr>
                <w:rFonts w:ascii="Arial" w:hAnsi="Arial" w:cs="Arial"/>
                <w:b/>
                <w:bCs/>
              </w:rPr>
            </w:pPr>
            <w:r w:rsidRPr="00D31FE1">
              <w:rPr>
                <w:rFonts w:ascii="Arial" w:hAnsi="Arial" w:cs="Arial"/>
                <w:b/>
                <w:bCs/>
              </w:rPr>
              <w:t>50%</w:t>
            </w:r>
          </w:p>
        </w:tc>
      </w:tr>
    </w:tbl>
    <w:p w:rsidR="00B71A66" w:rsidRDefault="00B71A66" w:rsidP="00F84DEF">
      <w:pPr>
        <w:pStyle w:val="A2"/>
        <w:numPr>
          <w:ilvl w:val="0"/>
          <w:numId w:val="0"/>
        </w:numPr>
        <w:ind w:left="426"/>
        <w:rPr>
          <w:sz w:val="22"/>
          <w:szCs w:val="22"/>
        </w:rPr>
      </w:pPr>
    </w:p>
    <w:p w:rsidR="00B71A66" w:rsidRDefault="00B71A66" w:rsidP="00D54AA5">
      <w:pPr>
        <w:pStyle w:val="A2"/>
        <w:numPr>
          <w:ilvl w:val="0"/>
          <w:numId w:val="0"/>
        </w:numPr>
        <w:ind w:left="4692" w:hanging="864"/>
      </w:pPr>
    </w:p>
    <w:p w:rsidR="00B71A66" w:rsidRDefault="00B71A66" w:rsidP="00B71A66">
      <w:pPr>
        <w:pStyle w:val="A1"/>
        <w:numPr>
          <w:ilvl w:val="0"/>
          <w:numId w:val="0"/>
        </w:numPr>
        <w:tabs>
          <w:tab w:val="left" w:pos="720"/>
        </w:tabs>
        <w:ind w:left="1276" w:hanging="850"/>
      </w:pPr>
      <w:r>
        <w:rPr>
          <w:u w:val="none"/>
        </w:rPr>
        <w:t>1</w:t>
      </w:r>
      <w:r w:rsidR="00814E6C">
        <w:rPr>
          <w:u w:val="none"/>
        </w:rPr>
        <w:t>2</w:t>
      </w:r>
      <w:r>
        <w:rPr>
          <w:u w:val="none"/>
        </w:rPr>
        <w:tab/>
      </w:r>
      <w:r>
        <w:rPr>
          <w:b w:val="0"/>
          <w:u w:val="none"/>
        </w:rPr>
        <w:tab/>
      </w:r>
      <w:r>
        <w:t>Acceptance Of quotation</w:t>
      </w:r>
    </w:p>
    <w:p w:rsidR="00B71A66" w:rsidRDefault="00B71A66" w:rsidP="00B71A66">
      <w:pPr>
        <w:pStyle w:val="A2"/>
        <w:numPr>
          <w:ilvl w:val="0"/>
          <w:numId w:val="0"/>
        </w:numPr>
        <w:tabs>
          <w:tab w:val="left" w:pos="720"/>
        </w:tabs>
        <w:ind w:left="1276" w:hanging="850"/>
        <w:rPr>
          <w:sz w:val="22"/>
          <w:szCs w:val="22"/>
        </w:rPr>
      </w:pPr>
      <w:r>
        <w:rPr>
          <w:sz w:val="22"/>
          <w:szCs w:val="22"/>
        </w:rPr>
        <w:t>1</w:t>
      </w:r>
      <w:r w:rsidR="00814E6C">
        <w:rPr>
          <w:sz w:val="22"/>
          <w:szCs w:val="22"/>
        </w:rPr>
        <w:t>2</w:t>
      </w:r>
      <w:r>
        <w:rPr>
          <w:sz w:val="22"/>
          <w:szCs w:val="22"/>
        </w:rPr>
        <w:t>.1</w:t>
      </w:r>
      <w:r>
        <w:rPr>
          <w:sz w:val="22"/>
          <w:szCs w:val="22"/>
        </w:rPr>
        <w:tab/>
        <w:t xml:space="preserve">Any acceptance by the Authority of a </w:t>
      </w:r>
      <w:r w:rsidR="00D54AA5">
        <w:rPr>
          <w:sz w:val="22"/>
          <w:szCs w:val="22"/>
        </w:rPr>
        <w:t>proposal</w:t>
      </w:r>
      <w:r>
        <w:rPr>
          <w:sz w:val="22"/>
          <w:szCs w:val="22"/>
        </w:rPr>
        <w:t xml:space="preserve"> shall be notified to the successful supplier in writing by the Authority.  </w:t>
      </w:r>
    </w:p>
    <w:p w:rsidR="004C5BC3" w:rsidRDefault="004C5BC3">
      <w:pPr>
        <w:rPr>
          <w:rFonts w:eastAsia="Times New Roman"/>
          <w:sz w:val="22"/>
          <w:szCs w:val="22"/>
        </w:rPr>
      </w:pPr>
      <w:r>
        <w:rPr>
          <w:sz w:val="22"/>
          <w:szCs w:val="22"/>
        </w:rPr>
        <w:br w:type="page"/>
      </w:r>
      <w:bookmarkStart w:id="10" w:name="_GoBack"/>
      <w:bookmarkEnd w:id="10"/>
    </w:p>
    <w:p w:rsidR="006C6AD0" w:rsidRDefault="004C5BC3" w:rsidP="004C5BC3">
      <w:pPr>
        <w:pStyle w:val="A2"/>
        <w:numPr>
          <w:ilvl w:val="0"/>
          <w:numId w:val="0"/>
        </w:numPr>
        <w:tabs>
          <w:tab w:val="left" w:pos="720"/>
        </w:tabs>
        <w:ind w:left="1276" w:hanging="850"/>
        <w:jc w:val="right"/>
        <w:rPr>
          <w:sz w:val="22"/>
          <w:szCs w:val="22"/>
        </w:rPr>
      </w:pPr>
      <w:r>
        <w:rPr>
          <w:sz w:val="22"/>
          <w:szCs w:val="22"/>
        </w:rPr>
        <w:lastRenderedPageBreak/>
        <w:t>Annex 1</w:t>
      </w:r>
    </w:p>
    <w:p w:rsidR="006C6AD0" w:rsidRDefault="006C6AD0" w:rsidP="00B71A66">
      <w:pPr>
        <w:pStyle w:val="A2"/>
        <w:numPr>
          <w:ilvl w:val="0"/>
          <w:numId w:val="0"/>
        </w:numPr>
        <w:tabs>
          <w:tab w:val="left" w:pos="720"/>
        </w:tabs>
        <w:ind w:left="1276" w:hanging="850"/>
        <w:rPr>
          <w:sz w:val="22"/>
          <w:szCs w:val="22"/>
        </w:rPr>
      </w:pPr>
    </w:p>
    <w:p w:rsidR="006C6AD0" w:rsidRPr="006C6AD0" w:rsidRDefault="006C6AD0" w:rsidP="006C6AD0">
      <w:pPr>
        <w:pStyle w:val="A2"/>
        <w:numPr>
          <w:ilvl w:val="0"/>
          <w:numId w:val="0"/>
        </w:numPr>
        <w:tabs>
          <w:tab w:val="left" w:pos="720"/>
        </w:tabs>
        <w:ind w:left="1276" w:hanging="850"/>
        <w:jc w:val="center"/>
        <w:rPr>
          <w:b/>
          <w:szCs w:val="24"/>
          <w:u w:val="single"/>
        </w:rPr>
      </w:pPr>
      <w:r>
        <w:rPr>
          <w:b/>
          <w:szCs w:val="24"/>
          <w:u w:val="single"/>
        </w:rPr>
        <w:t>SERVICE SPECIFICATION</w:t>
      </w:r>
    </w:p>
    <w:p w:rsidR="006C6AD0" w:rsidRDefault="006C6AD0" w:rsidP="00B71A66">
      <w:pPr>
        <w:pStyle w:val="A2"/>
        <w:numPr>
          <w:ilvl w:val="0"/>
          <w:numId w:val="0"/>
        </w:numPr>
        <w:tabs>
          <w:tab w:val="left" w:pos="720"/>
        </w:tabs>
        <w:ind w:left="1276" w:hanging="850"/>
        <w:rPr>
          <w:sz w:val="22"/>
          <w:szCs w:val="22"/>
        </w:rPr>
      </w:pPr>
    </w:p>
    <w:p w:rsidR="006C6AD0" w:rsidRPr="00704585" w:rsidRDefault="003B00AF" w:rsidP="006C6AD0">
      <w:pPr>
        <w:pStyle w:val="ListParagraph"/>
        <w:rPr>
          <w:rFonts w:cs="Arial"/>
          <w:szCs w:val="24"/>
        </w:rPr>
      </w:pPr>
      <w:r>
        <w:rPr>
          <w:rFonts w:cs="Arial"/>
          <w:b/>
          <w:szCs w:val="24"/>
        </w:rPr>
        <w:t>See Tender specification</w:t>
      </w:r>
    </w:p>
    <w:p w:rsidR="00B71A66" w:rsidRDefault="00B71A66" w:rsidP="00B71A66"/>
    <w:sectPr w:rsidR="00B71A66" w:rsidSect="00152556">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8F2" w:rsidRDefault="00C178F2" w:rsidP="00152556">
      <w:r>
        <w:separator/>
      </w:r>
    </w:p>
  </w:endnote>
  <w:endnote w:type="continuationSeparator" w:id="0">
    <w:p w:rsidR="00C178F2" w:rsidRDefault="00C178F2" w:rsidP="0015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55" w:rsidRDefault="00E45655">
    <w:pPr>
      <w:pStyle w:val="Footer"/>
      <w:pBdr>
        <w:top w:val="thinThickSmallGap" w:sz="24" w:space="1" w:color="622423"/>
      </w:pBdr>
      <w:rPr>
        <w:rFonts w:ascii="Cambria" w:hAnsi="Cambria"/>
      </w:rPr>
    </w:pPr>
    <w:r>
      <w:rPr>
        <w:rFonts w:ascii="Cambria" w:hAnsi="Cambria"/>
      </w:rPr>
      <w:t xml:space="preserve">RBKC RFQ for </w:t>
    </w:r>
    <w:r w:rsidR="003B00AF" w:rsidRPr="003B00AF">
      <w:rPr>
        <w:rFonts w:ascii="Cambria" w:hAnsi="Cambria"/>
      </w:rPr>
      <w:t>Co-working space for growth, 205 Holland Park Avenue</w:t>
    </w:r>
    <w:r>
      <w:rPr>
        <w:rFonts w:ascii="Cambria" w:hAnsi="Cambria"/>
      </w:rPr>
      <w:tab/>
      <w:t xml:space="preserve">Page </w:t>
    </w:r>
    <w:r>
      <w:fldChar w:fldCharType="begin"/>
    </w:r>
    <w:r>
      <w:instrText xml:space="preserve"> PAGE   \* MERGEFORMAT </w:instrText>
    </w:r>
    <w:r>
      <w:fldChar w:fldCharType="separate"/>
    </w:r>
    <w:r w:rsidR="00814E6C" w:rsidRPr="00814E6C">
      <w:rPr>
        <w:rFonts w:ascii="Cambria" w:hAnsi="Cambria"/>
        <w:noProof/>
      </w:rPr>
      <w:t>8</w:t>
    </w:r>
    <w:r>
      <w:fldChar w:fldCharType="end"/>
    </w:r>
  </w:p>
  <w:p w:rsidR="00E45655" w:rsidRDefault="00E45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85"/>
      <w:gridCol w:w="2550"/>
      <w:gridCol w:w="3291"/>
    </w:tblGrid>
    <w:tr w:rsidR="00E45655" w:rsidRPr="000E1AF5" w:rsidTr="00CB59F0">
      <w:tc>
        <w:tcPr>
          <w:tcW w:w="3216" w:type="dxa"/>
          <w:shd w:val="clear" w:color="auto" w:fill="auto"/>
        </w:tcPr>
        <w:p w:rsidR="00E45655" w:rsidRPr="000E1AF5" w:rsidRDefault="00E45655" w:rsidP="00152556">
          <w:pPr>
            <w:tabs>
              <w:tab w:val="left" w:pos="263"/>
              <w:tab w:val="center" w:pos="1390"/>
            </w:tabs>
            <w:rPr>
              <w:rFonts w:eastAsia="Calibri" w:cs="Calibri"/>
              <w:color w:val="002060"/>
            </w:rPr>
          </w:pPr>
        </w:p>
      </w:tc>
      <w:tc>
        <w:tcPr>
          <w:tcW w:w="2630" w:type="dxa"/>
          <w:shd w:val="clear" w:color="auto" w:fill="auto"/>
        </w:tcPr>
        <w:p w:rsidR="00E45655" w:rsidRPr="000E1AF5" w:rsidRDefault="00E45655" w:rsidP="00152556">
          <w:pPr>
            <w:jc w:val="center"/>
            <w:rPr>
              <w:rFonts w:eastAsia="Calibri" w:cs="Calibri"/>
              <w:noProof/>
              <w:color w:val="002060"/>
              <w:lang w:eastAsia="en-GB"/>
            </w:rPr>
          </w:pPr>
        </w:p>
      </w:tc>
      <w:tc>
        <w:tcPr>
          <w:tcW w:w="3396" w:type="dxa"/>
          <w:shd w:val="clear" w:color="auto" w:fill="auto"/>
        </w:tcPr>
        <w:p w:rsidR="00E45655" w:rsidRPr="000E1AF5" w:rsidRDefault="00E45655" w:rsidP="00152556">
          <w:pPr>
            <w:jc w:val="center"/>
            <w:rPr>
              <w:rFonts w:eastAsia="Calibri" w:cs="Calibri"/>
              <w:color w:val="002060"/>
            </w:rPr>
          </w:pPr>
        </w:p>
      </w:tc>
    </w:tr>
    <w:tr w:rsidR="00E45655" w:rsidRPr="000E1AF5" w:rsidTr="00CB59F0">
      <w:trPr>
        <w:trHeight w:val="1818"/>
      </w:trPr>
      <w:tc>
        <w:tcPr>
          <w:tcW w:w="3216" w:type="dxa"/>
          <w:shd w:val="clear" w:color="auto" w:fill="auto"/>
        </w:tcPr>
        <w:p w:rsidR="00E45655" w:rsidRPr="000E1AF5" w:rsidRDefault="00E45655" w:rsidP="00152556">
          <w:pPr>
            <w:tabs>
              <w:tab w:val="left" w:pos="263"/>
              <w:tab w:val="center" w:pos="1390"/>
            </w:tabs>
            <w:rPr>
              <w:rFonts w:eastAsia="Calibri" w:cs="Calibri"/>
              <w:color w:val="002060"/>
            </w:rPr>
          </w:pPr>
          <w:r w:rsidRPr="000E1AF5">
            <w:rPr>
              <w:rFonts w:eastAsia="Calibri" w:cs="Calibri"/>
              <w:color w:val="002060"/>
            </w:rPr>
            <w:tab/>
          </w:r>
          <w:r w:rsidRPr="000E1AF5">
            <w:rPr>
              <w:rFonts w:eastAsia="Calibri" w:cs="Calibri"/>
              <w:color w:val="002060"/>
            </w:rPr>
            <w:tab/>
          </w:r>
          <w:r w:rsidR="00461FE4" w:rsidRPr="000E1AF5">
            <w:rPr>
              <w:rFonts w:eastAsia="Calibri" w:cs="Calibri"/>
              <w:noProof/>
              <w:color w:val="002060"/>
              <w:lang w:eastAsia="en-GB"/>
            </w:rPr>
            <w:drawing>
              <wp:inline distT="0" distB="0" distL="0" distR="0" wp14:anchorId="0C08F3AA" wp14:editId="4E7876EE">
                <wp:extent cx="1203960" cy="169926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1699260"/>
                        </a:xfrm>
                        <a:prstGeom prst="rect">
                          <a:avLst/>
                        </a:prstGeom>
                        <a:noFill/>
                        <a:ln>
                          <a:noFill/>
                        </a:ln>
                      </pic:spPr>
                    </pic:pic>
                  </a:graphicData>
                </a:graphic>
              </wp:inline>
            </w:drawing>
          </w:r>
        </w:p>
      </w:tc>
      <w:tc>
        <w:tcPr>
          <w:tcW w:w="2630" w:type="dxa"/>
          <w:shd w:val="clear" w:color="auto" w:fill="auto"/>
        </w:tcPr>
        <w:p w:rsidR="00E45655" w:rsidRPr="000E1AF5" w:rsidRDefault="00E45655" w:rsidP="00152556">
          <w:pPr>
            <w:jc w:val="center"/>
            <w:rPr>
              <w:rFonts w:eastAsia="Calibri" w:cs="Calibri"/>
              <w:color w:val="002060"/>
            </w:rPr>
          </w:pPr>
        </w:p>
      </w:tc>
      <w:tc>
        <w:tcPr>
          <w:tcW w:w="3396" w:type="dxa"/>
          <w:shd w:val="clear" w:color="auto" w:fill="auto"/>
        </w:tcPr>
        <w:p w:rsidR="00E45655" w:rsidRPr="000E1AF5" w:rsidRDefault="00E45655" w:rsidP="00152556">
          <w:pPr>
            <w:rPr>
              <w:rFonts w:eastAsia="Calibri" w:cs="Calibri"/>
              <w:color w:val="002060"/>
            </w:rPr>
          </w:pPr>
        </w:p>
        <w:p w:rsidR="00E45655" w:rsidRPr="000E1AF5" w:rsidRDefault="00E45655" w:rsidP="00152556">
          <w:pPr>
            <w:jc w:val="center"/>
            <w:rPr>
              <w:rFonts w:eastAsia="Calibri" w:cs="Calibri"/>
              <w:color w:val="002060"/>
            </w:rPr>
          </w:pPr>
        </w:p>
      </w:tc>
    </w:tr>
  </w:tbl>
  <w:p w:rsidR="00E45655" w:rsidRDefault="00E45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8F2" w:rsidRDefault="00C178F2" w:rsidP="00152556">
      <w:r>
        <w:separator/>
      </w:r>
    </w:p>
  </w:footnote>
  <w:footnote w:type="continuationSeparator" w:id="0">
    <w:p w:rsidR="00C178F2" w:rsidRDefault="00C178F2" w:rsidP="0015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0E3"/>
    <w:multiLevelType w:val="multilevel"/>
    <w:tmpl w:val="EEB8A72A"/>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91916"/>
    <w:multiLevelType w:val="hybridMultilevel"/>
    <w:tmpl w:val="BAA0FF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BB2595"/>
    <w:multiLevelType w:val="multilevel"/>
    <w:tmpl w:val="DB62E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386403"/>
    <w:multiLevelType w:val="hybridMultilevel"/>
    <w:tmpl w:val="9E34CA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B90CCC"/>
    <w:multiLevelType w:val="hybridMultilevel"/>
    <w:tmpl w:val="240A1D4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157C7A18"/>
    <w:multiLevelType w:val="singleLevel"/>
    <w:tmpl w:val="4C8C206E"/>
    <w:lvl w:ilvl="0">
      <w:start w:val="3"/>
      <w:numFmt w:val="upperLetter"/>
      <w:pStyle w:val="Heading5"/>
      <w:lvlText w:val="%1."/>
      <w:lvlJc w:val="left"/>
      <w:pPr>
        <w:tabs>
          <w:tab w:val="num" w:pos="360"/>
        </w:tabs>
        <w:ind w:left="360" w:hanging="360"/>
      </w:pPr>
      <w:rPr>
        <w:rFonts w:hint="default"/>
        <w:u w:val="none"/>
      </w:rPr>
    </w:lvl>
  </w:abstractNum>
  <w:abstractNum w:abstractNumId="6" w15:restartNumberingAfterBreak="0">
    <w:nsid w:val="35793131"/>
    <w:multiLevelType w:val="hybridMultilevel"/>
    <w:tmpl w:val="DC9AB7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6384283"/>
    <w:multiLevelType w:val="multilevel"/>
    <w:tmpl w:val="42F40B1A"/>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4692"/>
        </w:tabs>
        <w:ind w:left="4692" w:hanging="864"/>
      </w:pPr>
      <w:rPr>
        <w:rFonts w:ascii="Arial" w:hAnsi="Arial" w:cs="Arial" w:hint="default"/>
        <w:b w:val="0"/>
        <w:i w:val="0"/>
        <w:sz w:val="22"/>
        <w:szCs w:val="22"/>
      </w:rPr>
    </w:lvl>
    <w:lvl w:ilvl="2">
      <w:start w:val="1"/>
      <w:numFmt w:val="decimal"/>
      <w:pStyle w:val="A3"/>
      <w:lvlText w:val="%1.%2.%3."/>
      <w:lvlJc w:val="left"/>
      <w:pPr>
        <w:tabs>
          <w:tab w:val="num" w:pos="2429"/>
        </w:tabs>
        <w:ind w:left="2429" w:hanging="1152"/>
      </w:pPr>
      <w:rPr>
        <w:rFonts w:ascii="Arial" w:hAnsi="Arial" w:cs="Arial" w:hint="default"/>
        <w:b w:val="0"/>
        <w:i w:val="0"/>
        <w:sz w:val="22"/>
        <w:szCs w:val="22"/>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3265C61"/>
    <w:multiLevelType w:val="multilevel"/>
    <w:tmpl w:val="685045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8680E90"/>
    <w:multiLevelType w:val="hybridMultilevel"/>
    <w:tmpl w:val="9AC04C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7A0C5D"/>
    <w:multiLevelType w:val="multilevel"/>
    <w:tmpl w:val="C922B6BC"/>
    <w:lvl w:ilvl="0">
      <w:start w:val="1"/>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D9A5E16"/>
    <w:multiLevelType w:val="hybridMultilevel"/>
    <w:tmpl w:val="6D3AE0DC"/>
    <w:lvl w:ilvl="0" w:tplc="0809000F">
      <w:start w:val="1"/>
      <w:numFmt w:val="decimal"/>
      <w:lvlText w:val="%1."/>
      <w:lvlJc w:val="left"/>
      <w:pPr>
        <w:ind w:left="2010" w:hanging="360"/>
      </w:p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12" w15:restartNumberingAfterBreak="0">
    <w:nsid w:val="51B377F1"/>
    <w:multiLevelType w:val="hybridMultilevel"/>
    <w:tmpl w:val="7BF4CA54"/>
    <w:lvl w:ilvl="0" w:tplc="6BCCFE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2475B9"/>
    <w:multiLevelType w:val="hybridMultilevel"/>
    <w:tmpl w:val="3AA098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8D53269"/>
    <w:multiLevelType w:val="hybridMultilevel"/>
    <w:tmpl w:val="3E06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3042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C520C37"/>
    <w:multiLevelType w:val="hybridMultilevel"/>
    <w:tmpl w:val="A9BA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C491F"/>
    <w:multiLevelType w:val="hybridMultilevel"/>
    <w:tmpl w:val="C6B0061C"/>
    <w:lvl w:ilvl="0" w:tplc="11706A0A">
      <w:start w:val="10"/>
      <w:numFmt w:val="bullet"/>
      <w:lvlText w:val="-"/>
      <w:lvlJc w:val="left"/>
      <w:pPr>
        <w:ind w:left="1080" w:hanging="360"/>
      </w:pPr>
      <w:rPr>
        <w:rFonts w:ascii="Arial" w:eastAsia="Times New Roman" w:hAnsi="Arial" w:cs="Arial" w:hint="default"/>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940472"/>
    <w:multiLevelType w:val="multilevel"/>
    <w:tmpl w:val="6BE81066"/>
    <w:lvl w:ilvl="0">
      <w:start w:val="11"/>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6AB86777"/>
    <w:multiLevelType w:val="multilevel"/>
    <w:tmpl w:val="FC888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FC1C5C"/>
    <w:multiLevelType w:val="hybridMultilevel"/>
    <w:tmpl w:val="3AE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2C0A63"/>
    <w:multiLevelType w:val="multilevel"/>
    <w:tmpl w:val="760629F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7"/>
  </w:num>
  <w:num w:numId="2">
    <w:abstractNumId w:val="11"/>
  </w:num>
  <w:num w:numId="3">
    <w:abstractNumId w:val="5"/>
  </w:num>
  <w:num w:numId="4">
    <w:abstractNumId w:val="15"/>
  </w:num>
  <w:num w:numId="5">
    <w:abstractNumId w:val="2"/>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13"/>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num>
  <w:num w:numId="30">
    <w:abstractNumId w:val="18"/>
  </w:num>
  <w:num w:numId="31">
    <w:abstractNumId w:val="4"/>
  </w:num>
  <w:num w:numId="32">
    <w:abstractNumId w:val="7"/>
  </w:num>
  <w:num w:numId="3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6"/>
  </w:num>
  <w:num w:numId="36">
    <w:abstractNumId w:val="20"/>
  </w:num>
  <w:num w:numId="37">
    <w:abstractNumId w:val="8"/>
  </w:num>
  <w:num w:numId="38">
    <w:abstractNumId w:val="17"/>
  </w:num>
  <w:num w:numId="39">
    <w:abstractNumId w:val="12"/>
  </w:num>
  <w:num w:numId="40">
    <w:abstractNumId w:val="19"/>
  </w:num>
  <w:num w:numId="41">
    <w:abstractNumId w:val="10"/>
  </w:num>
  <w:num w:numId="42">
    <w:abstractNumId w:val="7"/>
  </w:num>
  <w:num w:numId="43">
    <w:abstractNumId w:val="7"/>
  </w:num>
  <w:num w:numId="44">
    <w:abstractNumId w:val="3"/>
  </w:num>
  <w:num w:numId="45">
    <w:abstractNumId w:val="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92"/>
    <w:rsid w:val="00015708"/>
    <w:rsid w:val="00022FA8"/>
    <w:rsid w:val="0002668D"/>
    <w:rsid w:val="000347F3"/>
    <w:rsid w:val="00034EA3"/>
    <w:rsid w:val="0004475F"/>
    <w:rsid w:val="00061AB1"/>
    <w:rsid w:val="0007254E"/>
    <w:rsid w:val="00074A7B"/>
    <w:rsid w:val="00082C19"/>
    <w:rsid w:val="00087F78"/>
    <w:rsid w:val="000A130B"/>
    <w:rsid w:val="000A3DEA"/>
    <w:rsid w:val="000B3657"/>
    <w:rsid w:val="000C4510"/>
    <w:rsid w:val="000C46C4"/>
    <w:rsid w:val="000D329F"/>
    <w:rsid w:val="000D75AE"/>
    <w:rsid w:val="000E022E"/>
    <w:rsid w:val="000E1AF5"/>
    <w:rsid w:val="000E2579"/>
    <w:rsid w:val="000E5F10"/>
    <w:rsid w:val="000F6984"/>
    <w:rsid w:val="0010693F"/>
    <w:rsid w:val="001074AC"/>
    <w:rsid w:val="00110FBF"/>
    <w:rsid w:val="0011160F"/>
    <w:rsid w:val="00126099"/>
    <w:rsid w:val="00141463"/>
    <w:rsid w:val="00152556"/>
    <w:rsid w:val="001613AA"/>
    <w:rsid w:val="00163668"/>
    <w:rsid w:val="001644D6"/>
    <w:rsid w:val="00165D45"/>
    <w:rsid w:val="001674AA"/>
    <w:rsid w:val="00167E3C"/>
    <w:rsid w:val="00172B92"/>
    <w:rsid w:val="001772E2"/>
    <w:rsid w:val="001A0492"/>
    <w:rsid w:val="001A3C95"/>
    <w:rsid w:val="001A49E3"/>
    <w:rsid w:val="001A4DF2"/>
    <w:rsid w:val="001C59A3"/>
    <w:rsid w:val="001F46A4"/>
    <w:rsid w:val="00206417"/>
    <w:rsid w:val="00215622"/>
    <w:rsid w:val="0021605F"/>
    <w:rsid w:val="00225A41"/>
    <w:rsid w:val="00226DEB"/>
    <w:rsid w:val="00232598"/>
    <w:rsid w:val="00233E04"/>
    <w:rsid w:val="00262481"/>
    <w:rsid w:val="00291726"/>
    <w:rsid w:val="00294677"/>
    <w:rsid w:val="002A486F"/>
    <w:rsid w:val="002B01E1"/>
    <w:rsid w:val="002B08FD"/>
    <w:rsid w:val="002B2938"/>
    <w:rsid w:val="002B3327"/>
    <w:rsid w:val="002B673B"/>
    <w:rsid w:val="002C36F0"/>
    <w:rsid w:val="002C7E3E"/>
    <w:rsid w:val="002D0758"/>
    <w:rsid w:val="002E067A"/>
    <w:rsid w:val="002E751F"/>
    <w:rsid w:val="002F3413"/>
    <w:rsid w:val="003121A3"/>
    <w:rsid w:val="003219F5"/>
    <w:rsid w:val="00324589"/>
    <w:rsid w:val="00325289"/>
    <w:rsid w:val="00343B66"/>
    <w:rsid w:val="00357FDD"/>
    <w:rsid w:val="003638E8"/>
    <w:rsid w:val="0036607A"/>
    <w:rsid w:val="003662D6"/>
    <w:rsid w:val="0037665F"/>
    <w:rsid w:val="003868EE"/>
    <w:rsid w:val="0039099E"/>
    <w:rsid w:val="00391142"/>
    <w:rsid w:val="003A0516"/>
    <w:rsid w:val="003A11E6"/>
    <w:rsid w:val="003B00AF"/>
    <w:rsid w:val="003E3B3E"/>
    <w:rsid w:val="003F4C5F"/>
    <w:rsid w:val="0040010A"/>
    <w:rsid w:val="00401C21"/>
    <w:rsid w:val="00402C54"/>
    <w:rsid w:val="004079C6"/>
    <w:rsid w:val="00410227"/>
    <w:rsid w:val="00415B18"/>
    <w:rsid w:val="00415FFB"/>
    <w:rsid w:val="00423179"/>
    <w:rsid w:val="0042393B"/>
    <w:rsid w:val="004273A1"/>
    <w:rsid w:val="00431066"/>
    <w:rsid w:val="004346E7"/>
    <w:rsid w:val="00437BD9"/>
    <w:rsid w:val="0045704A"/>
    <w:rsid w:val="00457940"/>
    <w:rsid w:val="00460E46"/>
    <w:rsid w:val="004614F2"/>
    <w:rsid w:val="00461FE4"/>
    <w:rsid w:val="0048123A"/>
    <w:rsid w:val="0048230B"/>
    <w:rsid w:val="00486050"/>
    <w:rsid w:val="004918F5"/>
    <w:rsid w:val="00491A33"/>
    <w:rsid w:val="004A19A6"/>
    <w:rsid w:val="004A5B34"/>
    <w:rsid w:val="004A76EB"/>
    <w:rsid w:val="004A7ACB"/>
    <w:rsid w:val="004C25D3"/>
    <w:rsid w:val="004C38EC"/>
    <w:rsid w:val="004C5BC3"/>
    <w:rsid w:val="004E4014"/>
    <w:rsid w:val="004E6651"/>
    <w:rsid w:val="005008EA"/>
    <w:rsid w:val="00500DB8"/>
    <w:rsid w:val="00505442"/>
    <w:rsid w:val="0050555C"/>
    <w:rsid w:val="00505F07"/>
    <w:rsid w:val="00507826"/>
    <w:rsid w:val="0051287C"/>
    <w:rsid w:val="00524A53"/>
    <w:rsid w:val="00534144"/>
    <w:rsid w:val="0054125C"/>
    <w:rsid w:val="0054402F"/>
    <w:rsid w:val="00544CFF"/>
    <w:rsid w:val="00554B83"/>
    <w:rsid w:val="0056082E"/>
    <w:rsid w:val="0057614E"/>
    <w:rsid w:val="00582E4D"/>
    <w:rsid w:val="00593DAE"/>
    <w:rsid w:val="005B04A9"/>
    <w:rsid w:val="005D2139"/>
    <w:rsid w:val="005D2679"/>
    <w:rsid w:val="005E10ED"/>
    <w:rsid w:val="00613152"/>
    <w:rsid w:val="00614749"/>
    <w:rsid w:val="00633EFF"/>
    <w:rsid w:val="006346C2"/>
    <w:rsid w:val="00635CE4"/>
    <w:rsid w:val="00650869"/>
    <w:rsid w:val="00650BC0"/>
    <w:rsid w:val="0065152F"/>
    <w:rsid w:val="0067161C"/>
    <w:rsid w:val="006736B2"/>
    <w:rsid w:val="00685AB1"/>
    <w:rsid w:val="0068655F"/>
    <w:rsid w:val="006935D9"/>
    <w:rsid w:val="006B623A"/>
    <w:rsid w:val="006B6E61"/>
    <w:rsid w:val="006C6AD0"/>
    <w:rsid w:val="006D053D"/>
    <w:rsid w:val="006E3AB1"/>
    <w:rsid w:val="00704F56"/>
    <w:rsid w:val="00705232"/>
    <w:rsid w:val="00727E6E"/>
    <w:rsid w:val="0074174E"/>
    <w:rsid w:val="00751C7A"/>
    <w:rsid w:val="00773C02"/>
    <w:rsid w:val="00775F66"/>
    <w:rsid w:val="00781992"/>
    <w:rsid w:val="00782D86"/>
    <w:rsid w:val="00790DBE"/>
    <w:rsid w:val="00795336"/>
    <w:rsid w:val="007A6DD1"/>
    <w:rsid w:val="007B3234"/>
    <w:rsid w:val="007B6E31"/>
    <w:rsid w:val="007D5161"/>
    <w:rsid w:val="007D5A85"/>
    <w:rsid w:val="007D5B05"/>
    <w:rsid w:val="007E2131"/>
    <w:rsid w:val="007E54D4"/>
    <w:rsid w:val="007E59E1"/>
    <w:rsid w:val="007F20D2"/>
    <w:rsid w:val="0080169F"/>
    <w:rsid w:val="00814E6C"/>
    <w:rsid w:val="00822A28"/>
    <w:rsid w:val="008247EC"/>
    <w:rsid w:val="00824A0B"/>
    <w:rsid w:val="00827DA9"/>
    <w:rsid w:val="00844C30"/>
    <w:rsid w:val="00855863"/>
    <w:rsid w:val="0086037C"/>
    <w:rsid w:val="0086389F"/>
    <w:rsid w:val="008669DB"/>
    <w:rsid w:val="00867513"/>
    <w:rsid w:val="00882AC0"/>
    <w:rsid w:val="00884A52"/>
    <w:rsid w:val="0089733C"/>
    <w:rsid w:val="008A104D"/>
    <w:rsid w:val="008A49C5"/>
    <w:rsid w:val="008A7342"/>
    <w:rsid w:val="008C7400"/>
    <w:rsid w:val="008D0577"/>
    <w:rsid w:val="008E0900"/>
    <w:rsid w:val="008E4933"/>
    <w:rsid w:val="00902F29"/>
    <w:rsid w:val="00903BCC"/>
    <w:rsid w:val="0091027A"/>
    <w:rsid w:val="00916C00"/>
    <w:rsid w:val="009238DA"/>
    <w:rsid w:val="0093083D"/>
    <w:rsid w:val="0093524B"/>
    <w:rsid w:val="00941AD5"/>
    <w:rsid w:val="009449B8"/>
    <w:rsid w:val="00945E05"/>
    <w:rsid w:val="009626E9"/>
    <w:rsid w:val="0096392C"/>
    <w:rsid w:val="009646B9"/>
    <w:rsid w:val="00971FCF"/>
    <w:rsid w:val="009812BC"/>
    <w:rsid w:val="009923FC"/>
    <w:rsid w:val="00992579"/>
    <w:rsid w:val="009936A6"/>
    <w:rsid w:val="009942DB"/>
    <w:rsid w:val="009947D2"/>
    <w:rsid w:val="00997DA1"/>
    <w:rsid w:val="009B17B7"/>
    <w:rsid w:val="009B1FC4"/>
    <w:rsid w:val="009B4A7D"/>
    <w:rsid w:val="009D4BB0"/>
    <w:rsid w:val="009E0852"/>
    <w:rsid w:val="009E1814"/>
    <w:rsid w:val="009E6B29"/>
    <w:rsid w:val="009F5AE0"/>
    <w:rsid w:val="00A1244A"/>
    <w:rsid w:val="00A31570"/>
    <w:rsid w:val="00A31FCD"/>
    <w:rsid w:val="00A35461"/>
    <w:rsid w:val="00A414A1"/>
    <w:rsid w:val="00A430FF"/>
    <w:rsid w:val="00A5593A"/>
    <w:rsid w:val="00A57217"/>
    <w:rsid w:val="00A65DBC"/>
    <w:rsid w:val="00A7007C"/>
    <w:rsid w:val="00A74205"/>
    <w:rsid w:val="00A74B82"/>
    <w:rsid w:val="00A83368"/>
    <w:rsid w:val="00A8365D"/>
    <w:rsid w:val="00A947F7"/>
    <w:rsid w:val="00A96549"/>
    <w:rsid w:val="00AA0737"/>
    <w:rsid w:val="00AB772D"/>
    <w:rsid w:val="00AC5A59"/>
    <w:rsid w:val="00AC7715"/>
    <w:rsid w:val="00AC774A"/>
    <w:rsid w:val="00AD4BF7"/>
    <w:rsid w:val="00AE3A62"/>
    <w:rsid w:val="00AF28F8"/>
    <w:rsid w:val="00AF6A91"/>
    <w:rsid w:val="00AF70B3"/>
    <w:rsid w:val="00AF73E8"/>
    <w:rsid w:val="00B336A3"/>
    <w:rsid w:val="00B36722"/>
    <w:rsid w:val="00B436BA"/>
    <w:rsid w:val="00B46AF2"/>
    <w:rsid w:val="00B5478A"/>
    <w:rsid w:val="00B625F6"/>
    <w:rsid w:val="00B62654"/>
    <w:rsid w:val="00B667EF"/>
    <w:rsid w:val="00B71A66"/>
    <w:rsid w:val="00B72BDC"/>
    <w:rsid w:val="00B75EAB"/>
    <w:rsid w:val="00B84DCC"/>
    <w:rsid w:val="00BB4647"/>
    <w:rsid w:val="00BC211D"/>
    <w:rsid w:val="00BD3134"/>
    <w:rsid w:val="00BD3903"/>
    <w:rsid w:val="00BD5E9A"/>
    <w:rsid w:val="00BE61D6"/>
    <w:rsid w:val="00BE7D37"/>
    <w:rsid w:val="00BF781C"/>
    <w:rsid w:val="00C0308F"/>
    <w:rsid w:val="00C1145F"/>
    <w:rsid w:val="00C1342B"/>
    <w:rsid w:val="00C1463B"/>
    <w:rsid w:val="00C178F2"/>
    <w:rsid w:val="00C206D9"/>
    <w:rsid w:val="00C357CB"/>
    <w:rsid w:val="00C36916"/>
    <w:rsid w:val="00C46910"/>
    <w:rsid w:val="00C51053"/>
    <w:rsid w:val="00C54263"/>
    <w:rsid w:val="00C72AA7"/>
    <w:rsid w:val="00C72DE2"/>
    <w:rsid w:val="00C83FA8"/>
    <w:rsid w:val="00CA3CA1"/>
    <w:rsid w:val="00CA641F"/>
    <w:rsid w:val="00CB0CA4"/>
    <w:rsid w:val="00CB59F0"/>
    <w:rsid w:val="00CC0D01"/>
    <w:rsid w:val="00CD3F64"/>
    <w:rsid w:val="00CD612F"/>
    <w:rsid w:val="00CE136F"/>
    <w:rsid w:val="00CE1988"/>
    <w:rsid w:val="00CE55CD"/>
    <w:rsid w:val="00D018B0"/>
    <w:rsid w:val="00D02372"/>
    <w:rsid w:val="00D035ED"/>
    <w:rsid w:val="00D10ED6"/>
    <w:rsid w:val="00D22890"/>
    <w:rsid w:val="00D23CB0"/>
    <w:rsid w:val="00D24DA4"/>
    <w:rsid w:val="00D34C7F"/>
    <w:rsid w:val="00D43463"/>
    <w:rsid w:val="00D527E0"/>
    <w:rsid w:val="00D54AA5"/>
    <w:rsid w:val="00D54C58"/>
    <w:rsid w:val="00D558E3"/>
    <w:rsid w:val="00D65C85"/>
    <w:rsid w:val="00D75727"/>
    <w:rsid w:val="00D77412"/>
    <w:rsid w:val="00D8583C"/>
    <w:rsid w:val="00D85C52"/>
    <w:rsid w:val="00D870B9"/>
    <w:rsid w:val="00D93C01"/>
    <w:rsid w:val="00D95A3F"/>
    <w:rsid w:val="00D9699C"/>
    <w:rsid w:val="00DA084A"/>
    <w:rsid w:val="00DB3072"/>
    <w:rsid w:val="00DD0C5B"/>
    <w:rsid w:val="00DD1D5F"/>
    <w:rsid w:val="00DD2ABC"/>
    <w:rsid w:val="00E05993"/>
    <w:rsid w:val="00E11B72"/>
    <w:rsid w:val="00E14E48"/>
    <w:rsid w:val="00E26613"/>
    <w:rsid w:val="00E26DB6"/>
    <w:rsid w:val="00E3702B"/>
    <w:rsid w:val="00E37470"/>
    <w:rsid w:val="00E45655"/>
    <w:rsid w:val="00E5214D"/>
    <w:rsid w:val="00E526C3"/>
    <w:rsid w:val="00E629B4"/>
    <w:rsid w:val="00E75329"/>
    <w:rsid w:val="00E80074"/>
    <w:rsid w:val="00EA77A1"/>
    <w:rsid w:val="00EC108B"/>
    <w:rsid w:val="00F130C8"/>
    <w:rsid w:val="00F13CA4"/>
    <w:rsid w:val="00F14985"/>
    <w:rsid w:val="00F1693F"/>
    <w:rsid w:val="00F1697F"/>
    <w:rsid w:val="00F35178"/>
    <w:rsid w:val="00F354E0"/>
    <w:rsid w:val="00F40B89"/>
    <w:rsid w:val="00F53761"/>
    <w:rsid w:val="00F671BB"/>
    <w:rsid w:val="00F71FBD"/>
    <w:rsid w:val="00F76480"/>
    <w:rsid w:val="00F816A5"/>
    <w:rsid w:val="00F84DEF"/>
    <w:rsid w:val="00F855D3"/>
    <w:rsid w:val="00F85FAD"/>
    <w:rsid w:val="00FB489D"/>
    <w:rsid w:val="00FC3FF3"/>
    <w:rsid w:val="00FC6BB4"/>
    <w:rsid w:val="00FD1D67"/>
    <w:rsid w:val="00FE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2C592"/>
  <w15:chartTrackingRefBased/>
  <w15:docId w15:val="{E752357A-1D71-4D99-B0C6-A1275441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FF"/>
    <w:rPr>
      <w:sz w:val="24"/>
      <w:szCs w:val="24"/>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paragraph" w:styleId="Heading2">
    <w:name w:val="heading 2"/>
    <w:basedOn w:val="Normal"/>
    <w:next w:val="Normal"/>
    <w:link w:val="Heading2Char"/>
    <w:qFormat/>
    <w:rsid w:val="00D24DA4"/>
    <w:pPr>
      <w:keepNext/>
      <w:jc w:val="both"/>
      <w:outlineLvl w:val="1"/>
    </w:pPr>
    <w:rPr>
      <w:rFonts w:eastAsia="Times New Roman"/>
      <w:b/>
      <w:sz w:val="22"/>
      <w:szCs w:val="20"/>
      <w:u w:val="single"/>
      <w:lang w:eastAsia="en-GB"/>
    </w:rPr>
  </w:style>
  <w:style w:type="paragraph" w:styleId="Heading5">
    <w:name w:val="heading 5"/>
    <w:basedOn w:val="Normal"/>
    <w:next w:val="Normal"/>
    <w:link w:val="Heading5Char"/>
    <w:qFormat/>
    <w:rsid w:val="00D24DA4"/>
    <w:pPr>
      <w:keepNext/>
      <w:numPr>
        <w:numId w:val="3"/>
      </w:numPr>
      <w:tabs>
        <w:tab w:val="clear" w:pos="360"/>
        <w:tab w:val="num" w:pos="709"/>
      </w:tabs>
      <w:ind w:left="709" w:hanging="709"/>
      <w:jc w:val="both"/>
      <w:outlineLvl w:val="4"/>
    </w:pPr>
    <w:rPr>
      <w:rFonts w:eastAsia="Times New Roman"/>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customStyle="1" w:styleId="A1">
    <w:name w:val="A1"/>
    <w:basedOn w:val="Normal"/>
    <w:rsid w:val="00172B92"/>
    <w:pPr>
      <w:numPr>
        <w:numId w:val="1"/>
      </w:numPr>
      <w:spacing w:before="120" w:after="120"/>
      <w:jc w:val="both"/>
      <w:outlineLvl w:val="0"/>
    </w:pPr>
    <w:rPr>
      <w:rFonts w:eastAsia="Times New Roman"/>
      <w:b/>
      <w:caps/>
      <w:szCs w:val="20"/>
      <w:u w:val="single"/>
    </w:rPr>
  </w:style>
  <w:style w:type="paragraph" w:customStyle="1" w:styleId="A2">
    <w:name w:val="A2"/>
    <w:basedOn w:val="Normal"/>
    <w:rsid w:val="00172B92"/>
    <w:pPr>
      <w:numPr>
        <w:ilvl w:val="1"/>
        <w:numId w:val="1"/>
      </w:numPr>
      <w:spacing w:before="120" w:after="120"/>
      <w:jc w:val="both"/>
      <w:outlineLvl w:val="1"/>
    </w:pPr>
    <w:rPr>
      <w:rFonts w:eastAsia="Times New Roman"/>
      <w:szCs w:val="20"/>
    </w:rPr>
  </w:style>
  <w:style w:type="paragraph" w:customStyle="1" w:styleId="A3">
    <w:name w:val="A3"/>
    <w:basedOn w:val="Normal"/>
    <w:rsid w:val="00172B92"/>
    <w:pPr>
      <w:numPr>
        <w:ilvl w:val="2"/>
        <w:numId w:val="1"/>
      </w:numPr>
      <w:spacing w:before="120" w:after="120"/>
      <w:jc w:val="both"/>
      <w:outlineLvl w:val="2"/>
    </w:pPr>
    <w:rPr>
      <w:rFonts w:eastAsia="Times New Roman"/>
      <w:szCs w:val="20"/>
    </w:rPr>
  </w:style>
  <w:style w:type="paragraph" w:customStyle="1" w:styleId="A4">
    <w:name w:val="A4"/>
    <w:basedOn w:val="Normal"/>
    <w:rsid w:val="00172B92"/>
    <w:pPr>
      <w:numPr>
        <w:ilvl w:val="3"/>
        <w:numId w:val="1"/>
      </w:numPr>
      <w:spacing w:before="120" w:after="120"/>
      <w:jc w:val="both"/>
      <w:outlineLvl w:val="3"/>
    </w:pPr>
    <w:rPr>
      <w:rFonts w:eastAsia="Times New Roman"/>
      <w:szCs w:val="20"/>
    </w:rPr>
  </w:style>
  <w:style w:type="paragraph" w:customStyle="1" w:styleId="A5">
    <w:name w:val="A5"/>
    <w:basedOn w:val="Normal"/>
    <w:rsid w:val="00172B92"/>
    <w:pPr>
      <w:numPr>
        <w:ilvl w:val="4"/>
        <w:numId w:val="1"/>
      </w:numPr>
      <w:spacing w:before="120" w:after="120"/>
      <w:jc w:val="both"/>
      <w:outlineLvl w:val="4"/>
    </w:pPr>
    <w:rPr>
      <w:rFonts w:eastAsia="Times New Roman"/>
      <w:szCs w:val="20"/>
    </w:rPr>
  </w:style>
  <w:style w:type="table" w:styleId="TableGrid">
    <w:name w:val="Table Grid"/>
    <w:basedOn w:val="TableNormal"/>
    <w:rsid w:val="00172B9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24DA4"/>
    <w:rPr>
      <w:color w:val="0000FF"/>
      <w:u w:val="single"/>
    </w:rPr>
  </w:style>
  <w:style w:type="character" w:customStyle="1" w:styleId="Heading2Char">
    <w:name w:val="Heading 2 Char"/>
    <w:link w:val="Heading2"/>
    <w:rsid w:val="00D24DA4"/>
    <w:rPr>
      <w:rFonts w:ascii="Arial" w:eastAsia="Times New Roman" w:hAnsi="Arial" w:cs="Times New Roman"/>
      <w:b/>
      <w:sz w:val="22"/>
      <w:szCs w:val="20"/>
      <w:u w:val="single"/>
      <w:lang w:eastAsia="en-GB"/>
    </w:rPr>
  </w:style>
  <w:style w:type="character" w:customStyle="1" w:styleId="Heading5Char">
    <w:name w:val="Heading 5 Char"/>
    <w:link w:val="Heading5"/>
    <w:rsid w:val="00D24DA4"/>
    <w:rPr>
      <w:rFonts w:ascii="Arial" w:eastAsia="Times New Roman" w:hAnsi="Arial" w:cs="Times New Roman"/>
      <w:b/>
      <w:sz w:val="22"/>
      <w:szCs w:val="20"/>
      <w:u w:val="single"/>
      <w:lang w:eastAsia="en-GB"/>
    </w:rPr>
  </w:style>
  <w:style w:type="paragraph" w:styleId="ListParagraph">
    <w:name w:val="List Paragraph"/>
    <w:basedOn w:val="Normal"/>
    <w:uiPriority w:val="34"/>
    <w:qFormat/>
    <w:rsid w:val="00D24DA4"/>
    <w:pPr>
      <w:ind w:left="720"/>
      <w:jc w:val="both"/>
    </w:pPr>
    <w:rPr>
      <w:rFonts w:eastAsia="Times New Roman"/>
      <w:szCs w:val="20"/>
    </w:rPr>
  </w:style>
  <w:style w:type="paragraph" w:styleId="BalloonText">
    <w:name w:val="Balloon Text"/>
    <w:basedOn w:val="Normal"/>
    <w:link w:val="BalloonTextChar"/>
    <w:uiPriority w:val="99"/>
    <w:semiHidden/>
    <w:unhideWhenUsed/>
    <w:rsid w:val="001A4DF2"/>
    <w:rPr>
      <w:rFonts w:cs="Arial"/>
      <w:sz w:val="18"/>
      <w:szCs w:val="18"/>
    </w:rPr>
  </w:style>
  <w:style w:type="character" w:customStyle="1" w:styleId="BalloonTextChar">
    <w:name w:val="Balloon Text Char"/>
    <w:link w:val="BalloonText"/>
    <w:uiPriority w:val="99"/>
    <w:semiHidden/>
    <w:rsid w:val="001A4DF2"/>
    <w:rPr>
      <w:rFonts w:ascii="Arial" w:hAnsi="Arial" w:cs="Arial"/>
      <w:sz w:val="18"/>
      <w:szCs w:val="18"/>
    </w:rPr>
  </w:style>
  <w:style w:type="character" w:styleId="CommentReference">
    <w:name w:val="annotation reference"/>
    <w:uiPriority w:val="99"/>
    <w:semiHidden/>
    <w:unhideWhenUsed/>
    <w:rsid w:val="00015708"/>
    <w:rPr>
      <w:sz w:val="16"/>
      <w:szCs w:val="16"/>
    </w:rPr>
  </w:style>
  <w:style w:type="paragraph" w:styleId="CommentText">
    <w:name w:val="annotation text"/>
    <w:basedOn w:val="Normal"/>
    <w:link w:val="CommentTextChar"/>
    <w:uiPriority w:val="99"/>
    <w:semiHidden/>
    <w:unhideWhenUsed/>
    <w:rsid w:val="00015708"/>
    <w:rPr>
      <w:sz w:val="20"/>
      <w:szCs w:val="20"/>
    </w:rPr>
  </w:style>
  <w:style w:type="character" w:customStyle="1" w:styleId="CommentTextChar">
    <w:name w:val="Comment Text Char"/>
    <w:link w:val="CommentText"/>
    <w:uiPriority w:val="99"/>
    <w:semiHidden/>
    <w:rsid w:val="00015708"/>
    <w:rPr>
      <w:sz w:val="20"/>
      <w:szCs w:val="20"/>
    </w:rPr>
  </w:style>
  <w:style w:type="paragraph" w:styleId="CommentSubject">
    <w:name w:val="annotation subject"/>
    <w:basedOn w:val="CommentText"/>
    <w:next w:val="CommentText"/>
    <w:link w:val="CommentSubjectChar"/>
    <w:uiPriority w:val="99"/>
    <w:semiHidden/>
    <w:unhideWhenUsed/>
    <w:rsid w:val="00015708"/>
    <w:rPr>
      <w:b/>
      <w:bCs/>
    </w:rPr>
  </w:style>
  <w:style w:type="character" w:customStyle="1" w:styleId="CommentSubjectChar">
    <w:name w:val="Comment Subject Char"/>
    <w:link w:val="CommentSubject"/>
    <w:uiPriority w:val="99"/>
    <w:semiHidden/>
    <w:rsid w:val="00015708"/>
    <w:rPr>
      <w:b/>
      <w:bCs/>
      <w:sz w:val="20"/>
      <w:szCs w:val="20"/>
    </w:rPr>
  </w:style>
  <w:style w:type="paragraph" w:styleId="Revision">
    <w:name w:val="Revision"/>
    <w:hidden/>
    <w:uiPriority w:val="99"/>
    <w:semiHidden/>
    <w:rsid w:val="00325289"/>
    <w:rPr>
      <w:sz w:val="24"/>
      <w:szCs w:val="24"/>
      <w:lang w:eastAsia="en-US"/>
    </w:rPr>
  </w:style>
  <w:style w:type="paragraph" w:styleId="Header">
    <w:name w:val="header"/>
    <w:basedOn w:val="Normal"/>
    <w:link w:val="HeaderChar"/>
    <w:uiPriority w:val="99"/>
    <w:unhideWhenUsed/>
    <w:rsid w:val="00152556"/>
    <w:pPr>
      <w:tabs>
        <w:tab w:val="center" w:pos="4513"/>
        <w:tab w:val="right" w:pos="9026"/>
      </w:tabs>
    </w:pPr>
  </w:style>
  <w:style w:type="character" w:customStyle="1" w:styleId="HeaderChar">
    <w:name w:val="Header Char"/>
    <w:basedOn w:val="DefaultParagraphFont"/>
    <w:link w:val="Header"/>
    <w:uiPriority w:val="99"/>
    <w:rsid w:val="00152556"/>
  </w:style>
  <w:style w:type="paragraph" w:styleId="Footer">
    <w:name w:val="footer"/>
    <w:basedOn w:val="Normal"/>
    <w:link w:val="FooterChar"/>
    <w:uiPriority w:val="99"/>
    <w:unhideWhenUsed/>
    <w:rsid w:val="00152556"/>
    <w:pPr>
      <w:tabs>
        <w:tab w:val="center" w:pos="4513"/>
        <w:tab w:val="right" w:pos="9026"/>
      </w:tabs>
    </w:pPr>
  </w:style>
  <w:style w:type="character" w:customStyle="1" w:styleId="FooterChar">
    <w:name w:val="Footer Char"/>
    <w:basedOn w:val="DefaultParagraphFont"/>
    <w:link w:val="Footer"/>
    <w:uiPriority w:val="99"/>
    <w:rsid w:val="00152556"/>
  </w:style>
  <w:style w:type="paragraph" w:styleId="NoSpacing">
    <w:name w:val="No Spacing"/>
    <w:uiPriority w:val="1"/>
    <w:qFormat/>
    <w:rsid w:val="006C6AD0"/>
    <w:rPr>
      <w:rFonts w:asciiTheme="minorHAnsi" w:eastAsiaTheme="minorHAnsi" w:hAnsiTheme="minorHAnsi" w:cstheme="minorBidi"/>
      <w:sz w:val="22"/>
      <w:szCs w:val="22"/>
      <w:lang w:eastAsia="en-US"/>
    </w:rPr>
  </w:style>
  <w:style w:type="paragraph" w:customStyle="1" w:styleId="paragraph">
    <w:name w:val="paragraph"/>
    <w:basedOn w:val="Normal"/>
    <w:rsid w:val="00C46910"/>
    <w:rPr>
      <w:rFonts w:ascii="Times New Roman" w:eastAsia="Times New Roman" w:hAnsi="Times New Roman"/>
      <w:lang w:eastAsia="en-GB"/>
    </w:rPr>
  </w:style>
  <w:style w:type="character" w:customStyle="1" w:styleId="normaltextrun1">
    <w:name w:val="normaltextrun1"/>
    <w:basedOn w:val="DefaultParagraphFont"/>
    <w:rsid w:val="00C46910"/>
  </w:style>
  <w:style w:type="character" w:styleId="LineNumber">
    <w:name w:val="line number"/>
    <w:basedOn w:val="DefaultParagraphFont"/>
    <w:uiPriority w:val="99"/>
    <w:semiHidden/>
    <w:unhideWhenUsed/>
    <w:rsid w:val="00D5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376832">
      <w:bodyDiv w:val="1"/>
      <w:marLeft w:val="0"/>
      <w:marRight w:val="0"/>
      <w:marTop w:val="0"/>
      <w:marBottom w:val="0"/>
      <w:divBdr>
        <w:top w:val="none" w:sz="0" w:space="0" w:color="auto"/>
        <w:left w:val="none" w:sz="0" w:space="0" w:color="auto"/>
        <w:bottom w:val="none" w:sz="0" w:space="0" w:color="auto"/>
        <w:right w:val="none" w:sz="0" w:space="0" w:color="auto"/>
      </w:divBdr>
      <w:divsChild>
        <w:div w:id="209928571">
          <w:marLeft w:val="0"/>
          <w:marRight w:val="0"/>
          <w:marTop w:val="0"/>
          <w:marBottom w:val="0"/>
          <w:divBdr>
            <w:top w:val="none" w:sz="0" w:space="0" w:color="auto"/>
            <w:left w:val="none" w:sz="0" w:space="0" w:color="auto"/>
            <w:bottom w:val="none" w:sz="0" w:space="0" w:color="auto"/>
            <w:right w:val="none" w:sz="0" w:space="0" w:color="auto"/>
          </w:divBdr>
          <w:divsChild>
            <w:div w:id="419376271">
              <w:marLeft w:val="0"/>
              <w:marRight w:val="0"/>
              <w:marTop w:val="0"/>
              <w:marBottom w:val="0"/>
              <w:divBdr>
                <w:top w:val="none" w:sz="0" w:space="0" w:color="auto"/>
                <w:left w:val="none" w:sz="0" w:space="0" w:color="auto"/>
                <w:bottom w:val="none" w:sz="0" w:space="0" w:color="auto"/>
                <w:right w:val="none" w:sz="0" w:space="0" w:color="auto"/>
              </w:divBdr>
              <w:divsChild>
                <w:div w:id="1123227053">
                  <w:marLeft w:val="0"/>
                  <w:marRight w:val="0"/>
                  <w:marTop w:val="0"/>
                  <w:marBottom w:val="0"/>
                  <w:divBdr>
                    <w:top w:val="none" w:sz="0" w:space="0" w:color="auto"/>
                    <w:left w:val="none" w:sz="0" w:space="0" w:color="auto"/>
                    <w:bottom w:val="none" w:sz="0" w:space="0" w:color="auto"/>
                    <w:right w:val="none" w:sz="0" w:space="0" w:color="auto"/>
                  </w:divBdr>
                  <w:divsChild>
                    <w:div w:id="900364592">
                      <w:marLeft w:val="0"/>
                      <w:marRight w:val="0"/>
                      <w:marTop w:val="0"/>
                      <w:marBottom w:val="0"/>
                      <w:divBdr>
                        <w:top w:val="none" w:sz="0" w:space="0" w:color="auto"/>
                        <w:left w:val="none" w:sz="0" w:space="0" w:color="auto"/>
                        <w:bottom w:val="none" w:sz="0" w:space="0" w:color="auto"/>
                        <w:right w:val="none" w:sz="0" w:space="0" w:color="auto"/>
                      </w:divBdr>
                      <w:divsChild>
                        <w:div w:id="488641685">
                          <w:marLeft w:val="0"/>
                          <w:marRight w:val="0"/>
                          <w:marTop w:val="0"/>
                          <w:marBottom w:val="0"/>
                          <w:divBdr>
                            <w:top w:val="none" w:sz="0" w:space="0" w:color="auto"/>
                            <w:left w:val="none" w:sz="0" w:space="0" w:color="auto"/>
                            <w:bottom w:val="none" w:sz="0" w:space="0" w:color="auto"/>
                            <w:right w:val="none" w:sz="0" w:space="0" w:color="auto"/>
                          </w:divBdr>
                          <w:divsChild>
                            <w:div w:id="1571306988">
                              <w:marLeft w:val="0"/>
                              <w:marRight w:val="0"/>
                              <w:marTop w:val="0"/>
                              <w:marBottom w:val="0"/>
                              <w:divBdr>
                                <w:top w:val="none" w:sz="0" w:space="0" w:color="auto"/>
                                <w:left w:val="none" w:sz="0" w:space="0" w:color="auto"/>
                                <w:bottom w:val="none" w:sz="0" w:space="0" w:color="auto"/>
                                <w:right w:val="none" w:sz="0" w:space="0" w:color="auto"/>
                              </w:divBdr>
                              <w:divsChild>
                                <w:div w:id="975110697">
                                  <w:marLeft w:val="0"/>
                                  <w:marRight w:val="0"/>
                                  <w:marTop w:val="0"/>
                                  <w:marBottom w:val="0"/>
                                  <w:divBdr>
                                    <w:top w:val="none" w:sz="0" w:space="0" w:color="auto"/>
                                    <w:left w:val="none" w:sz="0" w:space="0" w:color="auto"/>
                                    <w:bottom w:val="none" w:sz="0" w:space="0" w:color="auto"/>
                                    <w:right w:val="none" w:sz="0" w:space="0" w:color="auto"/>
                                  </w:divBdr>
                                  <w:divsChild>
                                    <w:div w:id="949824224">
                                      <w:marLeft w:val="0"/>
                                      <w:marRight w:val="0"/>
                                      <w:marTop w:val="0"/>
                                      <w:marBottom w:val="0"/>
                                      <w:divBdr>
                                        <w:top w:val="none" w:sz="0" w:space="0" w:color="auto"/>
                                        <w:left w:val="none" w:sz="0" w:space="0" w:color="auto"/>
                                        <w:bottom w:val="none" w:sz="0" w:space="0" w:color="auto"/>
                                        <w:right w:val="none" w:sz="0" w:space="0" w:color="auto"/>
                                      </w:divBdr>
                                    </w:div>
                                    <w:div w:id="18257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2AE36-589E-45DB-B714-407D7F74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16529</CharactersWithSpaces>
  <SharedDoc>false</SharedDoc>
  <HLinks>
    <vt:vector size="6" baseType="variant">
      <vt:variant>
        <vt:i4>2490463</vt:i4>
      </vt:variant>
      <vt:variant>
        <vt:i4>0</vt:i4>
      </vt:variant>
      <vt:variant>
        <vt:i4>0</vt:i4>
      </vt:variant>
      <vt:variant>
        <vt:i4>5</vt:i4>
      </vt:variant>
      <vt:variant>
        <vt:lpwstr>mailto:help@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finfest</dc:creator>
  <cp:keywords/>
  <cp:lastModifiedBy>Van Goethem, Roger: CP: RBKC</cp:lastModifiedBy>
  <cp:revision>2</cp:revision>
  <cp:lastPrinted>2017-08-16T08:07:00Z</cp:lastPrinted>
  <dcterms:created xsi:type="dcterms:W3CDTF">2018-05-16T14:58:00Z</dcterms:created>
  <dcterms:modified xsi:type="dcterms:W3CDTF">2018-05-16T14:58:00Z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This Request for Quotation Template has been developed for use with capitalEsourcing</vt:lpwstr>
  </property>
  <property fmtid="{D5CDD505-2E9C-101B-9397-08002B2CF9AE}" pid="3" name="Reference number">
    <vt:lpwstr>RFQ011</vt:lpwstr>
  </property>
  <property fmtid="{D5CDD505-2E9C-101B-9397-08002B2CF9AE}" pid="4" name="Order">
    <vt:lpwstr>11100.0000000000</vt:lpwstr>
  </property>
</Properties>
</file>