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F22C22">
      <w:pPr>
        <w:numPr>
          <w:ilvl w:val="1"/>
          <w:numId w:val="7"/>
        </w:numPr>
        <w:spacing w:line="240" w:lineRule="auto"/>
        <w:contextualSpacing/>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F22C22">
      <w:pPr>
        <w:spacing w:line="240" w:lineRule="auto"/>
        <w:ind w:left="720"/>
        <w:contextualSpacing/>
        <w:rPr>
          <w:rFonts w:eastAsia="Times New Roman" w:cs="Arial"/>
        </w:rPr>
      </w:pPr>
    </w:p>
    <w:p w14:paraId="22D0E7B2" w14:textId="655265BE" w:rsidR="007E3156" w:rsidRDefault="008E4A6C" w:rsidP="00F22C22">
      <w:pPr>
        <w:numPr>
          <w:ilvl w:val="1"/>
          <w:numId w:val="7"/>
        </w:numPr>
        <w:spacing w:after="0" w:line="240" w:lineRule="auto"/>
        <w:contextualSpacing/>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F22C22">
      <w:pPr>
        <w:spacing w:after="0" w:line="240" w:lineRule="auto"/>
        <w:ind w:left="720"/>
        <w:contextualSpacing/>
        <w:rPr>
          <w:rFonts w:eastAsia="Times New Roman" w:cs="Arial"/>
        </w:rPr>
      </w:pPr>
    </w:p>
    <w:p w14:paraId="43554E23" w14:textId="67275764" w:rsidR="007E3156" w:rsidRDefault="007E3156" w:rsidP="00F22C22">
      <w:pPr>
        <w:numPr>
          <w:ilvl w:val="2"/>
          <w:numId w:val="7"/>
        </w:numPr>
        <w:spacing w:after="0" w:line="240" w:lineRule="auto"/>
        <w:ind w:hanging="11"/>
        <w:contextualSpacing/>
        <w:rPr>
          <w:rFonts w:eastAsia="Times New Roman" w:cs="Arial"/>
        </w:rPr>
      </w:pPr>
      <w:r>
        <w:rPr>
          <w:rFonts w:eastAsia="Times New Roman" w:cs="Arial"/>
        </w:rPr>
        <w:t>Weighting – highlights the relative importance of the question</w:t>
      </w:r>
    </w:p>
    <w:p w14:paraId="23E4C75D" w14:textId="77777777" w:rsidR="00336532" w:rsidRDefault="00336532" w:rsidP="00F22C22">
      <w:pPr>
        <w:spacing w:after="0" w:line="240" w:lineRule="auto"/>
        <w:ind w:left="720" w:hanging="11"/>
        <w:contextualSpacing/>
        <w:rPr>
          <w:rFonts w:eastAsia="Times New Roman" w:cs="Arial"/>
        </w:rPr>
      </w:pPr>
    </w:p>
    <w:p w14:paraId="14BE64A2" w14:textId="0359618C" w:rsidR="007E3156" w:rsidRDefault="007E3156" w:rsidP="00F22C22">
      <w:pPr>
        <w:numPr>
          <w:ilvl w:val="2"/>
          <w:numId w:val="7"/>
        </w:numPr>
        <w:spacing w:after="0" w:line="240" w:lineRule="auto"/>
        <w:ind w:hanging="11"/>
        <w:contextualSpacing/>
        <w:rPr>
          <w:rFonts w:eastAsia="Times New Roman" w:cs="Arial"/>
        </w:rPr>
      </w:pPr>
      <w:r>
        <w:rPr>
          <w:rFonts w:eastAsia="Times New Roman" w:cs="Arial"/>
        </w:rPr>
        <w:t>Guidance – sets out information for the Potential Providers to consider</w:t>
      </w:r>
    </w:p>
    <w:p w14:paraId="3547F091" w14:textId="77777777" w:rsidR="00336532" w:rsidRDefault="00336532" w:rsidP="00F22C22">
      <w:pPr>
        <w:spacing w:after="0" w:line="240" w:lineRule="auto"/>
        <w:ind w:left="720" w:hanging="11"/>
        <w:contextualSpacing/>
        <w:rPr>
          <w:rFonts w:eastAsia="Times New Roman" w:cs="Arial"/>
        </w:rPr>
      </w:pPr>
    </w:p>
    <w:p w14:paraId="7DE00DA8" w14:textId="589C2716" w:rsidR="00336532" w:rsidRDefault="008E4A6C" w:rsidP="00F22C22">
      <w:pPr>
        <w:numPr>
          <w:ilvl w:val="2"/>
          <w:numId w:val="7"/>
        </w:numPr>
        <w:spacing w:after="0" w:line="240" w:lineRule="auto"/>
        <w:ind w:hanging="11"/>
        <w:contextualSpacing/>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F22C22">
      <w:pPr>
        <w:spacing w:after="0" w:line="240" w:lineRule="auto"/>
        <w:ind w:left="720"/>
        <w:contextualSpacing/>
        <w:rPr>
          <w:rFonts w:eastAsia="Times New Roman" w:cs="Arial"/>
        </w:rPr>
      </w:pPr>
    </w:p>
    <w:p w14:paraId="6C7A4256" w14:textId="1778F0CD" w:rsidR="004F5DD4" w:rsidRPr="00336532" w:rsidRDefault="004F5DD4" w:rsidP="00F22C22">
      <w:pPr>
        <w:numPr>
          <w:ilvl w:val="1"/>
          <w:numId w:val="7"/>
        </w:numPr>
        <w:spacing w:after="0" w:line="240" w:lineRule="auto"/>
        <w:contextualSpacing/>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F22C22">
      <w:pPr>
        <w:spacing w:after="0" w:line="240" w:lineRule="auto"/>
        <w:ind w:left="720"/>
        <w:contextualSpacing/>
        <w:rPr>
          <w:rFonts w:eastAsia="Times New Roman" w:cs="Arial"/>
        </w:rPr>
      </w:pPr>
    </w:p>
    <w:p w14:paraId="73A2419D" w14:textId="77777777" w:rsidR="004F5DD4" w:rsidRPr="00C67CA1" w:rsidRDefault="004F5DD4" w:rsidP="00F22C22">
      <w:pPr>
        <w:numPr>
          <w:ilvl w:val="0"/>
          <w:numId w:val="7"/>
        </w:numPr>
        <w:spacing w:after="0" w:line="240" w:lineRule="auto"/>
        <w:contextualSpacing/>
        <w:rPr>
          <w:rFonts w:eastAsia="Times New Roman" w:cs="Arial"/>
          <w:b/>
        </w:rPr>
      </w:pPr>
      <w:r w:rsidRPr="00C67CA1">
        <w:rPr>
          <w:rFonts w:eastAsia="Times New Roman" w:cs="Arial"/>
          <w:b/>
        </w:rPr>
        <w:t>OVERVIEW</w:t>
      </w:r>
    </w:p>
    <w:p w14:paraId="32BC2942" w14:textId="77777777" w:rsidR="004F5DD4" w:rsidRPr="00C67CA1" w:rsidRDefault="004F5DD4" w:rsidP="00F22C22">
      <w:pPr>
        <w:spacing w:after="0"/>
        <w:contextualSpacing/>
        <w:rPr>
          <w:rFonts w:cs="Arial"/>
          <w:b/>
        </w:rPr>
      </w:pPr>
    </w:p>
    <w:p w14:paraId="7787A150" w14:textId="12A1BF8E" w:rsidR="004F5DD4" w:rsidRPr="00C67CA1" w:rsidRDefault="004F5DD4" w:rsidP="00F22C22">
      <w:pPr>
        <w:numPr>
          <w:ilvl w:val="1"/>
          <w:numId w:val="7"/>
        </w:numPr>
        <w:spacing w:after="0" w:line="480" w:lineRule="auto"/>
        <w:contextualSpacing/>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F22C22">
            <w:pPr>
              <w:spacing w:before="240" w:after="240" w:line="360" w:lineRule="auto"/>
              <w:contextualSpacing/>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F22C22">
            <w:pPr>
              <w:spacing w:before="240" w:after="240" w:line="360" w:lineRule="auto"/>
              <w:contextualSpacing/>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F22C22">
            <w:pPr>
              <w:spacing w:before="240" w:after="240" w:line="360" w:lineRule="auto"/>
              <w:contextualSpacing/>
              <w:rPr>
                <w:rFonts w:cs="Arial"/>
              </w:rPr>
            </w:pPr>
            <w:r>
              <w:rPr>
                <w:rFonts w:cs="Arial"/>
              </w:rPr>
              <w:t>INFORMATION ONLY</w:t>
            </w:r>
          </w:p>
        </w:tc>
      </w:tr>
      <w:tr w:rsidR="001F0B62" w14:paraId="69FD7D79" w14:textId="77777777" w:rsidTr="00714E0F">
        <w:tc>
          <w:tcPr>
            <w:tcW w:w="2961" w:type="dxa"/>
          </w:tcPr>
          <w:p w14:paraId="22A0A899" w14:textId="3CE6DA55" w:rsidR="001F0B62" w:rsidRDefault="001F0B62" w:rsidP="001F0B62">
            <w:pPr>
              <w:spacing w:before="240" w:after="240" w:line="360" w:lineRule="auto"/>
              <w:contextualSpacing/>
              <w:jc w:val="center"/>
              <w:rPr>
                <w:rFonts w:cs="Arial"/>
              </w:rPr>
            </w:pPr>
            <w:r>
              <w:rPr>
                <w:rFonts w:cs="Arial"/>
              </w:rPr>
              <w:t>4</w:t>
            </w:r>
          </w:p>
        </w:tc>
        <w:tc>
          <w:tcPr>
            <w:tcW w:w="5669" w:type="dxa"/>
          </w:tcPr>
          <w:p w14:paraId="0870C9E1" w14:textId="60DD3A48" w:rsidR="001F0B62" w:rsidRDefault="00F22C22" w:rsidP="00F22C22">
            <w:pPr>
              <w:spacing w:before="240" w:after="240" w:line="360" w:lineRule="auto"/>
              <w:contextualSpacing/>
              <w:rPr>
                <w:rFonts w:cs="Arial"/>
              </w:rPr>
            </w:pPr>
            <w:r>
              <w:rPr>
                <w:rFonts w:cs="Arial"/>
              </w:rPr>
              <w:t>QUALITY/SERVICE DELIVERY</w:t>
            </w:r>
          </w:p>
        </w:tc>
      </w:tr>
      <w:tr w:rsidR="001F0B62" w14:paraId="55C01016" w14:textId="77777777" w:rsidTr="00714E0F">
        <w:tc>
          <w:tcPr>
            <w:tcW w:w="2961" w:type="dxa"/>
          </w:tcPr>
          <w:p w14:paraId="62ECA79C" w14:textId="7F52C14C" w:rsidR="001F0B62" w:rsidRDefault="001F0B62" w:rsidP="001F0B62">
            <w:pPr>
              <w:spacing w:before="240" w:after="240" w:line="360" w:lineRule="auto"/>
              <w:contextualSpacing/>
              <w:jc w:val="center"/>
              <w:rPr>
                <w:rFonts w:cs="Arial"/>
              </w:rPr>
            </w:pPr>
            <w:r>
              <w:rPr>
                <w:rFonts w:cs="Arial"/>
              </w:rPr>
              <w:t>5</w:t>
            </w:r>
          </w:p>
        </w:tc>
        <w:tc>
          <w:tcPr>
            <w:tcW w:w="5669" w:type="dxa"/>
          </w:tcPr>
          <w:p w14:paraId="2BE6F134" w14:textId="3CA4E062" w:rsidR="001F0B62" w:rsidRPr="00F22C22" w:rsidRDefault="00F22C22" w:rsidP="00F22C22">
            <w:pPr>
              <w:spacing w:before="240" w:after="240" w:line="360" w:lineRule="auto"/>
              <w:contextualSpacing/>
              <w:rPr>
                <w:rFonts w:cs="Arial"/>
                <w:highlight w:val="yellow"/>
              </w:rPr>
            </w:pPr>
            <w:r w:rsidRPr="00F22C22">
              <w:t>SECURITY AND DATA PROTECTION</w:t>
            </w:r>
          </w:p>
        </w:tc>
      </w:tr>
      <w:tr w:rsidR="001F0B62" w14:paraId="40E3D890" w14:textId="77777777" w:rsidTr="00714E0F">
        <w:tc>
          <w:tcPr>
            <w:tcW w:w="2961" w:type="dxa"/>
          </w:tcPr>
          <w:p w14:paraId="3CC388C3" w14:textId="676463DD" w:rsidR="001F0B62" w:rsidRDefault="00E06316" w:rsidP="001F0B62">
            <w:pPr>
              <w:spacing w:before="240" w:after="240" w:line="360" w:lineRule="auto"/>
              <w:contextualSpacing/>
              <w:jc w:val="center"/>
              <w:rPr>
                <w:rFonts w:cs="Arial"/>
              </w:rPr>
            </w:pPr>
            <w:r>
              <w:rPr>
                <w:rFonts w:cs="Arial"/>
              </w:rPr>
              <w:t>6</w:t>
            </w:r>
          </w:p>
        </w:tc>
        <w:tc>
          <w:tcPr>
            <w:tcW w:w="5669" w:type="dxa"/>
          </w:tcPr>
          <w:p w14:paraId="346279B5" w14:textId="55CEE5B5" w:rsidR="001F0B62" w:rsidRDefault="001F0B62" w:rsidP="00F22C22">
            <w:pPr>
              <w:spacing w:before="240" w:after="240" w:line="360" w:lineRule="auto"/>
              <w:contextualSpacing/>
              <w:rPr>
                <w:rFonts w:cs="Arial"/>
              </w:rPr>
            </w:pPr>
            <w:r>
              <w:rPr>
                <w:rFonts w:cs="Arial"/>
              </w:rPr>
              <w:t>PRICE</w:t>
            </w:r>
          </w:p>
        </w:tc>
      </w:tr>
    </w:tbl>
    <w:p w14:paraId="2787BEBB" w14:textId="77777777" w:rsidR="00751B94" w:rsidRPr="00C67CA1" w:rsidRDefault="00751B94" w:rsidP="00F22C22">
      <w:pPr>
        <w:spacing w:line="240" w:lineRule="auto"/>
        <w:contextualSpacing/>
        <w:jc w:val="both"/>
        <w:rPr>
          <w:rFonts w:cs="Arial"/>
        </w:rPr>
      </w:pPr>
    </w:p>
    <w:p w14:paraId="0ACC27BD" w14:textId="40A13042" w:rsidR="00F24746" w:rsidRDefault="00F24746" w:rsidP="00F22C22">
      <w:pPr>
        <w:numPr>
          <w:ilvl w:val="1"/>
          <w:numId w:val="7"/>
        </w:numPr>
        <w:spacing w:before="100" w:beforeAutospacing="1" w:after="100" w:afterAutospacing="1" w:line="240" w:lineRule="auto"/>
        <w:contextualSpacing/>
        <w:rPr>
          <w:rFonts w:cs="Arial"/>
        </w:rPr>
      </w:pPr>
      <w:r w:rsidRPr="00F24746">
        <w:rPr>
          <w:rFonts w:cs="Arial"/>
        </w:rPr>
        <w:t xml:space="preserve">Quality Evaluation Process </w:t>
      </w:r>
    </w:p>
    <w:p w14:paraId="588A3159" w14:textId="77777777" w:rsidR="00C811EA" w:rsidRPr="00F24746" w:rsidRDefault="00C811EA" w:rsidP="00F22C22">
      <w:pPr>
        <w:spacing w:before="100" w:beforeAutospacing="1" w:after="100" w:afterAutospacing="1" w:line="240" w:lineRule="auto"/>
        <w:ind w:left="720"/>
        <w:contextualSpacing/>
        <w:rPr>
          <w:rFonts w:cs="Arial"/>
        </w:rPr>
      </w:pPr>
    </w:p>
    <w:p w14:paraId="551D3050" w14:textId="45276B65" w:rsidR="00F24746" w:rsidRDefault="00F24746" w:rsidP="00F22C22">
      <w:pPr>
        <w:numPr>
          <w:ilvl w:val="2"/>
          <w:numId w:val="7"/>
        </w:numPr>
        <w:spacing w:before="100" w:beforeAutospacing="1" w:after="100" w:afterAutospacing="1" w:line="240" w:lineRule="auto"/>
        <w:ind w:left="1418" w:hanging="567"/>
        <w:contextualSpacing/>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F22C22">
      <w:pPr>
        <w:spacing w:before="100" w:beforeAutospacing="1" w:after="100" w:afterAutospacing="1" w:line="240" w:lineRule="auto"/>
        <w:ind w:left="1418" w:hanging="567"/>
        <w:contextualSpacing/>
        <w:rPr>
          <w:rFonts w:cs="Arial"/>
        </w:rPr>
      </w:pPr>
    </w:p>
    <w:p w14:paraId="5BD33ECF" w14:textId="3D7318C5" w:rsidR="00F24746" w:rsidRDefault="005270E8" w:rsidP="00F22C22">
      <w:pPr>
        <w:numPr>
          <w:ilvl w:val="2"/>
          <w:numId w:val="7"/>
        </w:numPr>
        <w:spacing w:before="100" w:beforeAutospacing="1" w:after="100" w:afterAutospacing="1" w:line="240" w:lineRule="auto"/>
        <w:ind w:left="1418" w:hanging="567"/>
        <w:contextualSpacing/>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r w:rsidR="00F22C22">
        <w:rPr>
          <w:rFonts w:cs="Arial"/>
        </w:rPr>
        <w:br/>
      </w:r>
      <w:r w:rsidR="00F22C22">
        <w:rPr>
          <w:rFonts w:cs="Arial"/>
        </w:rPr>
        <w:br/>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lastRenderedPageBreak/>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52FB22B3" w:rsidR="00F24746" w:rsidRDefault="0032720C" w:rsidP="00F22C22">
      <w:pPr>
        <w:numPr>
          <w:ilvl w:val="2"/>
          <w:numId w:val="7"/>
        </w:numPr>
        <w:spacing w:before="120" w:after="480" w:line="240" w:lineRule="auto"/>
        <w:ind w:left="1418" w:hanging="567"/>
        <w:contextualSpacing/>
        <w:rPr>
          <w:rFonts w:cs="Arial"/>
        </w:rPr>
      </w:pPr>
      <w:r>
        <w:rPr>
          <w:rFonts w:cs="Arial"/>
        </w:rPr>
        <w:t>Each mark achieved w</w:t>
      </w:r>
      <w:r w:rsidR="00395293">
        <w:rPr>
          <w:rFonts w:cs="Arial"/>
        </w:rPr>
        <w:t>i</w:t>
      </w:r>
      <w:r>
        <w:rPr>
          <w:rFonts w:cs="Arial"/>
        </w:rPr>
        <w:t>ll be multiplied by the corresponding weighting to provide an overall question score.</w:t>
      </w:r>
      <w:r w:rsidR="00784A14">
        <w:rPr>
          <w:rFonts w:cs="Arial"/>
        </w:rPr>
        <w:t xml:space="preserve"> </w:t>
      </w:r>
    </w:p>
    <w:p w14:paraId="71E86132" w14:textId="77777777" w:rsidR="00C811EA" w:rsidRPr="00F24746" w:rsidRDefault="00C811EA" w:rsidP="00F22C22">
      <w:pPr>
        <w:spacing w:before="120" w:after="480" w:line="240" w:lineRule="auto"/>
        <w:ind w:left="1418" w:hanging="567"/>
        <w:contextualSpacing/>
        <w:rPr>
          <w:rFonts w:cs="Arial"/>
        </w:rPr>
      </w:pPr>
    </w:p>
    <w:p w14:paraId="092CAB6D" w14:textId="602E4F52" w:rsidR="0032720C" w:rsidRDefault="00F24746" w:rsidP="00F22C22">
      <w:pPr>
        <w:numPr>
          <w:ilvl w:val="2"/>
          <w:numId w:val="7"/>
        </w:numPr>
        <w:spacing w:before="120" w:after="480" w:line="240" w:lineRule="auto"/>
        <w:ind w:left="1418" w:hanging="567"/>
        <w:contextualSpacing/>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F22C22">
      <w:pPr>
        <w:spacing w:before="120" w:after="480" w:line="240" w:lineRule="auto"/>
        <w:contextualSpacing/>
        <w:rPr>
          <w:rFonts w:cs="Arial"/>
        </w:rPr>
      </w:pPr>
    </w:p>
    <w:p w14:paraId="77F98E40" w14:textId="77777777" w:rsidR="00953729" w:rsidRDefault="00953729" w:rsidP="00F22C22">
      <w:pPr>
        <w:numPr>
          <w:ilvl w:val="1"/>
          <w:numId w:val="7"/>
        </w:numPr>
        <w:spacing w:before="120" w:after="480" w:line="240" w:lineRule="auto"/>
        <w:contextualSpacing/>
        <w:rPr>
          <w:rFonts w:cs="Arial"/>
        </w:rPr>
      </w:pPr>
      <w:r w:rsidRPr="00953729">
        <w:rPr>
          <w:rFonts w:cs="Arial"/>
        </w:rPr>
        <w:t>Consensus Marking Procedure</w:t>
      </w:r>
    </w:p>
    <w:p w14:paraId="48AAC77C" w14:textId="77777777" w:rsidR="00953729" w:rsidRPr="00953729" w:rsidRDefault="00953729" w:rsidP="00F22C22">
      <w:pPr>
        <w:spacing w:before="120" w:after="480" w:line="240" w:lineRule="auto"/>
        <w:ind w:left="720"/>
        <w:contextualSpacing/>
        <w:rPr>
          <w:rFonts w:cs="Arial"/>
        </w:rPr>
      </w:pPr>
    </w:p>
    <w:p w14:paraId="3BD318C6" w14:textId="77777777" w:rsidR="00953729" w:rsidRDefault="00953729" w:rsidP="00F22C22">
      <w:pPr>
        <w:numPr>
          <w:ilvl w:val="2"/>
          <w:numId w:val="7"/>
        </w:numPr>
        <w:spacing w:before="120" w:after="480" w:line="240" w:lineRule="auto"/>
        <w:ind w:left="1418" w:hanging="567"/>
        <w:contextualSpacing/>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F22C22">
      <w:pPr>
        <w:spacing w:before="120" w:after="480" w:line="240" w:lineRule="auto"/>
        <w:ind w:left="1418"/>
        <w:contextualSpacing/>
        <w:rPr>
          <w:rFonts w:cs="Arial"/>
        </w:rPr>
      </w:pPr>
    </w:p>
    <w:p w14:paraId="2C6A3095" w14:textId="77777777" w:rsidR="00953729" w:rsidRDefault="00953729" w:rsidP="00F22C22">
      <w:pPr>
        <w:numPr>
          <w:ilvl w:val="2"/>
          <w:numId w:val="7"/>
        </w:numPr>
        <w:spacing w:before="120" w:after="480" w:line="240" w:lineRule="auto"/>
        <w:ind w:left="1418" w:hanging="567"/>
        <w:contextualSpacing/>
        <w:rPr>
          <w:rFonts w:cs="Arial"/>
        </w:rPr>
      </w:pPr>
      <w:r w:rsidRPr="00953729">
        <w:rPr>
          <w:rFonts w:cs="Arial"/>
        </w:rPr>
        <w:t>The Consensus Marking Procedure is a two-step process, comprising of:</w:t>
      </w:r>
    </w:p>
    <w:p w14:paraId="144FD996" w14:textId="77777777" w:rsidR="00953729" w:rsidRPr="00953729" w:rsidRDefault="00953729" w:rsidP="00F22C22">
      <w:pPr>
        <w:spacing w:before="120" w:after="480" w:line="240" w:lineRule="auto"/>
        <w:contextualSpacing/>
        <w:rPr>
          <w:rFonts w:cs="Arial"/>
        </w:rPr>
      </w:pPr>
    </w:p>
    <w:p w14:paraId="00D69701" w14:textId="77777777" w:rsidR="00953729" w:rsidRPr="00953729" w:rsidRDefault="00953729" w:rsidP="00F22C22">
      <w:pPr>
        <w:numPr>
          <w:ilvl w:val="3"/>
          <w:numId w:val="7"/>
        </w:numPr>
        <w:spacing w:before="120" w:after="480" w:line="240" w:lineRule="auto"/>
        <w:ind w:left="2127" w:hanging="284"/>
        <w:contextualSpacing/>
        <w:rPr>
          <w:rFonts w:cs="Arial"/>
        </w:rPr>
      </w:pPr>
      <w:r w:rsidRPr="00953729">
        <w:rPr>
          <w:rFonts w:cs="Arial"/>
        </w:rPr>
        <w:t>Independent evaluation; and</w:t>
      </w:r>
    </w:p>
    <w:p w14:paraId="436BB0CB" w14:textId="77777777" w:rsidR="00953729" w:rsidRDefault="00953729" w:rsidP="00F22C22">
      <w:pPr>
        <w:numPr>
          <w:ilvl w:val="3"/>
          <w:numId w:val="7"/>
        </w:numPr>
        <w:spacing w:before="120" w:after="480" w:line="240" w:lineRule="auto"/>
        <w:ind w:left="2127" w:hanging="284"/>
        <w:contextualSpacing/>
        <w:rPr>
          <w:rFonts w:cs="Arial"/>
        </w:rPr>
      </w:pPr>
      <w:r w:rsidRPr="00953729">
        <w:rPr>
          <w:rFonts w:cs="Arial"/>
        </w:rPr>
        <w:t>Group consensus marking.</w:t>
      </w:r>
    </w:p>
    <w:p w14:paraId="7DAA3EA7" w14:textId="77777777" w:rsidR="00953729" w:rsidRPr="00953729" w:rsidRDefault="00953729" w:rsidP="00F22C22">
      <w:pPr>
        <w:spacing w:before="120" w:after="480" w:line="240" w:lineRule="auto"/>
        <w:ind w:left="2127"/>
        <w:contextualSpacing/>
        <w:rPr>
          <w:rFonts w:cs="Arial"/>
        </w:rPr>
      </w:pPr>
    </w:p>
    <w:p w14:paraId="156A34C4" w14:textId="61FF348F" w:rsidR="00953729" w:rsidRDefault="00953729" w:rsidP="00F22C22">
      <w:pPr>
        <w:numPr>
          <w:ilvl w:val="2"/>
          <w:numId w:val="7"/>
        </w:numPr>
        <w:spacing w:before="120" w:after="480" w:line="240" w:lineRule="auto"/>
        <w:ind w:left="1418" w:hanging="567"/>
        <w:contextualSpacing/>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F22C22">
      <w:pPr>
        <w:spacing w:before="120" w:after="480" w:line="240" w:lineRule="auto"/>
        <w:contextualSpacing/>
        <w:rPr>
          <w:rFonts w:cs="Arial"/>
        </w:rPr>
      </w:pPr>
    </w:p>
    <w:p w14:paraId="318D4E92" w14:textId="503305CC" w:rsidR="00953729" w:rsidRPr="00384563" w:rsidRDefault="00953729" w:rsidP="00F22C22">
      <w:pPr>
        <w:numPr>
          <w:ilvl w:val="2"/>
          <w:numId w:val="7"/>
        </w:numPr>
        <w:spacing w:before="120" w:after="480" w:line="240" w:lineRule="auto"/>
        <w:ind w:left="1418" w:hanging="567"/>
        <w:contextualSpacing/>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F22C22">
      <w:pPr>
        <w:spacing w:before="120" w:after="480" w:line="240" w:lineRule="auto"/>
        <w:contextualSpacing/>
        <w:rPr>
          <w:rFonts w:cs="Arial"/>
        </w:rPr>
      </w:pPr>
    </w:p>
    <w:p w14:paraId="49FA1171" w14:textId="1C40E6D2" w:rsidR="00953729" w:rsidRPr="00384563" w:rsidRDefault="00953729" w:rsidP="00F22C22">
      <w:pPr>
        <w:numPr>
          <w:ilvl w:val="2"/>
          <w:numId w:val="7"/>
        </w:numPr>
        <w:spacing w:before="120" w:after="480" w:line="240" w:lineRule="auto"/>
        <w:ind w:left="1418" w:hanging="567"/>
        <w:contextualSpacing/>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r w:rsidR="00F22C22">
        <w:rPr>
          <w:rFonts w:cs="Arial"/>
        </w:rPr>
        <w:br/>
      </w:r>
    </w:p>
    <w:p w14:paraId="08EA4631" w14:textId="473B2C89" w:rsidR="00953729" w:rsidRDefault="00953729" w:rsidP="00F22C22">
      <w:pPr>
        <w:numPr>
          <w:ilvl w:val="2"/>
          <w:numId w:val="7"/>
        </w:numPr>
        <w:spacing w:before="120" w:after="480" w:line="240" w:lineRule="auto"/>
        <w:ind w:left="1418" w:hanging="567"/>
        <w:contextualSpacing/>
        <w:rPr>
          <w:rFonts w:cs="Arial"/>
        </w:rPr>
      </w:pPr>
      <w:r w:rsidRPr="00953729">
        <w:rPr>
          <w:rFonts w:cs="Arial"/>
        </w:rPr>
        <w:lastRenderedPageBreak/>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442859B6" w14:textId="3DD2C96C" w:rsidR="007F13BC" w:rsidRPr="00953729" w:rsidRDefault="007F13BC" w:rsidP="00F22C22">
      <w:pPr>
        <w:numPr>
          <w:ilvl w:val="2"/>
          <w:numId w:val="7"/>
        </w:numPr>
        <w:spacing w:before="120" w:after="480" w:line="240" w:lineRule="auto"/>
        <w:ind w:left="1418" w:hanging="567"/>
        <w:contextualSpacing/>
        <w:rPr>
          <w:rFonts w:cs="Arial"/>
        </w:rPr>
      </w:pPr>
      <w:r>
        <w:rPr>
          <w:rFonts w:cs="Arial"/>
        </w:rPr>
        <w:t xml:space="preserve">A minimum score is specified for each question. That minimum score must be met in relation to that question </w:t>
      </w:r>
      <w:r w:rsidR="001D1821">
        <w:rPr>
          <w:rFonts w:cs="Arial"/>
        </w:rPr>
        <w:t xml:space="preserve">in order to progress to </w:t>
      </w:r>
      <w:r w:rsidR="00F22C22">
        <w:rPr>
          <w:rFonts w:cs="Arial"/>
        </w:rPr>
        <w:t>the price</w:t>
      </w:r>
      <w:r w:rsidR="001D1821">
        <w:rPr>
          <w:rFonts w:cs="Arial"/>
        </w:rPr>
        <w:t xml:space="preserve"> evaluation.</w:t>
      </w:r>
    </w:p>
    <w:p w14:paraId="7B690E19" w14:textId="77777777" w:rsidR="00CC7B13" w:rsidRDefault="00CC7B13" w:rsidP="00F22C22">
      <w:pPr>
        <w:spacing w:before="120" w:after="480" w:line="240" w:lineRule="auto"/>
        <w:ind w:left="720"/>
        <w:contextualSpacing/>
        <w:rPr>
          <w:rFonts w:cs="Arial"/>
        </w:rPr>
      </w:pPr>
    </w:p>
    <w:p w14:paraId="5D1AF473" w14:textId="56917BCE" w:rsidR="0032720C" w:rsidRDefault="0032720C" w:rsidP="00F22C22">
      <w:pPr>
        <w:numPr>
          <w:ilvl w:val="1"/>
          <w:numId w:val="7"/>
        </w:numPr>
        <w:spacing w:before="120" w:after="480" w:line="240" w:lineRule="auto"/>
        <w:contextualSpacing/>
        <w:rPr>
          <w:rFonts w:cs="Arial"/>
        </w:rPr>
      </w:pPr>
      <w:r w:rsidRPr="0032720C">
        <w:rPr>
          <w:rFonts w:cs="Arial"/>
        </w:rPr>
        <w:t>Price Evaluation Process</w:t>
      </w:r>
    </w:p>
    <w:p w14:paraId="17DFE693" w14:textId="77777777" w:rsidR="00283A43" w:rsidRDefault="00283A43" w:rsidP="00F22C22">
      <w:pPr>
        <w:spacing w:before="120" w:after="480" w:line="240" w:lineRule="auto"/>
        <w:ind w:left="720"/>
        <w:contextualSpacing/>
        <w:rPr>
          <w:rFonts w:cs="Arial"/>
        </w:rPr>
      </w:pPr>
    </w:p>
    <w:p w14:paraId="70E959DD" w14:textId="59D2111B" w:rsidR="00283A43" w:rsidRDefault="00283A43" w:rsidP="00F22C22">
      <w:pPr>
        <w:numPr>
          <w:ilvl w:val="2"/>
          <w:numId w:val="7"/>
        </w:numPr>
        <w:spacing w:before="120" w:after="480" w:line="240" w:lineRule="auto"/>
        <w:ind w:left="1418" w:hanging="567"/>
        <w:contextualSpacing/>
        <w:rPr>
          <w:rFonts w:cs="Arial"/>
        </w:rPr>
      </w:pPr>
      <w:r w:rsidRPr="00283A43">
        <w:rPr>
          <w:rFonts w:cs="Arial"/>
        </w:rPr>
        <w:t xml:space="preserve">Prices submitted by </w:t>
      </w:r>
      <w:r w:rsidR="00935ADB">
        <w:rPr>
          <w:rFonts w:cs="Arial"/>
        </w:rPr>
        <w:t>Potential Providers’</w:t>
      </w:r>
      <w:r w:rsidRPr="00283A43">
        <w:rPr>
          <w:rFonts w:cs="Arial"/>
        </w:rPr>
        <w:t xml:space="preserve"> in the </w:t>
      </w:r>
      <w:r w:rsidR="001F0B62" w:rsidRPr="00A2798D">
        <w:rPr>
          <w:rFonts w:cs="Arial"/>
        </w:rPr>
        <w:t>Price Schedule</w:t>
      </w:r>
      <w:r w:rsidRPr="00283A43">
        <w:rPr>
          <w:rFonts w:cs="Arial"/>
        </w:rPr>
        <w:t xml:space="preserve"> will be recorded and evaluated in accordance with the following process.</w:t>
      </w:r>
    </w:p>
    <w:p w14:paraId="481FD0ED" w14:textId="77777777" w:rsidR="009C0614" w:rsidRPr="00283A43" w:rsidRDefault="009C0614" w:rsidP="00F22C22">
      <w:pPr>
        <w:spacing w:before="120" w:after="480" w:line="240" w:lineRule="auto"/>
        <w:ind w:left="1418" w:hanging="567"/>
        <w:contextualSpacing/>
        <w:rPr>
          <w:rFonts w:cs="Arial"/>
        </w:rPr>
      </w:pPr>
    </w:p>
    <w:p w14:paraId="1F226EB1" w14:textId="1E5323A4" w:rsidR="00283A43" w:rsidRDefault="00935ADB" w:rsidP="00F22C22">
      <w:pPr>
        <w:numPr>
          <w:ilvl w:val="2"/>
          <w:numId w:val="7"/>
        </w:numPr>
        <w:spacing w:before="120" w:after="480" w:line="240" w:lineRule="auto"/>
        <w:ind w:left="1418" w:hanging="567"/>
        <w:contextualSpacing/>
        <w:rPr>
          <w:rFonts w:cs="Arial"/>
        </w:rPr>
      </w:pPr>
      <w:r>
        <w:rPr>
          <w:rFonts w:cs="Arial"/>
        </w:rPr>
        <w:t>Potential Providers’</w:t>
      </w:r>
      <w:r w:rsidR="00283A43" w:rsidRPr="00283A43">
        <w:rPr>
          <w:rFonts w:cs="Arial"/>
        </w:rPr>
        <w:t xml:space="preserve"> are required to </w:t>
      </w:r>
      <w:r w:rsidR="001F0B62" w:rsidRPr="00A2798D">
        <w:rPr>
          <w:rFonts w:cs="Arial"/>
        </w:rPr>
        <w:t>provide a completed pricing schedule against the ‘Price’ Questionnaire</w:t>
      </w:r>
      <w:r w:rsidR="006A1754">
        <w:rPr>
          <w:rFonts w:cs="Arial"/>
        </w:rPr>
        <w:t xml:space="preserve"> </w:t>
      </w:r>
      <w:r w:rsidR="00283A43">
        <w:rPr>
          <w:rFonts w:cs="Arial"/>
        </w:rPr>
        <w:t>within the e-Sourcing event</w:t>
      </w:r>
      <w:r w:rsidR="00E7197A">
        <w:rPr>
          <w:rFonts w:cs="Arial"/>
        </w:rPr>
        <w:t>.</w:t>
      </w:r>
    </w:p>
    <w:p w14:paraId="079EFD73" w14:textId="77777777" w:rsidR="009C0614" w:rsidRPr="00283A43" w:rsidRDefault="009C0614" w:rsidP="00F22C22">
      <w:pPr>
        <w:spacing w:before="120" w:after="480" w:line="240" w:lineRule="auto"/>
        <w:ind w:left="1418" w:hanging="567"/>
        <w:contextualSpacing/>
        <w:rPr>
          <w:rFonts w:cs="Arial"/>
        </w:rPr>
      </w:pPr>
    </w:p>
    <w:p w14:paraId="6930A0F0" w14:textId="79CB103B" w:rsidR="0032720C" w:rsidRDefault="009C0614" w:rsidP="00F22C22">
      <w:pPr>
        <w:numPr>
          <w:ilvl w:val="2"/>
          <w:numId w:val="7"/>
        </w:numPr>
        <w:spacing w:before="120" w:after="480" w:line="240" w:lineRule="auto"/>
        <w:ind w:left="1418" w:hanging="567"/>
        <w:contextualSpacing/>
        <w:rPr>
          <w:rFonts w:cs="Arial"/>
        </w:rPr>
      </w:pPr>
      <w:r>
        <w:rPr>
          <w:rFonts w:cs="Arial"/>
        </w:rPr>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28D7CFA9" w14:textId="77777777" w:rsidR="009C0614" w:rsidRPr="0032720C" w:rsidRDefault="009C0614" w:rsidP="00F22C22">
      <w:pPr>
        <w:spacing w:before="120" w:after="480" w:line="240" w:lineRule="auto"/>
        <w:ind w:left="1418" w:hanging="567"/>
        <w:contextualSpacing/>
        <w:rPr>
          <w:rFonts w:cs="Arial"/>
        </w:rPr>
      </w:pPr>
    </w:p>
    <w:p w14:paraId="099AF4DA" w14:textId="1DA9ABE1" w:rsidR="0032720C" w:rsidRDefault="00F22C22" w:rsidP="00F22C22">
      <w:pPr>
        <w:numPr>
          <w:ilvl w:val="2"/>
          <w:numId w:val="7"/>
        </w:numPr>
        <w:spacing w:before="120" w:after="480" w:line="240" w:lineRule="auto"/>
        <w:ind w:left="1418" w:hanging="567"/>
        <w:contextualSpacing/>
        <w:rPr>
          <w:rFonts w:cs="Arial"/>
        </w:rPr>
      </w:pPr>
      <w:r>
        <w:rPr>
          <w:rFonts w:cs="Arial"/>
        </w:rPr>
        <w:t>The Potential Provider</w:t>
      </w:r>
      <w:r w:rsidR="001D1821">
        <w:rPr>
          <w:rFonts w:cs="Arial"/>
        </w:rPr>
        <w:t xml:space="preserve"> </w:t>
      </w:r>
      <w:r w:rsidR="0032720C" w:rsidRPr="0032720C">
        <w:rPr>
          <w:rFonts w:cs="Arial"/>
        </w:rPr>
        <w:t>with the lowest price shall be awarded the Maximum Score Available. The remaining Potential Providers shall be awarded a percentage of the Maximum Score Available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5BF41380" w14:textId="189B7DB2" w:rsidR="00E7197A" w:rsidRDefault="00E7197A" w:rsidP="00E7197A">
      <w:pPr>
        <w:numPr>
          <w:ilvl w:val="1"/>
          <w:numId w:val="7"/>
        </w:numPr>
        <w:spacing w:before="120" w:after="480" w:line="240" w:lineRule="auto"/>
        <w:contextualSpacing/>
        <w:jc w:val="both"/>
        <w:rPr>
          <w:rFonts w:cs="Arial"/>
        </w:rPr>
      </w:pPr>
      <w:r w:rsidRPr="00A2798D">
        <w:rPr>
          <w:rFonts w:cs="Arial"/>
        </w:rPr>
        <w:t>Final score</w:t>
      </w:r>
    </w:p>
    <w:p w14:paraId="39B8592F" w14:textId="77777777" w:rsidR="00E7197A" w:rsidRPr="00E7197A" w:rsidRDefault="00E7197A" w:rsidP="00E7197A">
      <w:pPr>
        <w:spacing w:before="120" w:after="480" w:line="240" w:lineRule="auto"/>
        <w:ind w:left="720"/>
        <w:contextualSpacing/>
        <w:jc w:val="both"/>
        <w:rPr>
          <w:rFonts w:cs="Arial"/>
        </w:rPr>
      </w:pPr>
    </w:p>
    <w:p w14:paraId="67B82B09" w14:textId="0241D28D" w:rsidR="00AB1FEC" w:rsidRDefault="00E7197A" w:rsidP="00720C63">
      <w:pPr>
        <w:numPr>
          <w:ilvl w:val="2"/>
          <w:numId w:val="7"/>
        </w:numPr>
        <w:ind w:left="1418" w:hanging="567"/>
        <w:rPr>
          <w:rFonts w:cs="Arial"/>
        </w:rPr>
      </w:pPr>
      <w:r w:rsidRPr="00E7197A">
        <w:rPr>
          <w:rFonts w:cs="Arial"/>
        </w:rPr>
        <w:t>The Quality Score w</w:t>
      </w:r>
      <w:r w:rsidR="00F22C22">
        <w:rPr>
          <w:rFonts w:cs="Arial"/>
        </w:rPr>
        <w:t>ill be added to the Price Score</w:t>
      </w:r>
      <w:r w:rsidRPr="00E7197A">
        <w:rPr>
          <w:rFonts w:cs="Arial"/>
        </w:rPr>
        <w:t xml:space="preserve"> to determine the final score for each Potential Provider (“Final Score”).</w:t>
      </w:r>
      <w:r w:rsidR="00720C63">
        <w:rPr>
          <w:rFonts w:cs="Arial"/>
        </w:rPr>
        <w:br/>
      </w:r>
      <w:r w:rsidR="00720C63">
        <w:rPr>
          <w:rFonts w:cs="Arial"/>
        </w:rPr>
        <w:br/>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lastRenderedPageBreak/>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CB56C1E"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r w:rsidR="00945618">
              <w:rPr>
                <w:rFonts w:cs="Arial"/>
              </w:rPr>
              <w:t>Potential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757096C7" w:rsidR="00B52099" w:rsidRPr="00625CDE" w:rsidRDefault="00F22C22"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1CADAFFA" w:rsidR="001005DC" w:rsidRPr="00625CDE" w:rsidRDefault="00F22C22"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3D9D4FE6" w:rsidR="00BC2C3D" w:rsidRPr="00625CDE" w:rsidRDefault="00F22C22" w:rsidP="00CA4DDC">
            <w:pPr>
              <w:spacing w:before="60" w:after="60" w:line="240" w:lineRule="auto"/>
              <w:jc w:val="center"/>
              <w:rPr>
                <w:rFonts w:cs="Arial"/>
                <w:color w:val="000000"/>
              </w:rPr>
            </w:pPr>
            <w:r>
              <w:rPr>
                <w:rFonts w:cs="Arial"/>
                <w:color w:val="000000"/>
              </w:rPr>
              <w:t>1.3</w:t>
            </w:r>
          </w:p>
        </w:tc>
        <w:tc>
          <w:tcPr>
            <w:tcW w:w="5670" w:type="dxa"/>
            <w:tcBorders>
              <w:bottom w:val="single" w:sz="4" w:space="0" w:color="auto"/>
            </w:tcBorders>
            <w:shd w:val="clear" w:color="auto" w:fill="auto"/>
            <w:vAlign w:val="center"/>
          </w:tcPr>
          <w:p w14:paraId="340A50ED" w14:textId="4383146E" w:rsidR="00BC2C3D" w:rsidRPr="00625CDE" w:rsidRDefault="00625CDE" w:rsidP="00D45E1F">
            <w:pPr>
              <w:spacing w:before="60" w:after="60" w:line="240" w:lineRule="auto"/>
              <w:rPr>
                <w:rFonts w:cs="Arial"/>
              </w:rPr>
            </w:pPr>
            <w:r w:rsidRPr="00625CDE">
              <w:rPr>
                <w:color w:val="000000" w:themeColor="text1"/>
              </w:rPr>
              <w:t xml:space="preserve">Do you agree, without caveats or limitations, that in the event that you are successful the </w:t>
            </w:r>
            <w:r w:rsidRPr="00720C63">
              <w:rPr>
                <w:color w:val="000000" w:themeColor="text1"/>
              </w:rPr>
              <w:t>Crown Commercial Service’s Terms and Conditions within Appendix C</w:t>
            </w:r>
            <w:r w:rsidR="00720C63" w:rsidRPr="00720C63">
              <w:rPr>
                <w:color w:val="000000" w:themeColor="text1"/>
              </w:rPr>
              <w:t xml:space="preserve"> </w:t>
            </w:r>
            <w:r w:rsidRPr="00720C63">
              <w:rPr>
                <w:color w:val="000000" w:themeColor="text1"/>
              </w:rPr>
              <w:t>will govern the provision of this contract</w:t>
            </w:r>
            <w:r w:rsidR="00784A14" w:rsidRPr="00720C63">
              <w:rPr>
                <w:color w:val="000000" w:themeColor="text1"/>
              </w:rPr>
              <w:t xml:space="preserve"> (save for any</w:t>
            </w:r>
            <w:r w:rsidR="00D45E1F">
              <w:rPr>
                <w:color w:val="000000" w:themeColor="text1"/>
              </w:rPr>
              <w:t xml:space="preserve"> consideration of proposed</w:t>
            </w:r>
            <w:r w:rsidR="00784A14" w:rsidRPr="00720C63">
              <w:rPr>
                <w:color w:val="000000" w:themeColor="text1"/>
              </w:rPr>
              <w:t xml:space="preserve"> non</w:t>
            </w:r>
            <w:r w:rsidR="00784A14">
              <w:rPr>
                <w:color w:val="000000" w:themeColor="text1"/>
              </w:rPr>
              <w:t xml:space="preserve">-material changes that may be </w:t>
            </w:r>
            <w:r w:rsidR="00D45E1F">
              <w:rPr>
                <w:color w:val="000000" w:themeColor="text1"/>
              </w:rPr>
              <w:t xml:space="preserve">agreed with </w:t>
            </w:r>
            <w:r w:rsidR="00784A14">
              <w:rPr>
                <w:color w:val="000000" w:themeColor="text1"/>
              </w:rPr>
              <w:t>the Authority pending contract award, for example in respect of GDPR requirements)</w:t>
            </w:r>
            <w:r w:rsidRPr="00625CDE">
              <w:rPr>
                <w:color w:val="000000" w:themeColor="text1"/>
              </w:rPr>
              <w: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59C67C35" w:rsidR="00930F24" w:rsidRPr="00625CDE" w:rsidRDefault="00F22C22"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2E97EA47"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w:t>
            </w:r>
            <w:r w:rsidR="002275E1">
              <w:rPr>
                <w:color w:val="000000" w:themeColor="text1"/>
              </w:rPr>
              <w:lastRenderedPageBreak/>
              <w:t>acceptance of this event will be notified to the buyer in writing.</w:t>
            </w:r>
            <w:r w:rsidR="00F22C22">
              <w:rPr>
                <w:color w:val="000000" w:themeColor="text1"/>
              </w:rPr>
              <w:br/>
            </w:r>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lastRenderedPageBreak/>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C2C3D" w:rsidRPr="00D46EA6" w14:paraId="1D0F68D7" w14:textId="77777777" w:rsidTr="007E3156">
        <w:trPr>
          <w:trHeight w:val="454"/>
        </w:trPr>
        <w:tc>
          <w:tcPr>
            <w:tcW w:w="8359" w:type="dxa"/>
            <w:gridSpan w:val="3"/>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F22C22">
            <w:pPr>
              <w:spacing w:before="60" w:after="60" w:line="240" w:lineRule="auto"/>
              <w:jc w:val="center"/>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797EEB18" w:rsidR="00041498" w:rsidRPr="00351F53" w:rsidRDefault="00041498" w:rsidP="00F22C22">
            <w:pPr>
              <w:widowControl w:val="0"/>
              <w:overflowPunct w:val="0"/>
              <w:autoSpaceDE w:val="0"/>
              <w:autoSpaceDN w:val="0"/>
              <w:adjustRightInd w:val="0"/>
              <w:spacing w:before="60" w:after="60" w:line="240" w:lineRule="auto"/>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r w:rsidR="00F22C22">
              <w:rPr>
                <w:rFonts w:eastAsia="SimSun"/>
                <w:lang w:eastAsia="zh-CN"/>
              </w:rPr>
              <w:br/>
            </w:r>
          </w:p>
          <w:p w14:paraId="240ED6D6" w14:textId="2103F9A6" w:rsidR="00041498" w:rsidRPr="00336532" w:rsidRDefault="00041498" w:rsidP="00F22C22">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144762FB" w:rsidR="004F5DD4" w:rsidRPr="00147082" w:rsidRDefault="00F22C22" w:rsidP="004F5DD4">
            <w:pPr>
              <w:spacing w:before="60" w:after="60" w:line="240" w:lineRule="auto"/>
              <w:jc w:val="center"/>
              <w:rPr>
                <w:rFonts w:cs="Arial"/>
              </w:rPr>
            </w:pPr>
            <w:r>
              <w:rPr>
                <w:rFonts w:cs="Arial"/>
              </w:rPr>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0BA2B122" w:rsidR="00BD1E75" w:rsidRPr="00147082" w:rsidRDefault="00F22C22" w:rsidP="004F5DD4">
            <w:pPr>
              <w:spacing w:before="60" w:after="60" w:line="240" w:lineRule="auto"/>
              <w:jc w:val="center"/>
              <w:rPr>
                <w:rFonts w:cs="Arial"/>
              </w:rPr>
            </w:pPr>
            <w:r>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ion of any Contract Award and any ommissions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25E87FA8" w:rsidR="00BD1E75" w:rsidRDefault="00F22C22" w:rsidP="002275E1">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628B740E" w:rsidR="00FF05A6" w:rsidRDefault="00F22C22" w:rsidP="002275E1">
            <w:pPr>
              <w:jc w:val="center"/>
            </w:pPr>
            <w:r>
              <w:lastRenderedPageBreak/>
              <w:t>3.2</w:t>
            </w:r>
          </w:p>
        </w:tc>
        <w:tc>
          <w:tcPr>
            <w:tcW w:w="5670" w:type="dxa"/>
            <w:vAlign w:val="center"/>
          </w:tcPr>
          <w:p w14:paraId="025700D6" w14:textId="1AF015F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r w:rsidR="00F22C22" w:rsidRPr="00F22C22">
              <w:rPr>
                <w:rStyle w:val="Hyperlink"/>
                <w:color w:val="auto"/>
              </w:rPr>
              <w:t>.</w:t>
            </w:r>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5F832560" w:rsidR="00BD1E75" w:rsidRDefault="00737BFF" w:rsidP="002275E1">
            <w:pPr>
              <w:jc w:val="center"/>
            </w:pPr>
            <w:r>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Address(es)</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6D857163" w:rsidR="000737FF" w:rsidRDefault="000737FF" w:rsidP="00737BFF">
            <w:pPr>
              <w:jc w:val="center"/>
            </w:pPr>
            <w:r>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address(es)</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246" w:type="dxa"/>
            <w:vAlign w:val="center"/>
          </w:tcPr>
          <w:p w14:paraId="11A0292A" w14:textId="7CC8517F" w:rsidR="000737FF" w:rsidRDefault="00B63924" w:rsidP="002275E1">
            <w:pPr>
              <w:jc w:val="center"/>
            </w:pPr>
            <w:r>
              <w:t>N/A</w:t>
            </w:r>
          </w:p>
        </w:tc>
      </w:tr>
    </w:tbl>
    <w:p w14:paraId="1A969FFD" w14:textId="5C0E5C1C" w:rsidR="00D2087A" w:rsidRDefault="00D2087A"/>
    <w:p w14:paraId="308D064F" w14:textId="7E80E03B" w:rsidR="004F4B67" w:rsidRDefault="004F4B67" w:rsidP="00F22C22">
      <w:pPr>
        <w:pStyle w:val="ListParagraph"/>
        <w:numPr>
          <w:ilvl w:val="1"/>
          <w:numId w:val="7"/>
        </w:numPr>
        <w:contextualSpacing/>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F22C22">
      <w:pPr>
        <w:pStyle w:val="ListParagraph"/>
        <w:contextualSpacing/>
        <w:rPr>
          <w:rFonts w:cs="Arial"/>
        </w:rPr>
      </w:pPr>
    </w:p>
    <w:p w14:paraId="05EDFA4A" w14:textId="3EE1D402" w:rsidR="00850BAA" w:rsidRPr="00850BAA" w:rsidRDefault="002F58AC" w:rsidP="00F22C22">
      <w:pPr>
        <w:pStyle w:val="ListParagraph"/>
        <w:numPr>
          <w:ilvl w:val="1"/>
          <w:numId w:val="7"/>
        </w:numPr>
        <w:contextualSpacing/>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F22C22">
      <w:pPr>
        <w:pStyle w:val="ListParagraph"/>
        <w:contextualSpacing/>
        <w:rPr>
          <w:rFonts w:cs="Arial"/>
        </w:rPr>
      </w:pPr>
    </w:p>
    <w:p w14:paraId="771C8792" w14:textId="788F2ED5" w:rsidR="002F58AC" w:rsidRPr="00F22C22" w:rsidRDefault="002F58AC" w:rsidP="00F22C22">
      <w:pPr>
        <w:pStyle w:val="ListParagraph"/>
        <w:numPr>
          <w:ilvl w:val="1"/>
          <w:numId w:val="7"/>
        </w:numPr>
        <w:contextualSpacing/>
        <w:rPr>
          <w:rFonts w:cs="Arial"/>
        </w:rPr>
      </w:pPr>
      <w:r>
        <w:rPr>
          <w:rFonts w:cs="Arial"/>
        </w:rPr>
        <w:t xml:space="preserve">Where only one (1) </w:t>
      </w:r>
      <w:r w:rsidR="00850BAA">
        <w:rPr>
          <w:rFonts w:cs="Arial"/>
        </w:rPr>
        <w:t xml:space="preserve">submission is received which does not meet the minimum acceptable Quality Score, the Authority reserves the right to enter into dialogue and seek assurances </w:t>
      </w:r>
      <w:r w:rsidR="00850BAA" w:rsidRPr="00F22C22">
        <w:rPr>
          <w:rFonts w:cs="Arial"/>
        </w:rPr>
        <w:t>regarding the delivery of the requirement.</w:t>
      </w:r>
    </w:p>
    <w:p w14:paraId="6A1F4976" w14:textId="77777777" w:rsidR="004F4B67" w:rsidRPr="00F22C22" w:rsidRDefault="004F4B67" w:rsidP="00F22C22">
      <w:pPr>
        <w:pStyle w:val="ListParagraph"/>
        <w:contextualSpacing/>
        <w:rPr>
          <w:rFonts w:cs="Arial"/>
        </w:rPr>
      </w:pPr>
    </w:p>
    <w:p w14:paraId="54ED1D43" w14:textId="07082C6D" w:rsidR="008023F4" w:rsidRPr="00F22C22" w:rsidRDefault="00737AA5" w:rsidP="00F22C22">
      <w:pPr>
        <w:pStyle w:val="ListParagraph"/>
        <w:numPr>
          <w:ilvl w:val="1"/>
          <w:numId w:val="7"/>
        </w:numPr>
        <w:spacing w:before="0" w:after="0"/>
        <w:contextualSpacing/>
        <w:rPr>
          <w:rFonts w:cs="Arial"/>
        </w:rPr>
      </w:pPr>
      <w:r w:rsidRPr="00F22C22">
        <w:rPr>
          <w:rFonts w:cs="Arial"/>
        </w:rPr>
        <w:t>Potential Providers</w:t>
      </w:r>
      <w:r w:rsidR="004F4B67" w:rsidRPr="00F22C22">
        <w:rPr>
          <w:rFonts w:cs="Arial"/>
        </w:rPr>
        <w:t xml:space="preserve"> are able to provide attachments against each question</w:t>
      </w:r>
      <w:r w:rsidRPr="00F22C22">
        <w:rPr>
          <w:rFonts w:cs="Arial"/>
        </w:rPr>
        <w:t xml:space="preserve">. </w:t>
      </w:r>
      <w:r w:rsidR="00D33192" w:rsidRPr="00F22C22">
        <w:rPr>
          <w:rFonts w:cs="Arial"/>
        </w:rPr>
        <w:t>Q</w:t>
      </w:r>
      <w:r w:rsidRPr="00F22C22">
        <w:rPr>
          <w:rFonts w:cs="Arial"/>
        </w:rPr>
        <w:t xml:space="preserve">uestion </w:t>
      </w:r>
      <w:r w:rsidR="00D33192" w:rsidRPr="00F22C22">
        <w:rPr>
          <w:rFonts w:cs="Arial"/>
        </w:rPr>
        <w:t xml:space="preserve">text fields must be populated with detailed references to relevant attachments or sections within </w:t>
      </w:r>
      <w:r w:rsidR="00384563" w:rsidRPr="00F22C22">
        <w:rPr>
          <w:rFonts w:cs="Arial"/>
        </w:rPr>
        <w:t xml:space="preserve">their </w:t>
      </w:r>
      <w:r w:rsidR="00D33192" w:rsidRPr="00F22C22">
        <w:rPr>
          <w:rFonts w:cs="Arial"/>
        </w:rPr>
        <w:t>attachments.</w:t>
      </w:r>
    </w:p>
    <w:p w14:paraId="10CE0ACC" w14:textId="77777777" w:rsidR="008023F4" w:rsidRPr="008023F4" w:rsidRDefault="008023F4" w:rsidP="00F22C22">
      <w:pPr>
        <w:spacing w:after="0"/>
        <w:contextualSpacing/>
        <w:rPr>
          <w:rFonts w:cs="Arial"/>
          <w:highlight w:val="yellow"/>
        </w:rPr>
      </w:pPr>
    </w:p>
    <w:p w14:paraId="015D81FC" w14:textId="59E5835B" w:rsidR="00925EC2" w:rsidRPr="008023F4" w:rsidRDefault="00D33192" w:rsidP="00F22C22">
      <w:pPr>
        <w:pStyle w:val="ListParagraph"/>
        <w:numPr>
          <w:ilvl w:val="1"/>
          <w:numId w:val="7"/>
        </w:numPr>
        <w:spacing w:before="0" w:after="0"/>
        <w:contextualSpacing/>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8023F4" w:rsidRDefault="008023F4" w:rsidP="00F22C22">
      <w:pPr>
        <w:spacing w:after="0"/>
        <w:contextualSpacing/>
        <w:rPr>
          <w:rFonts w:cs="Arial"/>
          <w:highlight w:val="yellow"/>
        </w:rPr>
      </w:pPr>
    </w:p>
    <w:p w14:paraId="7B76385F" w14:textId="1EC1E1B4" w:rsidR="00925EC2" w:rsidRDefault="00D33192" w:rsidP="009802F4">
      <w:pPr>
        <w:pStyle w:val="ListParagraph"/>
        <w:numPr>
          <w:ilvl w:val="1"/>
          <w:numId w:val="7"/>
        </w:numPr>
        <w:spacing w:before="0" w:after="0"/>
        <w:contextualSpacing/>
        <w:rPr>
          <w:rFonts w:cs="Arial"/>
        </w:rPr>
      </w:pPr>
      <w:r>
        <w:rPr>
          <w:rFonts w:cs="Arial"/>
        </w:rPr>
        <w:lastRenderedPageBreak/>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9802F4">
      <w:pPr>
        <w:pStyle w:val="ListParagraph"/>
        <w:spacing w:after="0"/>
        <w:contextualSpacing/>
        <w:rPr>
          <w:rFonts w:cs="Arial"/>
        </w:rPr>
      </w:pPr>
    </w:p>
    <w:p w14:paraId="3A417F7D" w14:textId="57049260" w:rsidR="00D33192" w:rsidRPr="00D33192" w:rsidRDefault="00925EC2" w:rsidP="009802F4">
      <w:pPr>
        <w:pStyle w:val="ListParagraph"/>
        <w:numPr>
          <w:ilvl w:val="1"/>
          <w:numId w:val="7"/>
        </w:numPr>
        <w:spacing w:after="0"/>
        <w:contextualSpacing/>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9802F4">
      <w:pPr>
        <w:pStyle w:val="ListParagraph"/>
        <w:spacing w:after="0"/>
        <w:contextualSpacing/>
        <w:rPr>
          <w:rFonts w:cs="Arial"/>
        </w:rPr>
      </w:pPr>
    </w:p>
    <w:p w14:paraId="7F9E2E04" w14:textId="4638F639" w:rsidR="009802F4" w:rsidRPr="009802F4" w:rsidRDefault="00925EC2" w:rsidP="009802F4">
      <w:pPr>
        <w:pStyle w:val="ListParagraph"/>
        <w:numPr>
          <w:ilvl w:val="1"/>
          <w:numId w:val="7"/>
        </w:numPr>
        <w:spacing w:after="0"/>
        <w:contextualSpacing/>
        <w:rPr>
          <w:rFonts w:cs="Arial"/>
        </w:rPr>
      </w:pPr>
      <w:r w:rsidRPr="00925EC2">
        <w:rPr>
          <w:rFonts w:cs="Arial"/>
        </w:rPr>
        <w:t>Potential providers will be marked in accordance with the marking scheme at Section 2.</w:t>
      </w:r>
      <w:r w:rsidR="009802F4">
        <w:rPr>
          <w:rFonts w:cs="Arial"/>
        </w:rPr>
        <w:br/>
      </w:r>
    </w:p>
    <w:p w14:paraId="5E088D32" w14:textId="39FEEC7C" w:rsidR="00E64412" w:rsidRPr="009802F4" w:rsidRDefault="009802F4" w:rsidP="009802F4">
      <w:pPr>
        <w:pStyle w:val="ListParagraph"/>
        <w:numPr>
          <w:ilvl w:val="1"/>
          <w:numId w:val="7"/>
        </w:numPr>
        <w:spacing w:after="0"/>
        <w:contextualSpacing/>
        <w:rPr>
          <w:rFonts w:cs="Arial"/>
        </w:rPr>
      </w:pPr>
      <w:r>
        <w:rPr>
          <w:rFonts w:cs="Arial"/>
        </w:rPr>
        <w:t xml:space="preserve">The page limit on </w:t>
      </w:r>
      <w:r w:rsidR="00D45E1F">
        <w:rPr>
          <w:rFonts w:cs="Arial"/>
        </w:rPr>
        <w:t xml:space="preserve">total </w:t>
      </w:r>
      <w:r>
        <w:rPr>
          <w:rFonts w:cs="Arial"/>
        </w:rPr>
        <w:t xml:space="preserve">attachments </w:t>
      </w:r>
      <w:r w:rsidR="00D45E1F">
        <w:rPr>
          <w:rFonts w:cs="Arial"/>
        </w:rPr>
        <w:t xml:space="preserve">for all questionnaires </w:t>
      </w:r>
      <w:r>
        <w:rPr>
          <w:rFonts w:cs="Arial"/>
        </w:rPr>
        <w:t xml:space="preserve">is set at </w:t>
      </w:r>
      <w:r w:rsidR="00A81A90" w:rsidRPr="00FC218C">
        <w:rPr>
          <w:rFonts w:cs="Arial"/>
          <w:b/>
        </w:rPr>
        <w:t>15 Single Sides of A4</w:t>
      </w:r>
      <w:r w:rsidR="00A81A90">
        <w:rPr>
          <w:rFonts w:cs="Arial"/>
          <w:b/>
        </w:rPr>
        <w:t xml:space="preserve"> (excluding any Project Plans, CV’s and any Documentation relating to Terms and Conditions)</w:t>
      </w:r>
      <w:r>
        <w:rPr>
          <w:rFonts w:cs="Arial"/>
        </w:rPr>
        <w:t>. This page count must not be exceeded and any text which is in excess of this limit shall be disregarded and shall not be considered in the evaluation process. Attachments maybe submitted in Microsoft Word, Excel or PDF format and be in Arial font size 11.</w:t>
      </w:r>
      <w:r w:rsidRPr="009802F4">
        <w:rPr>
          <w:rFonts w:cs="Arial"/>
        </w:rPr>
        <w:br/>
      </w:r>
    </w:p>
    <w:p w14:paraId="533CFC18" w14:textId="170602BA" w:rsidR="00E64412" w:rsidRPr="008B5969" w:rsidRDefault="00E64412" w:rsidP="009802F4">
      <w:pPr>
        <w:pStyle w:val="ListParagraph"/>
        <w:numPr>
          <w:ilvl w:val="1"/>
          <w:numId w:val="7"/>
        </w:numPr>
        <w:spacing w:before="0" w:after="0"/>
        <w:contextualSpacing/>
        <w:rPr>
          <w:rFonts w:cs="Arial"/>
        </w:rPr>
      </w:pPr>
      <w:r w:rsidRPr="008B5969">
        <w:rPr>
          <w:rFonts w:cs="Arial"/>
        </w:rPr>
        <w:t xml:space="preserve">The two Attachments required are: </w:t>
      </w:r>
    </w:p>
    <w:p w14:paraId="51C37A70" w14:textId="29B1ECE8" w:rsidR="00E64412" w:rsidRDefault="008B5969" w:rsidP="009802F4">
      <w:pPr>
        <w:pStyle w:val="ListParagraph"/>
        <w:numPr>
          <w:ilvl w:val="2"/>
          <w:numId w:val="7"/>
        </w:numPr>
        <w:spacing w:before="0" w:after="0"/>
        <w:contextualSpacing/>
        <w:rPr>
          <w:rFonts w:cs="Arial"/>
        </w:rPr>
      </w:pPr>
      <w:r w:rsidRPr="008B5969">
        <w:rPr>
          <w:rFonts w:cs="Arial"/>
        </w:rPr>
        <w:t xml:space="preserve">The first attachment containing the responses to Quality Questions in Sections 4 and 5 is to be attached at Question Level, at 4.1. </w:t>
      </w:r>
    </w:p>
    <w:p w14:paraId="5DD2504C" w14:textId="03036071" w:rsidR="00B63924" w:rsidRPr="009802F4" w:rsidRDefault="009802F4" w:rsidP="009802F4">
      <w:pPr>
        <w:pStyle w:val="ListParagraph"/>
        <w:numPr>
          <w:ilvl w:val="2"/>
          <w:numId w:val="7"/>
        </w:numPr>
        <w:spacing w:before="0" w:after="0"/>
        <w:contextualSpacing/>
        <w:rPr>
          <w:rFonts w:cs="Arial"/>
        </w:rPr>
      </w:pPr>
      <w:r>
        <w:rPr>
          <w:rFonts w:cs="Arial"/>
        </w:rPr>
        <w:t>The second attachm</w:t>
      </w:r>
      <w:r w:rsidR="00D45E1F">
        <w:rPr>
          <w:rFonts w:cs="Arial"/>
        </w:rPr>
        <w:t>ent containing the Excel Pricin</w:t>
      </w:r>
      <w:r>
        <w:rPr>
          <w:rFonts w:cs="Arial"/>
        </w:rPr>
        <w:t xml:space="preserve">g Table is to be attached at Question Level, at 6.1. </w:t>
      </w:r>
      <w:r w:rsidR="008B5969" w:rsidRPr="009802F4">
        <w:rPr>
          <w:rFonts w:cs="Arial"/>
          <w:highlight w:val="yellow"/>
        </w:rPr>
        <w:br/>
      </w: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0C2B17D7" w:rsidR="006A087F" w:rsidRPr="006A087F" w:rsidRDefault="00B6583F">
            <w:pPr>
              <w:rPr>
                <w:b/>
                <w:color w:val="FFFFFF" w:themeColor="background1"/>
              </w:rPr>
            </w:pPr>
            <w:r>
              <w:rPr>
                <w:b/>
                <w:color w:val="FFFFFF" w:themeColor="background1"/>
              </w:rPr>
              <w:t>QUESTIONNAIRE 4 – QUALITY/SERVICE DELIVERY</w:t>
            </w:r>
          </w:p>
        </w:tc>
        <w:tc>
          <w:tcPr>
            <w:tcW w:w="2551" w:type="dxa"/>
            <w:gridSpan w:val="2"/>
            <w:shd w:val="clear" w:color="auto" w:fill="0D0D0D" w:themeFill="text1" w:themeFillTint="F2"/>
          </w:tcPr>
          <w:p w14:paraId="1290A9B6" w14:textId="5F0A2D6D" w:rsidR="006A087F" w:rsidRPr="006A087F" w:rsidRDefault="006A087F" w:rsidP="006A087F">
            <w:pPr>
              <w:jc w:val="right"/>
              <w:rPr>
                <w:b/>
                <w:color w:val="FFFFFF" w:themeColor="background1"/>
              </w:rPr>
            </w:pPr>
            <w:r w:rsidRPr="006A087F">
              <w:rPr>
                <w:b/>
                <w:color w:val="FFFFFF" w:themeColor="background1"/>
              </w:rPr>
              <w:t xml:space="preserve">Weighting – </w:t>
            </w:r>
            <w:r w:rsidR="003046A2">
              <w:rPr>
                <w:b/>
                <w:color w:val="FFFFFF" w:themeColor="background1"/>
              </w:rPr>
              <w:t>70</w:t>
            </w:r>
            <w:r w:rsidRPr="006A087F">
              <w:rPr>
                <w:b/>
                <w:color w:val="FFFFFF" w:themeColor="background1"/>
              </w:rPr>
              <w:t xml:space="preserve"> %</w:t>
            </w: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12" w:type="dxa"/>
            <w:shd w:val="clear" w:color="auto" w:fill="D9D9D9" w:themeFill="background1" w:themeFillShade="D9"/>
          </w:tcPr>
          <w:p w14:paraId="32BF21FF" w14:textId="37FF6AE0" w:rsidR="00F10B85" w:rsidRDefault="00F10B85">
            <w:r>
              <w:t>Question</w:t>
            </w:r>
          </w:p>
        </w:tc>
        <w:tc>
          <w:tcPr>
            <w:tcW w:w="1417" w:type="dxa"/>
            <w:shd w:val="clear" w:color="auto" w:fill="D9D9D9" w:themeFill="background1" w:themeFillShade="D9"/>
          </w:tcPr>
          <w:p w14:paraId="69880156" w14:textId="6C524D56"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5BD83A8B" w:rsidR="00F10B85" w:rsidRPr="00F10B85" w:rsidRDefault="00F10B85" w:rsidP="00F10B85">
            <w:pPr>
              <w:jc w:val="center"/>
            </w:pPr>
            <w:r w:rsidRPr="00F10B85">
              <w:t>Weighting [X]%</w:t>
            </w:r>
          </w:p>
        </w:tc>
      </w:tr>
      <w:tr w:rsidR="00F10B85" w14:paraId="2CD4CB9A" w14:textId="77777777" w:rsidTr="00F10B85">
        <w:tc>
          <w:tcPr>
            <w:tcW w:w="1170" w:type="dxa"/>
          </w:tcPr>
          <w:p w14:paraId="304B1B86" w14:textId="16BE28F9" w:rsidR="00F10B85" w:rsidRDefault="006A087F" w:rsidP="006A087F">
            <w:pPr>
              <w:jc w:val="center"/>
            </w:pPr>
            <w:r>
              <w:t>4.1</w:t>
            </w:r>
          </w:p>
        </w:tc>
        <w:tc>
          <w:tcPr>
            <w:tcW w:w="4212" w:type="dxa"/>
          </w:tcPr>
          <w:p w14:paraId="7A46E513" w14:textId="6C3E4681" w:rsidR="00784A14" w:rsidRDefault="00784A14" w:rsidP="00784A14">
            <w:pPr>
              <w:rPr>
                <w:rFonts w:ascii="Calibri" w:hAnsi="Calibri"/>
              </w:rPr>
            </w:pPr>
            <w:r w:rsidRPr="00A2798D">
              <w:rPr>
                <w:b/>
              </w:rPr>
              <w:t>Project Plan</w:t>
            </w:r>
            <w:r>
              <w:t>. Bidders to give a detailed description of the methods and procedures that will be used to ensure they are able to deliver a process that adheres to the timetable in the specification.</w:t>
            </w:r>
          </w:p>
          <w:p w14:paraId="4C6BB02E" w14:textId="70BA8F0B" w:rsidR="00F10B85" w:rsidRPr="00B6583F" w:rsidRDefault="00784A14" w:rsidP="00784A14">
            <w:pPr>
              <w:rPr>
                <w:i/>
              </w:rPr>
            </w:pPr>
            <w:r w:rsidRPr="00A2798D">
              <w:rPr>
                <w:i/>
              </w:rPr>
              <w:t>Guidance: Bidders should include, but not be limited to, a detailed projected timeline/project plan.</w:t>
            </w:r>
          </w:p>
        </w:tc>
        <w:tc>
          <w:tcPr>
            <w:tcW w:w="1417" w:type="dxa"/>
          </w:tcPr>
          <w:p w14:paraId="5A52C002" w14:textId="03884D15" w:rsidR="00F10B85" w:rsidRPr="009802F4" w:rsidRDefault="00784A14" w:rsidP="006A087F">
            <w:pPr>
              <w:jc w:val="center"/>
            </w:pPr>
            <w:r w:rsidRPr="009802F4">
              <w:t>50</w:t>
            </w:r>
          </w:p>
        </w:tc>
        <w:tc>
          <w:tcPr>
            <w:tcW w:w="1271" w:type="dxa"/>
          </w:tcPr>
          <w:p w14:paraId="339CEAC3" w14:textId="7BBA4DD9" w:rsidR="00F10B85" w:rsidRDefault="006A087F" w:rsidP="006A087F">
            <w:pPr>
              <w:jc w:val="center"/>
            </w:pPr>
            <w:r>
              <w:t>100</w:t>
            </w:r>
          </w:p>
        </w:tc>
        <w:tc>
          <w:tcPr>
            <w:tcW w:w="1280" w:type="dxa"/>
          </w:tcPr>
          <w:p w14:paraId="25E7131B" w14:textId="5D905E29" w:rsidR="00F10B85" w:rsidRDefault="007F13BC" w:rsidP="006A087F">
            <w:pPr>
              <w:jc w:val="center"/>
            </w:pPr>
            <w:r>
              <w:t>2</w:t>
            </w:r>
            <w:r w:rsidR="00784A14">
              <w:t>0</w:t>
            </w:r>
            <w:r w:rsidR="006A087F">
              <w:t>%</w:t>
            </w:r>
          </w:p>
        </w:tc>
      </w:tr>
      <w:tr w:rsidR="00F10B85" w14:paraId="5549B292" w14:textId="77777777" w:rsidTr="00F10B85">
        <w:tc>
          <w:tcPr>
            <w:tcW w:w="1170" w:type="dxa"/>
          </w:tcPr>
          <w:p w14:paraId="7A938FC9" w14:textId="18368B7C" w:rsidR="00F10B85" w:rsidRDefault="006A087F" w:rsidP="006A087F">
            <w:pPr>
              <w:jc w:val="center"/>
            </w:pPr>
            <w:r>
              <w:lastRenderedPageBreak/>
              <w:t>4.2</w:t>
            </w:r>
          </w:p>
        </w:tc>
        <w:tc>
          <w:tcPr>
            <w:tcW w:w="4212" w:type="dxa"/>
          </w:tcPr>
          <w:p w14:paraId="51E622AB" w14:textId="5804C63E" w:rsidR="00784A14" w:rsidRDefault="00784A14" w:rsidP="00784A14">
            <w:pPr>
              <w:rPr>
                <w:rFonts w:ascii="Calibri" w:hAnsi="Calibri"/>
              </w:rPr>
            </w:pPr>
            <w:r w:rsidRPr="00B6583F">
              <w:rPr>
                <w:b/>
              </w:rPr>
              <w:t>Methodology and Approach</w:t>
            </w:r>
            <w:r w:rsidR="00B6583F" w:rsidRPr="00B6583F">
              <w:t xml:space="preserve">. </w:t>
            </w:r>
            <w:r w:rsidRPr="00B6583F">
              <w:t>Bidders are to provide a proposed methodology and approach for achieving the requirement of this contract in accordance with the specification. This must include but is not limited to:</w:t>
            </w:r>
          </w:p>
          <w:p w14:paraId="04CCE892" w14:textId="05457D74" w:rsidR="00784A14" w:rsidRDefault="00784A14" w:rsidP="00784A14">
            <w:r>
              <w:t xml:space="preserve">How they would attract and maintain a broad and diverse range of high calibre candidates that provide the skills sought, (diverse in terms </w:t>
            </w:r>
            <w:r w:rsidRPr="009802F4">
              <w:t xml:space="preserve">of gender, </w:t>
            </w:r>
            <w:r w:rsidR="009802F4" w:rsidRPr="009802F4">
              <w:t>Black Asian and Minority Ethnic (</w:t>
            </w:r>
            <w:r w:rsidRPr="009802F4">
              <w:t>BAME</w:t>
            </w:r>
            <w:r w:rsidR="009802F4" w:rsidRPr="009802F4">
              <w:t>)</w:t>
            </w:r>
            <w:r>
              <w:t xml:space="preserve"> and other minority groups).</w:t>
            </w:r>
          </w:p>
          <w:p w14:paraId="09FFFEBE" w14:textId="37B88238" w:rsidR="00F10B85" w:rsidRPr="009802F4" w:rsidRDefault="00784A14" w:rsidP="00784A14">
            <w:r>
              <w:t>Which potential advertising approaches, channels and strategies would be used</w:t>
            </w:r>
            <w:r w:rsidR="009802F4">
              <w:t xml:space="preserve">. </w:t>
            </w:r>
          </w:p>
        </w:tc>
        <w:tc>
          <w:tcPr>
            <w:tcW w:w="1417" w:type="dxa"/>
          </w:tcPr>
          <w:p w14:paraId="3CDC8814" w14:textId="0A913AEA" w:rsidR="00F10B85" w:rsidRPr="009802F4" w:rsidRDefault="00784A14" w:rsidP="006A087F">
            <w:pPr>
              <w:jc w:val="center"/>
            </w:pPr>
            <w:r w:rsidRPr="009802F4">
              <w:t>50</w:t>
            </w:r>
          </w:p>
        </w:tc>
        <w:tc>
          <w:tcPr>
            <w:tcW w:w="1271" w:type="dxa"/>
          </w:tcPr>
          <w:p w14:paraId="735D44EC" w14:textId="732D0981" w:rsidR="00F10B85" w:rsidRDefault="006A087F" w:rsidP="006A087F">
            <w:pPr>
              <w:jc w:val="center"/>
            </w:pPr>
            <w:r>
              <w:t>100</w:t>
            </w:r>
          </w:p>
        </w:tc>
        <w:tc>
          <w:tcPr>
            <w:tcW w:w="1280" w:type="dxa"/>
          </w:tcPr>
          <w:p w14:paraId="5C2A13E2" w14:textId="25C5CF4F" w:rsidR="00F10B85" w:rsidRDefault="007F13BC" w:rsidP="006A087F">
            <w:pPr>
              <w:jc w:val="center"/>
            </w:pPr>
            <w:r>
              <w:t>4</w:t>
            </w:r>
            <w:r w:rsidR="00784A14">
              <w:t>0</w:t>
            </w:r>
            <w:r w:rsidR="006A087F">
              <w:t>%</w:t>
            </w:r>
          </w:p>
        </w:tc>
      </w:tr>
      <w:tr w:rsidR="00F10B85" w14:paraId="6799063F" w14:textId="77777777" w:rsidTr="00F10B85">
        <w:tc>
          <w:tcPr>
            <w:tcW w:w="1170" w:type="dxa"/>
          </w:tcPr>
          <w:p w14:paraId="07547358" w14:textId="7F91E245" w:rsidR="00F10B85" w:rsidRDefault="006A087F" w:rsidP="006A087F">
            <w:pPr>
              <w:jc w:val="center"/>
            </w:pPr>
            <w:r>
              <w:t>4.3</w:t>
            </w:r>
          </w:p>
        </w:tc>
        <w:tc>
          <w:tcPr>
            <w:tcW w:w="4212" w:type="dxa"/>
          </w:tcPr>
          <w:p w14:paraId="189EDC34" w14:textId="30AEC5B8" w:rsidR="003046A2" w:rsidRDefault="003046A2" w:rsidP="003046A2">
            <w:pPr>
              <w:rPr>
                <w:rFonts w:ascii="Calibri" w:hAnsi="Calibri"/>
              </w:rPr>
            </w:pPr>
            <w:r w:rsidRPr="00A2798D">
              <w:rPr>
                <w:b/>
              </w:rPr>
              <w:t>Expertise and resource</w:t>
            </w:r>
            <w:r w:rsidRPr="00A2798D">
              <w:t xml:space="preserve">. </w:t>
            </w:r>
            <w:r>
              <w:t>Bidders are to detail how they will utilise their available resources and associated expertise to achieve the aims and deliverables of the specification and how the proposed personnel to be involved with this contract will utilise their expertise and knowledge to ensure a consistent, high quality service for the duration of the contract.</w:t>
            </w:r>
          </w:p>
          <w:p w14:paraId="47405BEA" w14:textId="25F4D1AA" w:rsidR="003046A2" w:rsidRDefault="003046A2" w:rsidP="003046A2">
            <w:r>
              <w:t>Bidders must include, but should not be limited to, details of proposed personnel (this may include CVs) and details of how those personnel will use their expertise to met the requirement set out in the specification.</w:t>
            </w:r>
          </w:p>
          <w:p w14:paraId="4DD9A473" w14:textId="7D309695" w:rsidR="00F10B85" w:rsidRPr="006A087F" w:rsidRDefault="00F10B85">
            <w:pPr>
              <w:rPr>
                <w:highlight w:val="yellow"/>
              </w:rPr>
            </w:pPr>
          </w:p>
        </w:tc>
        <w:tc>
          <w:tcPr>
            <w:tcW w:w="1417" w:type="dxa"/>
          </w:tcPr>
          <w:p w14:paraId="3186B36F" w14:textId="3BE3EA47" w:rsidR="00F10B85" w:rsidRPr="006A087F" w:rsidRDefault="003046A2" w:rsidP="006A087F">
            <w:pPr>
              <w:jc w:val="center"/>
              <w:rPr>
                <w:highlight w:val="yellow"/>
              </w:rPr>
            </w:pPr>
            <w:r w:rsidRPr="009802F4">
              <w:t>50</w:t>
            </w:r>
          </w:p>
        </w:tc>
        <w:tc>
          <w:tcPr>
            <w:tcW w:w="1271" w:type="dxa"/>
          </w:tcPr>
          <w:p w14:paraId="179E7322" w14:textId="21D28F0E" w:rsidR="00F10B85" w:rsidRDefault="006A087F" w:rsidP="006A087F">
            <w:pPr>
              <w:jc w:val="center"/>
            </w:pPr>
            <w:r>
              <w:t>100</w:t>
            </w:r>
          </w:p>
        </w:tc>
        <w:tc>
          <w:tcPr>
            <w:tcW w:w="1280" w:type="dxa"/>
          </w:tcPr>
          <w:p w14:paraId="34B38F9B" w14:textId="14D9C381" w:rsidR="00F10B85" w:rsidRDefault="007F13BC" w:rsidP="006A087F">
            <w:pPr>
              <w:jc w:val="center"/>
            </w:pPr>
            <w:r>
              <w:t>4</w:t>
            </w:r>
            <w:r w:rsidR="003046A2">
              <w:t>0</w:t>
            </w:r>
            <w:r w:rsidR="006A087F">
              <w:t>%</w:t>
            </w:r>
          </w:p>
        </w:tc>
      </w:tr>
    </w:tbl>
    <w:p w14:paraId="3D2EB22B" w14:textId="021A908C" w:rsidR="00B57738" w:rsidRDefault="008B5969">
      <w:r>
        <w:br/>
      </w:r>
      <w:r w:rsidR="009802F4">
        <w:br/>
      </w: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47321396" w14:textId="77777777" w:rsidTr="00D33192">
        <w:tc>
          <w:tcPr>
            <w:tcW w:w="6799" w:type="dxa"/>
            <w:gridSpan w:val="3"/>
            <w:shd w:val="clear" w:color="auto" w:fill="0D0D0D" w:themeFill="text1" w:themeFillTint="F2"/>
          </w:tcPr>
          <w:p w14:paraId="1BB55076" w14:textId="3EC54215" w:rsidR="00D33192" w:rsidRPr="006A087F" w:rsidRDefault="00D33192" w:rsidP="00D33192">
            <w:pPr>
              <w:rPr>
                <w:b/>
                <w:color w:val="FFFFFF" w:themeColor="background1"/>
              </w:rPr>
            </w:pPr>
            <w:r>
              <w:rPr>
                <w:b/>
                <w:color w:val="FFFFFF" w:themeColor="background1"/>
              </w:rPr>
              <w:lastRenderedPageBreak/>
              <w:t>QUESTIONNAIRE 5</w:t>
            </w:r>
            <w:r w:rsidRPr="006A087F">
              <w:rPr>
                <w:b/>
                <w:color w:val="FFFFFF" w:themeColor="background1"/>
              </w:rPr>
              <w:t xml:space="preserve"> – </w:t>
            </w:r>
            <w:r w:rsidR="008B5969">
              <w:rPr>
                <w:b/>
                <w:color w:val="FFFFFF" w:themeColor="background1"/>
              </w:rPr>
              <w:t>SECURITY AND DATA PROTECTION</w:t>
            </w:r>
          </w:p>
        </w:tc>
        <w:tc>
          <w:tcPr>
            <w:tcW w:w="2551" w:type="dxa"/>
            <w:gridSpan w:val="2"/>
            <w:shd w:val="clear" w:color="auto" w:fill="0D0D0D" w:themeFill="text1" w:themeFillTint="F2"/>
          </w:tcPr>
          <w:p w14:paraId="15DC8048" w14:textId="3084F952" w:rsidR="00D33192" w:rsidRPr="006A087F" w:rsidRDefault="00D33192" w:rsidP="00D33192">
            <w:pPr>
              <w:jc w:val="right"/>
              <w:rPr>
                <w:b/>
                <w:color w:val="FFFFFF" w:themeColor="background1"/>
              </w:rPr>
            </w:pPr>
            <w:r w:rsidRPr="006A087F">
              <w:rPr>
                <w:b/>
                <w:color w:val="FFFFFF" w:themeColor="background1"/>
              </w:rPr>
              <w:t xml:space="preserve">Weighting – </w:t>
            </w:r>
            <w:r w:rsidR="003046A2">
              <w:rPr>
                <w:b/>
                <w:color w:val="FFFFFF" w:themeColor="background1"/>
              </w:rPr>
              <w:t>10</w:t>
            </w:r>
            <w:r w:rsidRPr="006A087F">
              <w:rPr>
                <w:b/>
                <w:color w:val="FFFFFF" w:themeColor="background1"/>
              </w:rPr>
              <w:t>%</w:t>
            </w:r>
          </w:p>
        </w:tc>
      </w:tr>
      <w:tr w:rsidR="00D33192" w14:paraId="40CA7D09" w14:textId="77777777" w:rsidTr="00D33192">
        <w:tc>
          <w:tcPr>
            <w:tcW w:w="9350" w:type="dxa"/>
            <w:gridSpan w:val="5"/>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D33192">
        <w:trPr>
          <w:trHeight w:val="1125"/>
        </w:trPr>
        <w:tc>
          <w:tcPr>
            <w:tcW w:w="1170" w:type="dxa"/>
            <w:shd w:val="clear" w:color="auto" w:fill="D9D9D9" w:themeFill="background1" w:themeFillShade="D9"/>
          </w:tcPr>
          <w:p w14:paraId="332B8B2D"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28870D13" w14:textId="77777777" w:rsidR="00D33192" w:rsidRDefault="00D33192" w:rsidP="00D33192">
            <w:r>
              <w:t>Question</w:t>
            </w:r>
          </w:p>
        </w:tc>
        <w:tc>
          <w:tcPr>
            <w:tcW w:w="1417" w:type="dxa"/>
            <w:shd w:val="clear" w:color="auto" w:fill="D9D9D9" w:themeFill="background1" w:themeFillShade="D9"/>
          </w:tcPr>
          <w:p w14:paraId="600D4F91"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79B25A52"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4A3FE42A" w14:textId="77777777" w:rsidR="00D33192" w:rsidRPr="00F10B85" w:rsidRDefault="00D33192" w:rsidP="00D33192">
            <w:pPr>
              <w:jc w:val="center"/>
            </w:pPr>
            <w:r w:rsidRPr="00F10B85">
              <w:t>Weighting [X]%</w:t>
            </w:r>
          </w:p>
        </w:tc>
      </w:tr>
      <w:tr w:rsidR="00D33192" w14:paraId="1A8F2DDA" w14:textId="77777777" w:rsidTr="00D33192">
        <w:tc>
          <w:tcPr>
            <w:tcW w:w="1170" w:type="dxa"/>
          </w:tcPr>
          <w:p w14:paraId="5C2943F1" w14:textId="3A29A125" w:rsidR="00D33192" w:rsidRDefault="00D33192" w:rsidP="00D33192">
            <w:pPr>
              <w:jc w:val="center"/>
            </w:pPr>
            <w:r>
              <w:t>5.1</w:t>
            </w:r>
          </w:p>
        </w:tc>
        <w:tc>
          <w:tcPr>
            <w:tcW w:w="4212" w:type="dxa"/>
          </w:tcPr>
          <w:p w14:paraId="362060F9" w14:textId="35D402C6" w:rsidR="00D33192" w:rsidRPr="006A087F" w:rsidRDefault="003046A2" w:rsidP="00D33192">
            <w:pPr>
              <w:rPr>
                <w:highlight w:val="yellow"/>
              </w:rPr>
            </w:pPr>
            <w:r>
              <w:t xml:space="preserve">To allow for the possibility that Potential Provider IT Systems might be used to meet this requirement, Potential Providers should state how their IT systems comply with the technical requirements prescribed by “Cyber Essentials”.  </w:t>
            </w:r>
            <w:r w:rsidR="009802F4">
              <w:br/>
            </w:r>
            <w:r w:rsidR="009802F4">
              <w:br/>
            </w:r>
            <w:r>
              <w:t xml:space="preserve">If the Potential Provider has a current and valid cyber essentials certificate awarded by one of the government approved Cyber Essentials accreditation bodies within the last 12 months (see: </w:t>
            </w:r>
            <w:hyperlink r:id="rId13" w:history="1">
              <w:r>
                <w:rPr>
                  <w:rStyle w:val="Hyperlink"/>
                </w:rPr>
                <w:t>https://www.gov.uk/government/publications/cyber-essentials-scheme-overview</w:t>
              </w:r>
            </w:hyperlink>
            <w:r>
              <w:t xml:space="preserve">) they should provide a copy of that certificate as part of their response.   </w:t>
            </w:r>
            <w:r w:rsidR="009802F4">
              <w:br/>
            </w:r>
            <w:r w:rsidR="009802F4">
              <w:br/>
            </w:r>
            <w:r>
              <w:t xml:space="preserve">If they do not hold current certification they should set out in detail how they comply with the relevant technical requirements of Cyber Essentials, which can be found here: </w:t>
            </w:r>
            <w:hyperlink r:id="rId14" w:history="1">
              <w:r>
                <w:rPr>
                  <w:rStyle w:val="Hyperlink"/>
                </w:rPr>
                <w:t>https://www.cyberessentials.ncsc.gov.uk/requirements-for-it-infrastructure.html</w:t>
              </w:r>
            </w:hyperlink>
          </w:p>
        </w:tc>
        <w:tc>
          <w:tcPr>
            <w:tcW w:w="1417" w:type="dxa"/>
          </w:tcPr>
          <w:p w14:paraId="133503EE" w14:textId="08ACDEAE" w:rsidR="00D33192" w:rsidRPr="006A087F" w:rsidRDefault="00720C63" w:rsidP="00D33192">
            <w:pPr>
              <w:jc w:val="center"/>
              <w:rPr>
                <w:highlight w:val="yellow"/>
              </w:rPr>
            </w:pPr>
            <w:r w:rsidRPr="00720C63">
              <w:t>5</w:t>
            </w:r>
            <w:r w:rsidR="007F13BC" w:rsidRPr="00720C63">
              <w:t>0</w:t>
            </w:r>
          </w:p>
        </w:tc>
        <w:tc>
          <w:tcPr>
            <w:tcW w:w="1271" w:type="dxa"/>
          </w:tcPr>
          <w:p w14:paraId="73E48245" w14:textId="77777777" w:rsidR="00D33192" w:rsidRDefault="00D33192" w:rsidP="00D33192">
            <w:pPr>
              <w:jc w:val="center"/>
            </w:pPr>
            <w:r>
              <w:t>100</w:t>
            </w:r>
          </w:p>
        </w:tc>
        <w:tc>
          <w:tcPr>
            <w:tcW w:w="1280" w:type="dxa"/>
          </w:tcPr>
          <w:p w14:paraId="206695D7" w14:textId="0391DE39" w:rsidR="00D33192" w:rsidRDefault="007F13BC" w:rsidP="00D33192">
            <w:pPr>
              <w:jc w:val="center"/>
            </w:pPr>
            <w:r>
              <w:t>20</w:t>
            </w:r>
            <w:r w:rsidR="00D33192">
              <w:t>%</w:t>
            </w:r>
          </w:p>
        </w:tc>
      </w:tr>
      <w:tr w:rsidR="00D33192" w14:paraId="79DB93CE" w14:textId="77777777" w:rsidTr="00D33192">
        <w:tc>
          <w:tcPr>
            <w:tcW w:w="1170" w:type="dxa"/>
          </w:tcPr>
          <w:p w14:paraId="01DEC862" w14:textId="305980F4" w:rsidR="00D33192" w:rsidRDefault="00D33192" w:rsidP="00D33192">
            <w:pPr>
              <w:jc w:val="center"/>
            </w:pPr>
            <w:r>
              <w:t>5.2</w:t>
            </w:r>
          </w:p>
        </w:tc>
        <w:tc>
          <w:tcPr>
            <w:tcW w:w="4212" w:type="dxa"/>
          </w:tcPr>
          <w:p w14:paraId="5ABA1651" w14:textId="3880FB5A" w:rsidR="00D33192" w:rsidRPr="006A087F" w:rsidRDefault="003046A2" w:rsidP="00D33192">
            <w:pPr>
              <w:rPr>
                <w:highlight w:val="yellow"/>
              </w:rPr>
            </w:pPr>
            <w:r>
              <w:rPr>
                <w:rFonts w:cstheme="minorHAnsi"/>
              </w:rPr>
              <w:t>To allow for the possibility that Potential Provider IT Systems might be used to meet this requirement,</w:t>
            </w:r>
            <w:r>
              <w:t xml:space="preserve"> </w:t>
            </w:r>
            <w:r>
              <w:rPr>
                <w:rFonts w:cstheme="minorHAnsi"/>
              </w:rPr>
              <w:t xml:space="preserve">Potential Providers are asked to describe what methods they can support for the secure </w:t>
            </w:r>
            <w:r>
              <w:rPr>
                <w:rFonts w:cstheme="minorHAnsi"/>
              </w:rPr>
              <w:lastRenderedPageBreak/>
              <w:t>sharing of information electronically with the Authority. This should include the sharing of information via email and, where relevant, via an online portal and online meetings. This should include, in all cases a description of the method of encryption used.</w:t>
            </w:r>
          </w:p>
        </w:tc>
        <w:tc>
          <w:tcPr>
            <w:tcW w:w="1417" w:type="dxa"/>
          </w:tcPr>
          <w:p w14:paraId="2FF6FC8B" w14:textId="40DE4967" w:rsidR="00D33192" w:rsidRPr="006A087F" w:rsidRDefault="00720C63" w:rsidP="00D33192">
            <w:pPr>
              <w:jc w:val="center"/>
              <w:rPr>
                <w:highlight w:val="yellow"/>
              </w:rPr>
            </w:pPr>
            <w:r w:rsidRPr="00720C63">
              <w:lastRenderedPageBreak/>
              <w:t>50</w:t>
            </w:r>
          </w:p>
        </w:tc>
        <w:tc>
          <w:tcPr>
            <w:tcW w:w="1271" w:type="dxa"/>
          </w:tcPr>
          <w:p w14:paraId="3143262E" w14:textId="77777777" w:rsidR="00D33192" w:rsidRDefault="00D33192" w:rsidP="00D33192">
            <w:pPr>
              <w:jc w:val="center"/>
            </w:pPr>
            <w:r>
              <w:t>100</w:t>
            </w:r>
          </w:p>
        </w:tc>
        <w:tc>
          <w:tcPr>
            <w:tcW w:w="1280" w:type="dxa"/>
          </w:tcPr>
          <w:p w14:paraId="781C89B3" w14:textId="3F804A30" w:rsidR="00D33192" w:rsidRDefault="007F13BC" w:rsidP="00D33192">
            <w:pPr>
              <w:jc w:val="center"/>
            </w:pPr>
            <w:r>
              <w:t>10</w:t>
            </w:r>
            <w:r w:rsidR="00D33192">
              <w:t>%</w:t>
            </w:r>
          </w:p>
        </w:tc>
      </w:tr>
      <w:tr w:rsidR="00D33192" w14:paraId="33071E5C" w14:textId="77777777" w:rsidTr="00D33192">
        <w:tc>
          <w:tcPr>
            <w:tcW w:w="1170" w:type="dxa"/>
          </w:tcPr>
          <w:p w14:paraId="77C248BC" w14:textId="5721F591" w:rsidR="00D33192" w:rsidRDefault="00D33192" w:rsidP="00D33192">
            <w:pPr>
              <w:jc w:val="center"/>
            </w:pPr>
            <w:r>
              <w:t>5.3</w:t>
            </w:r>
          </w:p>
        </w:tc>
        <w:tc>
          <w:tcPr>
            <w:tcW w:w="4212" w:type="dxa"/>
          </w:tcPr>
          <w:p w14:paraId="736D3AB9" w14:textId="217B30EF" w:rsidR="00D33192" w:rsidRPr="009802F4" w:rsidRDefault="003046A2" w:rsidP="003046A2">
            <w:r>
              <w:t xml:space="preserve">Potential Providers should describe in detail what physical security measures in place in any data centres, or other buildings, used to host the Authority’s data.  Where any relevant independent security-related certification (e.g. such as ISO27001) is held, the Potential Provider should state the scope of the certification and provide copies of any relevant certificates as part of their response.   Potential Providers should also state in what country, or countries, Authority data would be hosted.   </w:t>
            </w:r>
          </w:p>
        </w:tc>
        <w:tc>
          <w:tcPr>
            <w:tcW w:w="1417" w:type="dxa"/>
          </w:tcPr>
          <w:p w14:paraId="4072B0BC" w14:textId="1C918C86" w:rsidR="00D33192" w:rsidRPr="006A087F" w:rsidRDefault="00720C63" w:rsidP="00D33192">
            <w:pPr>
              <w:jc w:val="center"/>
              <w:rPr>
                <w:highlight w:val="yellow"/>
              </w:rPr>
            </w:pPr>
            <w:r w:rsidRPr="00720C63">
              <w:t>50</w:t>
            </w:r>
          </w:p>
        </w:tc>
        <w:tc>
          <w:tcPr>
            <w:tcW w:w="1271" w:type="dxa"/>
          </w:tcPr>
          <w:p w14:paraId="0AF2FAEF" w14:textId="77777777" w:rsidR="00D33192" w:rsidRDefault="00D33192" w:rsidP="00D33192">
            <w:pPr>
              <w:jc w:val="center"/>
            </w:pPr>
            <w:r>
              <w:t>100</w:t>
            </w:r>
          </w:p>
        </w:tc>
        <w:tc>
          <w:tcPr>
            <w:tcW w:w="1280" w:type="dxa"/>
          </w:tcPr>
          <w:p w14:paraId="2691661D" w14:textId="2E84FC9D" w:rsidR="00D33192" w:rsidRDefault="007F13BC" w:rsidP="00D33192">
            <w:pPr>
              <w:jc w:val="center"/>
            </w:pPr>
            <w:r>
              <w:t>15</w:t>
            </w:r>
            <w:r w:rsidR="00D33192">
              <w:t>%</w:t>
            </w:r>
          </w:p>
        </w:tc>
      </w:tr>
      <w:tr w:rsidR="00D33192" w14:paraId="36E98B7F" w14:textId="77777777" w:rsidTr="00D33192">
        <w:tc>
          <w:tcPr>
            <w:tcW w:w="1170" w:type="dxa"/>
          </w:tcPr>
          <w:p w14:paraId="33246F43" w14:textId="62409772" w:rsidR="00D33192" w:rsidRDefault="00D33192" w:rsidP="00D33192">
            <w:pPr>
              <w:jc w:val="center"/>
            </w:pPr>
            <w:r>
              <w:t>5.4</w:t>
            </w:r>
          </w:p>
        </w:tc>
        <w:tc>
          <w:tcPr>
            <w:tcW w:w="4212" w:type="dxa"/>
          </w:tcPr>
          <w:p w14:paraId="17CD2DE4" w14:textId="2B2B976F" w:rsidR="00D33192" w:rsidRPr="006A087F" w:rsidRDefault="007F13BC" w:rsidP="003046A2">
            <w:pPr>
              <w:rPr>
                <w:highlight w:val="yellow"/>
              </w:rPr>
            </w:pPr>
            <w:r w:rsidRPr="007F13BC">
              <w:t xml:space="preserve">Potential Providers are asking to confirm whether the pre-employment checks they subject their staff to are at least equivalent to the Government Baseline Personnel Security Standard.    </w:t>
            </w:r>
            <w:r w:rsidR="009802F4">
              <w:br/>
            </w:r>
            <w:r w:rsidR="009802F4">
              <w:br/>
            </w:r>
            <w:r w:rsidRPr="007F13BC">
              <w:t>Where that is not the case Potential Providers are asked to set out what pre employment checks they make in relation to their staff</w:t>
            </w:r>
          </w:p>
        </w:tc>
        <w:tc>
          <w:tcPr>
            <w:tcW w:w="1417" w:type="dxa"/>
          </w:tcPr>
          <w:p w14:paraId="3566416C" w14:textId="2E05D966" w:rsidR="00D33192" w:rsidRPr="006A087F" w:rsidRDefault="00720C63" w:rsidP="00D33192">
            <w:pPr>
              <w:jc w:val="center"/>
              <w:rPr>
                <w:highlight w:val="yellow"/>
              </w:rPr>
            </w:pPr>
            <w:r w:rsidRPr="00720C63">
              <w:t>50</w:t>
            </w:r>
          </w:p>
        </w:tc>
        <w:tc>
          <w:tcPr>
            <w:tcW w:w="1271" w:type="dxa"/>
          </w:tcPr>
          <w:p w14:paraId="2EE88B8D" w14:textId="77777777" w:rsidR="00D33192" w:rsidRDefault="00D33192" w:rsidP="00D33192">
            <w:pPr>
              <w:jc w:val="center"/>
            </w:pPr>
            <w:r>
              <w:t>100</w:t>
            </w:r>
          </w:p>
        </w:tc>
        <w:tc>
          <w:tcPr>
            <w:tcW w:w="1280" w:type="dxa"/>
          </w:tcPr>
          <w:p w14:paraId="2A3E665B" w14:textId="32C0D415" w:rsidR="00D33192" w:rsidRDefault="007F13BC" w:rsidP="00D33192">
            <w:pPr>
              <w:jc w:val="center"/>
            </w:pPr>
            <w:r>
              <w:t>15</w:t>
            </w:r>
            <w:r w:rsidR="00D33192">
              <w:t>%</w:t>
            </w:r>
          </w:p>
        </w:tc>
      </w:tr>
      <w:tr w:rsidR="003046A2" w14:paraId="5D4FDC9E" w14:textId="77777777" w:rsidTr="00D33192">
        <w:tc>
          <w:tcPr>
            <w:tcW w:w="1170" w:type="dxa"/>
          </w:tcPr>
          <w:p w14:paraId="03AB9C32" w14:textId="6CECD52F" w:rsidR="003046A2" w:rsidRDefault="003046A2" w:rsidP="00D33192">
            <w:pPr>
              <w:jc w:val="center"/>
            </w:pPr>
            <w:r>
              <w:t>5.5</w:t>
            </w:r>
          </w:p>
        </w:tc>
        <w:tc>
          <w:tcPr>
            <w:tcW w:w="4212" w:type="dxa"/>
          </w:tcPr>
          <w:p w14:paraId="17AF4B45" w14:textId="0E1113D9" w:rsidR="007F13BC" w:rsidRDefault="007F13BC" w:rsidP="007F13BC">
            <w:pPr>
              <w:rPr>
                <w:rFonts w:asciiTheme="minorHAnsi" w:hAnsiTheme="minorHAnsi"/>
              </w:rPr>
            </w:pPr>
            <w:r>
              <w:t>In relation to suspected or actual security breaches that might occur related to Authority data/information, Potential Providers are requested to set out their approach to</w:t>
            </w:r>
            <w:r w:rsidR="009802F4">
              <w:t>:</w:t>
            </w:r>
          </w:p>
          <w:p w14:paraId="3AE7535C" w14:textId="40332933" w:rsidR="007F13BC" w:rsidRPr="00B6583F" w:rsidRDefault="007F13BC" w:rsidP="007F13BC">
            <w:pPr>
              <w:pStyle w:val="ListParagraph"/>
              <w:numPr>
                <w:ilvl w:val="0"/>
                <w:numId w:val="12"/>
              </w:numPr>
              <w:spacing w:before="0" w:after="160" w:line="256" w:lineRule="auto"/>
              <w:contextualSpacing/>
            </w:pPr>
            <w:r w:rsidRPr="00B6583F">
              <w:lastRenderedPageBreak/>
              <w:t>monitoring for any such security breaches</w:t>
            </w:r>
            <w:r w:rsidR="009802F4">
              <w:t>.</w:t>
            </w:r>
          </w:p>
          <w:p w14:paraId="5775D13A" w14:textId="05C05A4E" w:rsidR="007F13BC" w:rsidRPr="00B6583F" w:rsidRDefault="007F13BC" w:rsidP="007F13BC">
            <w:pPr>
              <w:pStyle w:val="ListParagraph"/>
              <w:numPr>
                <w:ilvl w:val="0"/>
                <w:numId w:val="12"/>
              </w:numPr>
              <w:spacing w:before="0" w:after="160" w:line="256" w:lineRule="auto"/>
              <w:contextualSpacing/>
            </w:pPr>
            <w:r w:rsidRPr="00B6583F">
              <w:t xml:space="preserve">Providing initial notifications of such breaches to the Authority </w:t>
            </w:r>
            <w:r w:rsidR="009802F4">
              <w:t>.</w:t>
            </w:r>
          </w:p>
          <w:p w14:paraId="5DE891FC" w14:textId="3F550E78" w:rsidR="007F13BC" w:rsidRPr="00B6583F" w:rsidRDefault="007F13BC" w:rsidP="007F13BC">
            <w:pPr>
              <w:pStyle w:val="ListParagraph"/>
              <w:numPr>
                <w:ilvl w:val="0"/>
                <w:numId w:val="12"/>
              </w:numPr>
              <w:spacing w:before="0" w:after="160" w:line="256" w:lineRule="auto"/>
              <w:contextualSpacing/>
            </w:pPr>
            <w:r w:rsidRPr="00B6583F">
              <w:t>Investigating identified security breaches</w:t>
            </w:r>
            <w:r w:rsidR="009802F4">
              <w:t>.</w:t>
            </w:r>
          </w:p>
          <w:p w14:paraId="3E354A50" w14:textId="77777777" w:rsidR="007F13BC" w:rsidRDefault="007F13BC" w:rsidP="007F13BC">
            <w:pPr>
              <w:pStyle w:val="ListParagraph"/>
              <w:numPr>
                <w:ilvl w:val="0"/>
                <w:numId w:val="12"/>
              </w:numPr>
              <w:spacing w:before="0" w:after="160" w:line="256" w:lineRule="auto"/>
              <w:contextualSpacing/>
            </w:pPr>
            <w:r w:rsidRPr="00B6583F">
              <w:t xml:space="preserve">Reporting on security breaches to the Authority both during investigation and post-investigation. </w:t>
            </w:r>
          </w:p>
          <w:p w14:paraId="6993E834" w14:textId="659EEFFC" w:rsidR="003046A2" w:rsidRPr="009802F4" w:rsidRDefault="009802F4" w:rsidP="009802F4">
            <w:pPr>
              <w:pStyle w:val="ListParagraph"/>
              <w:numPr>
                <w:ilvl w:val="0"/>
                <w:numId w:val="12"/>
              </w:numPr>
              <w:spacing w:before="0" w:after="160" w:line="256" w:lineRule="auto"/>
              <w:contextualSpacing/>
            </w:pPr>
            <w:r>
              <w:t xml:space="preserve">Ensuring that lessons learned and the causes of security breaches are appropriately addressed. </w:t>
            </w:r>
          </w:p>
        </w:tc>
        <w:tc>
          <w:tcPr>
            <w:tcW w:w="1417" w:type="dxa"/>
          </w:tcPr>
          <w:p w14:paraId="6A3FFC03" w14:textId="78FB637E" w:rsidR="003046A2" w:rsidRPr="006A087F" w:rsidRDefault="00720C63" w:rsidP="00D33192">
            <w:pPr>
              <w:jc w:val="center"/>
              <w:rPr>
                <w:highlight w:val="yellow"/>
              </w:rPr>
            </w:pPr>
            <w:r w:rsidRPr="00720C63">
              <w:lastRenderedPageBreak/>
              <w:t>50</w:t>
            </w:r>
          </w:p>
        </w:tc>
        <w:tc>
          <w:tcPr>
            <w:tcW w:w="1271" w:type="dxa"/>
          </w:tcPr>
          <w:p w14:paraId="33B3F939" w14:textId="3D09B983" w:rsidR="003046A2" w:rsidRDefault="007F13BC" w:rsidP="00D33192">
            <w:pPr>
              <w:jc w:val="center"/>
            </w:pPr>
            <w:r>
              <w:t>100</w:t>
            </w:r>
          </w:p>
        </w:tc>
        <w:tc>
          <w:tcPr>
            <w:tcW w:w="1280" w:type="dxa"/>
          </w:tcPr>
          <w:p w14:paraId="1A6CDC65" w14:textId="05FAC7F7" w:rsidR="003046A2" w:rsidRDefault="007F13BC" w:rsidP="00D33192">
            <w:pPr>
              <w:jc w:val="center"/>
            </w:pPr>
            <w:r>
              <w:t>10%</w:t>
            </w:r>
          </w:p>
        </w:tc>
      </w:tr>
      <w:tr w:rsidR="003046A2" w14:paraId="6FC021B8" w14:textId="77777777" w:rsidTr="00D33192">
        <w:tc>
          <w:tcPr>
            <w:tcW w:w="1170" w:type="dxa"/>
          </w:tcPr>
          <w:p w14:paraId="492A1B35" w14:textId="621749DF" w:rsidR="003046A2" w:rsidRDefault="003046A2" w:rsidP="00D33192">
            <w:pPr>
              <w:jc w:val="center"/>
            </w:pPr>
            <w:r>
              <w:t>5.6</w:t>
            </w:r>
          </w:p>
        </w:tc>
        <w:tc>
          <w:tcPr>
            <w:tcW w:w="4212" w:type="dxa"/>
          </w:tcPr>
          <w:p w14:paraId="6F6294EC" w14:textId="65177C99" w:rsidR="003046A2" w:rsidRPr="006A087F" w:rsidRDefault="007F13BC" w:rsidP="00D33192">
            <w:pPr>
              <w:rPr>
                <w:highlight w:val="yellow"/>
              </w:rPr>
            </w:pPr>
            <w:r>
              <w:t xml:space="preserve">Potential Providers are asked to describe the measures they have in place to ensure compliance with the </w:t>
            </w:r>
            <w:hyperlink r:id="rId15" w:history="1">
              <w:r>
                <w:rPr>
                  <w:rStyle w:val="Hyperlink"/>
                </w:rPr>
                <w:t>Data Protection Act (DPA) 1998</w:t>
              </w:r>
            </w:hyperlink>
            <w:r w:rsidR="00B6583F">
              <w:t xml:space="preserve">. </w:t>
            </w:r>
            <w:r>
              <w:t>They should also state clearly in which country, or countries, any Authority data processed/stored as part of their proposed solution would be hosted.</w:t>
            </w:r>
          </w:p>
        </w:tc>
        <w:tc>
          <w:tcPr>
            <w:tcW w:w="1417" w:type="dxa"/>
          </w:tcPr>
          <w:p w14:paraId="33F80551" w14:textId="2511D038" w:rsidR="003046A2" w:rsidRPr="009802F4" w:rsidRDefault="00720C63" w:rsidP="00D33192">
            <w:pPr>
              <w:jc w:val="center"/>
            </w:pPr>
            <w:r w:rsidRPr="00720C63">
              <w:t>50</w:t>
            </w:r>
          </w:p>
        </w:tc>
        <w:tc>
          <w:tcPr>
            <w:tcW w:w="1271" w:type="dxa"/>
          </w:tcPr>
          <w:p w14:paraId="4CF0B756" w14:textId="27B79C61" w:rsidR="003046A2" w:rsidRDefault="007F13BC" w:rsidP="00D33192">
            <w:pPr>
              <w:jc w:val="center"/>
            </w:pPr>
            <w:r>
              <w:t>100</w:t>
            </w:r>
          </w:p>
        </w:tc>
        <w:tc>
          <w:tcPr>
            <w:tcW w:w="1280" w:type="dxa"/>
          </w:tcPr>
          <w:p w14:paraId="49B63FF3" w14:textId="4ACD219E" w:rsidR="003046A2" w:rsidRDefault="007F13BC" w:rsidP="00D33192">
            <w:pPr>
              <w:jc w:val="center"/>
            </w:pPr>
            <w:r>
              <w:t>15%</w:t>
            </w:r>
          </w:p>
        </w:tc>
      </w:tr>
      <w:tr w:rsidR="003046A2" w14:paraId="05BE344A" w14:textId="77777777" w:rsidTr="00D33192">
        <w:tc>
          <w:tcPr>
            <w:tcW w:w="1170" w:type="dxa"/>
          </w:tcPr>
          <w:p w14:paraId="163F85B0" w14:textId="6C8EEE46" w:rsidR="003046A2" w:rsidRDefault="003046A2" w:rsidP="00D33192">
            <w:pPr>
              <w:jc w:val="center"/>
            </w:pPr>
            <w:r>
              <w:t>5.7</w:t>
            </w:r>
          </w:p>
        </w:tc>
        <w:tc>
          <w:tcPr>
            <w:tcW w:w="4212" w:type="dxa"/>
          </w:tcPr>
          <w:p w14:paraId="1DF863D1" w14:textId="1061A964" w:rsidR="003046A2" w:rsidRPr="006A087F" w:rsidRDefault="007F13BC" w:rsidP="00D33192">
            <w:pPr>
              <w:rPr>
                <w:highlight w:val="yellow"/>
              </w:rPr>
            </w:pPr>
            <w:r>
              <w:t>Potential Providers are expected to be compliant with the General Data Protection R</w:t>
            </w:r>
            <w:r w:rsidR="009802F4">
              <w:t xml:space="preserve">egulations (GDPR) by May 2018. </w:t>
            </w:r>
            <w:r w:rsidR="009802F4">
              <w:br/>
            </w:r>
            <w:r w:rsidR="009802F4">
              <w:br/>
            </w:r>
            <w:r>
              <w:t xml:space="preserve">Potential Providers are asked to confirm that they will be and to summarise how they either currently achieve compliance, or how they will achieve compliance by May 2018.  </w:t>
            </w:r>
          </w:p>
        </w:tc>
        <w:tc>
          <w:tcPr>
            <w:tcW w:w="1417" w:type="dxa"/>
          </w:tcPr>
          <w:p w14:paraId="5D1A0936" w14:textId="08DF6605" w:rsidR="003046A2" w:rsidRPr="009802F4" w:rsidRDefault="00720C63" w:rsidP="00D33192">
            <w:pPr>
              <w:jc w:val="center"/>
            </w:pPr>
            <w:r w:rsidRPr="00720C63">
              <w:t>50</w:t>
            </w:r>
          </w:p>
        </w:tc>
        <w:tc>
          <w:tcPr>
            <w:tcW w:w="1271" w:type="dxa"/>
          </w:tcPr>
          <w:p w14:paraId="4AE056FA" w14:textId="25CC8322" w:rsidR="003046A2" w:rsidRDefault="007F13BC" w:rsidP="00D33192">
            <w:pPr>
              <w:jc w:val="center"/>
            </w:pPr>
            <w:r>
              <w:t>100</w:t>
            </w:r>
          </w:p>
        </w:tc>
        <w:tc>
          <w:tcPr>
            <w:tcW w:w="1280" w:type="dxa"/>
          </w:tcPr>
          <w:p w14:paraId="1B75800D" w14:textId="275128FD" w:rsidR="003046A2" w:rsidRDefault="007F13BC" w:rsidP="00D33192">
            <w:pPr>
              <w:jc w:val="center"/>
            </w:pPr>
            <w:r>
              <w:t>15%</w:t>
            </w:r>
          </w:p>
        </w:tc>
      </w:tr>
    </w:tbl>
    <w:p w14:paraId="0FD28E9A" w14:textId="76E6D721" w:rsidR="00D33192" w:rsidRDefault="009802F4">
      <w:r>
        <w:br/>
      </w:r>
      <w:r>
        <w:br/>
      </w:r>
      <w:r>
        <w:br/>
      </w:r>
      <w:r>
        <w:br/>
      </w:r>
      <w:r>
        <w:br/>
      </w:r>
      <w:r>
        <w:br/>
      </w:r>
    </w:p>
    <w:tbl>
      <w:tblPr>
        <w:tblStyle w:val="TableGrid"/>
        <w:tblW w:w="9606" w:type="dxa"/>
        <w:tblLook w:val="04A0" w:firstRow="1" w:lastRow="0" w:firstColumn="1" w:lastColumn="0" w:noHBand="0" w:noVBand="1"/>
      </w:tblPr>
      <w:tblGrid>
        <w:gridCol w:w="1359"/>
        <w:gridCol w:w="5837"/>
        <w:gridCol w:w="2410"/>
      </w:tblGrid>
      <w:tr w:rsidR="000C1EA7" w14:paraId="234A8A1C" w14:textId="77777777" w:rsidTr="00831B96">
        <w:tc>
          <w:tcPr>
            <w:tcW w:w="7196" w:type="dxa"/>
            <w:gridSpan w:val="2"/>
            <w:shd w:val="clear" w:color="auto" w:fill="000000" w:themeFill="text1"/>
            <w:vAlign w:val="center"/>
          </w:tcPr>
          <w:p w14:paraId="077AA9BF" w14:textId="2A94FE87" w:rsidR="000C1EA7" w:rsidRPr="000C1EA7" w:rsidRDefault="000C1EA7" w:rsidP="00831B96">
            <w:pPr>
              <w:spacing w:before="240" w:line="240" w:lineRule="auto"/>
              <w:rPr>
                <w:b/>
                <w:color w:val="FFFFFF" w:themeColor="background1"/>
              </w:rPr>
            </w:pPr>
            <w:r w:rsidRPr="000C1EA7">
              <w:rPr>
                <w:b/>
                <w:color w:val="FFFFFF" w:themeColor="background1"/>
              </w:rPr>
              <w:lastRenderedPageBreak/>
              <w:t>Q</w:t>
            </w:r>
            <w:r w:rsidR="00336532">
              <w:rPr>
                <w:b/>
                <w:color w:val="FFFFFF" w:themeColor="background1"/>
              </w:rPr>
              <w:t xml:space="preserve">UESTIONNAIRE </w:t>
            </w:r>
            <w:r w:rsidR="00E06316">
              <w:rPr>
                <w:b/>
                <w:color w:val="FFFFFF" w:themeColor="background1"/>
              </w:rPr>
              <w:t>6</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07CECAE6" w14:textId="1666459B" w:rsidR="000C1EA7" w:rsidRPr="000C1EA7" w:rsidRDefault="000C1EA7" w:rsidP="00B6583F">
            <w:pPr>
              <w:spacing w:before="240" w:line="240" w:lineRule="auto"/>
              <w:ind w:left="-391" w:firstLine="391"/>
              <w:jc w:val="right"/>
              <w:rPr>
                <w:b/>
                <w:color w:val="FFFFFF" w:themeColor="background1"/>
              </w:rPr>
            </w:pPr>
            <w:r w:rsidRPr="000C1EA7">
              <w:rPr>
                <w:b/>
                <w:color w:val="FFFFFF" w:themeColor="background1"/>
              </w:rPr>
              <w:t xml:space="preserve">Weighting – </w:t>
            </w:r>
            <w:r w:rsidR="00B6583F" w:rsidRPr="00B6583F">
              <w:rPr>
                <w:b/>
                <w:color w:val="FFFFFF" w:themeColor="background1"/>
              </w:rPr>
              <w:t>20</w:t>
            </w:r>
            <w:r w:rsidRPr="000C1EA7">
              <w:rPr>
                <w:b/>
                <w:color w:val="FFFFFF" w:themeColor="background1"/>
              </w:rPr>
              <w:t>%</w:t>
            </w:r>
          </w:p>
        </w:tc>
      </w:tr>
      <w:tr w:rsidR="000C1EA7" w14:paraId="51749A94" w14:textId="77777777" w:rsidTr="00336532">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48C5E39B" w14:textId="2DD3A7EC" w:rsidR="000C1EA7" w:rsidRPr="00B6583F" w:rsidRDefault="000C1EA7" w:rsidP="00831B96">
            <w:pPr>
              <w:spacing w:after="0" w:line="240" w:lineRule="auto"/>
            </w:pPr>
            <w:r w:rsidRPr="00B6583F">
              <w:t xml:space="preserve">Potential Providers must enter costs </w:t>
            </w:r>
            <w:r w:rsidR="00B6583F" w:rsidRPr="00B6583F">
              <w:t xml:space="preserve">by </w:t>
            </w:r>
            <w:r w:rsidR="0070789D" w:rsidRPr="00B6583F">
              <w:t>upload</w:t>
            </w:r>
            <w:r w:rsidR="00B6583F" w:rsidRPr="00B6583F">
              <w:t>ing</w:t>
            </w:r>
            <w:r w:rsidR="0070789D" w:rsidRPr="00B6583F">
              <w:t xml:space="preserve"> the price schedule at the question level </w:t>
            </w:r>
            <w:r w:rsidRPr="00B6583F">
              <w:t>on the e-Sourcing event.</w:t>
            </w:r>
          </w:p>
          <w:p w14:paraId="0169A5F3" w14:textId="77777777" w:rsidR="00943DAE" w:rsidRPr="00B6583F" w:rsidRDefault="00943DAE" w:rsidP="00831B96">
            <w:pPr>
              <w:spacing w:after="0" w:line="240" w:lineRule="auto"/>
            </w:pPr>
          </w:p>
          <w:p w14:paraId="4D101A84" w14:textId="29CD2901" w:rsidR="00943DAE" w:rsidRPr="00B6583F" w:rsidRDefault="00943DAE" w:rsidP="00831B96">
            <w:pPr>
              <w:spacing w:after="0" w:line="240" w:lineRule="auto"/>
            </w:pPr>
            <w:r w:rsidRPr="00B6583F">
              <w:t>Prices should be submitted in pounds Sterling inclusive of any expenses but exclusive of VAT.</w:t>
            </w:r>
          </w:p>
          <w:p w14:paraId="6AB992A3" w14:textId="77777777" w:rsidR="0070789D" w:rsidRPr="00B6583F" w:rsidRDefault="0070789D" w:rsidP="00831B96">
            <w:pPr>
              <w:spacing w:after="0" w:line="240" w:lineRule="auto"/>
            </w:pPr>
          </w:p>
          <w:p w14:paraId="61C804FF" w14:textId="232B3CC8" w:rsidR="0070789D" w:rsidRPr="000C1EA7" w:rsidRDefault="00F464DC" w:rsidP="00831B96">
            <w:pPr>
              <w:spacing w:after="0" w:line="240" w:lineRule="auto"/>
              <w:rPr>
                <w:sz w:val="20"/>
                <w:szCs w:val="20"/>
              </w:rPr>
            </w:pPr>
            <w:r w:rsidRPr="00B6583F">
              <w:t>Potential P</w:t>
            </w:r>
            <w:r w:rsidR="0070789D" w:rsidRPr="00B6583F">
              <w:t>roviders will be marked in accordance with the marking scheme at Section 2.</w:t>
            </w:r>
          </w:p>
        </w:tc>
      </w:tr>
      <w:tr w:rsidR="000C1EA7" w14:paraId="6159C5A7" w14:textId="77777777" w:rsidTr="00831B96">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410"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831B96">
        <w:tc>
          <w:tcPr>
            <w:tcW w:w="1359" w:type="dxa"/>
          </w:tcPr>
          <w:p w14:paraId="4C00877F" w14:textId="4A7DCD75" w:rsidR="000C1EA7" w:rsidRDefault="00E06316" w:rsidP="00EC34AD">
            <w:pPr>
              <w:spacing w:line="240" w:lineRule="auto"/>
              <w:jc w:val="center"/>
            </w:pPr>
            <w:r>
              <w:t>6.1</w:t>
            </w:r>
          </w:p>
        </w:tc>
        <w:tc>
          <w:tcPr>
            <w:tcW w:w="5837" w:type="dxa"/>
          </w:tcPr>
          <w:p w14:paraId="4B5B03FA" w14:textId="51B19C88" w:rsidR="000C1EA7" w:rsidRPr="00EC34AD" w:rsidRDefault="00943DAE" w:rsidP="00B6583F">
            <w:pPr>
              <w:spacing w:line="240" w:lineRule="auto"/>
              <w:rPr>
                <w:highlight w:val="yellow"/>
              </w:rPr>
            </w:pPr>
            <w:r w:rsidRPr="00B6583F">
              <w:t xml:space="preserve">Please confirm, by selecting ‘YES’ that you have </w:t>
            </w:r>
            <w:r w:rsidR="00F41778" w:rsidRPr="00B6583F">
              <w:t xml:space="preserve">attached </w:t>
            </w:r>
            <w:r w:rsidR="00B6583F" w:rsidRPr="00B6583F">
              <w:t>the</w:t>
            </w:r>
            <w:r w:rsidR="00F41778" w:rsidRPr="00B6583F">
              <w:t xml:space="preserve"> completed Price Schedule to the response to this question</w:t>
            </w:r>
            <w:r w:rsidR="00B6583F" w:rsidRPr="00B6583F">
              <w:t xml:space="preserve">. </w:t>
            </w:r>
            <w:r w:rsidR="00F41778" w:rsidRPr="00B6583F">
              <w:t>In so doing, you are also confirming that prices offered are inclusive o</w:t>
            </w:r>
            <w:r w:rsidR="001C0C3F" w:rsidRPr="00B6583F">
              <w:t>f any expenses, exclusive of VAT</w:t>
            </w:r>
            <w:r w:rsidR="00B6583F" w:rsidRPr="00B6583F">
              <w:t xml:space="preserve"> and firm for a period of </w:t>
            </w:r>
            <w:r w:rsidR="00F41778" w:rsidRPr="00B6583F">
              <w:t>90 days following the Deadline for Submission.</w:t>
            </w:r>
          </w:p>
        </w:tc>
        <w:tc>
          <w:tcPr>
            <w:tcW w:w="2410" w:type="dxa"/>
          </w:tcPr>
          <w:p w14:paraId="7DB47CC9" w14:textId="25A34C71" w:rsidR="000C1EA7" w:rsidRDefault="00EC34AD" w:rsidP="00EC34AD">
            <w:pPr>
              <w:spacing w:line="240" w:lineRule="auto"/>
              <w:jc w:val="center"/>
            </w:pPr>
            <w:r>
              <w:t>100</w:t>
            </w:r>
          </w:p>
        </w:tc>
      </w:tr>
    </w:tbl>
    <w:p w14:paraId="2F81ED60" w14:textId="3AB45F5A" w:rsidR="00155E58" w:rsidRDefault="00155E58">
      <w:pPr>
        <w:spacing w:after="0" w:line="240" w:lineRule="auto"/>
      </w:pPr>
    </w:p>
    <w:p w14:paraId="4EAA6EB3" w14:textId="77777777" w:rsidR="00155E58" w:rsidRPr="00155E58" w:rsidRDefault="00155E58" w:rsidP="00681EA9">
      <w:pPr>
        <w:spacing w:after="0" w:line="240" w:lineRule="auto"/>
        <w:ind w:left="720"/>
        <w:contextualSpacing/>
        <w:jc w:val="both"/>
        <w:rPr>
          <w:rFonts w:eastAsia="Times New Roman" w:cs="Arial"/>
          <w:b/>
        </w:rPr>
      </w:pPr>
    </w:p>
    <w:sectPr w:rsidR="00155E58" w:rsidRPr="00155E58" w:rsidSect="00F8743E">
      <w:headerReference w:type="even" r:id="rId16"/>
      <w:headerReference w:type="default" r:id="rId17"/>
      <w:footerReference w:type="even" r:id="rId18"/>
      <w:footerReference w:type="default" r:id="rId19"/>
      <w:headerReference w:type="first" r:id="rId20"/>
      <w:footerReference w:type="first" r:id="rId21"/>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470B1" w14:textId="77777777" w:rsidR="002153AD" w:rsidRDefault="002153AD">
      <w:pPr>
        <w:spacing w:after="0" w:line="240" w:lineRule="auto"/>
      </w:pPr>
      <w:r>
        <w:separator/>
      </w:r>
    </w:p>
  </w:endnote>
  <w:endnote w:type="continuationSeparator" w:id="0">
    <w:p w14:paraId="7BBCBD5D" w14:textId="77777777" w:rsidR="002153AD" w:rsidRDefault="002153AD">
      <w:pPr>
        <w:spacing w:after="0" w:line="240" w:lineRule="auto"/>
      </w:pPr>
      <w:r>
        <w:continuationSeparator/>
      </w:r>
    </w:p>
  </w:endnote>
  <w:endnote w:type="continuationNotice" w:id="1">
    <w:p w14:paraId="7614E94F" w14:textId="77777777" w:rsidR="002153AD" w:rsidRDefault="002153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Microsoft YaHei"/>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6E35F" w14:textId="77777777" w:rsidR="00CD1412" w:rsidRDefault="00CD14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206C60" w:rsidRDefault="00206C60" w:rsidP="00BD4A1D">
    <w:pPr>
      <w:pStyle w:val="Footer"/>
      <w:pBdr>
        <w:top w:val="single" w:sz="6" w:space="1" w:color="auto"/>
      </w:pBdr>
      <w:tabs>
        <w:tab w:val="right" w:pos="8647"/>
      </w:tabs>
      <w:rPr>
        <w:sz w:val="16"/>
        <w:szCs w:val="16"/>
      </w:rPr>
    </w:pPr>
  </w:p>
  <w:p w14:paraId="34EEED2F" w14:textId="77777777" w:rsidR="00206C60" w:rsidRDefault="00206C60" w:rsidP="00C67CA1">
    <w:pPr>
      <w:pStyle w:val="Footer"/>
      <w:jc w:val="center"/>
    </w:pPr>
    <w:r>
      <w:t>OFFICIAL</w:t>
    </w:r>
  </w:p>
  <w:p w14:paraId="4D0E06AE" w14:textId="77777777" w:rsidR="00206C60" w:rsidRDefault="00206C60" w:rsidP="00C67CA1">
    <w:pPr>
      <w:pStyle w:val="Footer"/>
    </w:pPr>
    <w:r>
      <w:t>Appendix D – Response Guidance</w:t>
    </w:r>
  </w:p>
  <w:p w14:paraId="2E231C8D" w14:textId="2BE07BFA" w:rsidR="00206C60" w:rsidRDefault="00206C60" w:rsidP="00C67CA1">
    <w:pPr>
      <w:pStyle w:val="Footer"/>
    </w:pPr>
    <w:r>
      <w:t>Lewis J Evans</w:t>
    </w:r>
  </w:p>
  <w:p w14:paraId="7659DFC1" w14:textId="2CC11AF4" w:rsidR="00206C60" w:rsidRDefault="00206C60" w:rsidP="00C67CA1">
    <w:pPr>
      <w:pStyle w:val="Footer"/>
    </w:pPr>
    <w:r>
      <w:rPr>
        <w:rFonts w:cs="Arial"/>
        <w:color w:val="222222"/>
        <w:sz w:val="19"/>
        <w:szCs w:val="19"/>
        <w:shd w:val="clear" w:color="auto" w:fill="FFFFFF"/>
      </w:rPr>
      <w:t>© Crown copyright 2016</w:t>
    </w:r>
  </w:p>
  <w:p w14:paraId="140B10D0" w14:textId="32BA5BDC" w:rsidR="00206C60" w:rsidRDefault="00206C60" w:rsidP="00C67CA1">
    <w:pPr>
      <w:pStyle w:val="Footer"/>
      <w:jc w:val="right"/>
    </w:pPr>
    <w:r>
      <w:t>V1.0 0</w:t>
    </w:r>
    <w:bookmarkStart w:id="0" w:name="_GoBack"/>
    <w:r w:rsidR="00C314FE">
      <w:t>8</w:t>
    </w:r>
    <w:bookmarkEnd w:id="0"/>
    <w:r>
      <w:t>/05/2018</w:t>
    </w:r>
  </w:p>
  <w:p w14:paraId="0790A8E6" w14:textId="30802AAC" w:rsidR="00206C60" w:rsidRDefault="002153AD" w:rsidP="00C67CA1">
    <w:pPr>
      <w:pStyle w:val="Footer"/>
      <w:jc w:val="center"/>
    </w:pPr>
    <w:sdt>
      <w:sdtPr>
        <w:id w:val="-1105721636"/>
        <w:docPartObj>
          <w:docPartGallery w:val="Page Numbers (Bottom of Page)"/>
          <w:docPartUnique/>
        </w:docPartObj>
      </w:sdtPr>
      <w:sdtEndPr>
        <w:rPr>
          <w:noProof/>
        </w:rPr>
      </w:sdtEndPr>
      <w:sdtContent>
        <w:r w:rsidR="00206C60">
          <w:fldChar w:fldCharType="begin"/>
        </w:r>
        <w:r w:rsidR="00206C60">
          <w:instrText xml:space="preserve"> PAGE   \* MERGEFORMAT </w:instrText>
        </w:r>
        <w:r w:rsidR="00206C60">
          <w:fldChar w:fldCharType="separate"/>
        </w:r>
        <w:r w:rsidR="00CD1412">
          <w:rPr>
            <w:noProof/>
          </w:rPr>
          <w:t>1</w:t>
        </w:r>
        <w:r w:rsidR="00206C60">
          <w:rPr>
            <w:noProof/>
          </w:rPr>
          <w:fldChar w:fldCharType="end"/>
        </w:r>
      </w:sdtContent>
    </w:sdt>
  </w:p>
  <w:p w14:paraId="278CD5DE" w14:textId="77777777" w:rsidR="00206C60" w:rsidRDefault="00206C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206C60" w:rsidRDefault="00206C60" w:rsidP="00CF7C82">
    <w:pPr>
      <w:pStyle w:val="Footer"/>
      <w:pBdr>
        <w:top w:val="single" w:sz="4" w:space="1" w:color="auto"/>
      </w:pBdr>
      <w:jc w:val="center"/>
    </w:pPr>
    <w:r>
      <w:t>OFFICIAL</w:t>
    </w:r>
  </w:p>
  <w:p w14:paraId="62072C58" w14:textId="3BD7C74C" w:rsidR="00206C60" w:rsidRDefault="00206C60" w:rsidP="00CF7C82">
    <w:pPr>
      <w:pStyle w:val="Footer"/>
      <w:pBdr>
        <w:top w:val="single" w:sz="4" w:space="1" w:color="auto"/>
      </w:pBdr>
    </w:pPr>
    <w:r>
      <w:t>Appendix D – Response Guidance</w:t>
    </w:r>
  </w:p>
  <w:p w14:paraId="46335F31" w14:textId="6FDBB77D" w:rsidR="00206C60" w:rsidRDefault="00206C60"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206C60" w:rsidRDefault="00206C60" w:rsidP="00CF7C82">
    <w:pPr>
      <w:pStyle w:val="Footer"/>
      <w:pBdr>
        <w:top w:val="single" w:sz="4" w:space="1" w:color="auto"/>
      </w:pBdr>
      <w:jc w:val="right"/>
    </w:pPr>
    <w:r>
      <w:t>V0.6 19/11/15</w:t>
    </w:r>
  </w:p>
  <w:p w14:paraId="4DA9F036" w14:textId="4559D95A" w:rsidR="00206C60" w:rsidRDefault="00206C60" w:rsidP="00C67CA1">
    <w:pPr>
      <w:pStyle w:val="Footer"/>
      <w:jc w:val="center"/>
    </w:pPr>
  </w:p>
  <w:p w14:paraId="2A10DA50" w14:textId="77777777" w:rsidR="00206C60" w:rsidRDefault="00206C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E0F2F" w14:textId="77777777" w:rsidR="002153AD" w:rsidRDefault="002153AD">
      <w:pPr>
        <w:spacing w:after="0" w:line="240" w:lineRule="auto"/>
      </w:pPr>
      <w:r>
        <w:separator/>
      </w:r>
    </w:p>
  </w:footnote>
  <w:footnote w:type="continuationSeparator" w:id="0">
    <w:p w14:paraId="467F4086" w14:textId="77777777" w:rsidR="002153AD" w:rsidRDefault="002153AD">
      <w:pPr>
        <w:spacing w:after="0" w:line="240" w:lineRule="auto"/>
      </w:pPr>
      <w:r>
        <w:continuationSeparator/>
      </w:r>
    </w:p>
  </w:footnote>
  <w:footnote w:type="continuationNotice" w:id="1">
    <w:p w14:paraId="6799DEB5" w14:textId="77777777" w:rsidR="002153AD" w:rsidRDefault="002153A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E2595" w14:textId="77777777" w:rsidR="00CD1412" w:rsidRDefault="00CD14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206C60" w:rsidRDefault="00206C60" w:rsidP="00C67CA1">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AB2D5C1" w:rsidR="00206C60" w:rsidRPr="00720C63" w:rsidRDefault="00206C60" w:rsidP="00625CDE">
    <w:pPr>
      <w:pStyle w:val="Header"/>
      <w:tabs>
        <w:tab w:val="left" w:pos="1884"/>
        <w:tab w:val="center" w:pos="4680"/>
      </w:tabs>
      <w:spacing w:after="0"/>
      <w:rPr>
        <w:b/>
      </w:rPr>
    </w:pPr>
    <w:r>
      <w:rPr>
        <w:sz w:val="20"/>
        <w:szCs w:val="20"/>
      </w:rPr>
      <w:tab/>
    </w:r>
    <w:r>
      <w:rPr>
        <w:sz w:val="20"/>
        <w:szCs w:val="20"/>
      </w:rPr>
      <w:tab/>
    </w:r>
    <w:r w:rsidRPr="00720C63">
      <w:rPr>
        <w:b/>
      </w:rPr>
      <w:t>Appendix D – Response Guidance</w:t>
    </w:r>
  </w:p>
  <w:p w14:paraId="6EECC685" w14:textId="38615BD7" w:rsidR="00206C60" w:rsidRPr="00F22C22" w:rsidRDefault="00206C60" w:rsidP="00F547BA">
    <w:pPr>
      <w:pStyle w:val="Header"/>
      <w:spacing w:after="0"/>
      <w:jc w:val="center"/>
      <w:rPr>
        <w:rFonts w:cs="Arial"/>
      </w:rPr>
    </w:pPr>
    <w:r w:rsidRPr="00F22C22">
      <w:rPr>
        <w:rFonts w:cs="Arial"/>
      </w:rPr>
      <w:t xml:space="preserve">The Provision of </w:t>
    </w:r>
    <w:r>
      <w:rPr>
        <w:rFonts w:cs="Arial"/>
      </w:rPr>
      <w:t>Royal Mint Limited (</w:t>
    </w:r>
    <w:r w:rsidRPr="00F22C22">
      <w:rPr>
        <w:rFonts w:cs="Arial"/>
      </w:rPr>
      <w:t>RML</w:t>
    </w:r>
    <w:r>
      <w:rPr>
        <w:rFonts w:cs="Arial"/>
      </w:rPr>
      <w:t>) Chair Executive Search for UKGI</w:t>
    </w:r>
  </w:p>
  <w:p w14:paraId="0C88C778" w14:textId="1C70FAD5" w:rsidR="00206C60" w:rsidRPr="00F22C22" w:rsidRDefault="00206C60" w:rsidP="00F547BA">
    <w:pPr>
      <w:pStyle w:val="Header"/>
      <w:spacing w:after="0"/>
      <w:jc w:val="center"/>
      <w:rPr>
        <w:sz w:val="20"/>
        <w:szCs w:val="20"/>
      </w:rPr>
    </w:pPr>
    <w:r w:rsidRPr="00720C63">
      <w:rPr>
        <w:rFonts w:cs="Arial"/>
      </w:rPr>
      <w:t>Contract Reference: CCHR18A30</w:t>
    </w:r>
  </w:p>
  <w:p w14:paraId="648AC685" w14:textId="0BCE5282" w:rsidR="00206C60" w:rsidRDefault="00206C60">
    <w:pPr>
      <w:pStyle w:val="Header"/>
    </w:pPr>
    <w:r>
      <w:rPr>
        <w:noProof/>
        <w:sz w:val="20"/>
        <w:szCs w:val="20"/>
        <w:lang w:eastAsia="en-GB"/>
      </w:rPr>
      <mc:AlternateContent>
        <mc:Choice Requires="wps">
          <w:drawing>
            <wp:anchor distT="0" distB="0" distL="114300" distR="114300" simplePos="0" relativeHeight="251658243"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28FE5A89"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206C60" w:rsidRDefault="00206C60"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206C60" w:rsidRDefault="00206C60" w:rsidP="00A840F2">
    <w:pPr>
      <w:pStyle w:val="Header"/>
      <w:spacing w:after="0"/>
      <w:jc w:val="center"/>
    </w:pPr>
    <w:r w:rsidRPr="00B51DFB">
      <w:t>Appendix D – Response Guidance</w:t>
    </w:r>
  </w:p>
  <w:p w14:paraId="5F46E552" w14:textId="2F08581A" w:rsidR="00206C60" w:rsidRPr="001F656C" w:rsidRDefault="00206C60"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206C60" w:rsidRDefault="00206C60"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206C60" w:rsidRPr="00F547BA" w:rsidRDefault="00206C60"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39CA24E2"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4B4E2894"/>
    <w:multiLevelType w:val="hybridMultilevel"/>
    <w:tmpl w:val="7286F012"/>
    <w:lvl w:ilvl="0" w:tplc="FD9AC6AC">
      <w:start w:val="7"/>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8"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614B4C62"/>
    <w:multiLevelType w:val="multilevel"/>
    <w:tmpl w:val="D728DC6A"/>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5"/>
  </w:num>
  <w:num w:numId="4">
    <w:abstractNumId w:val="2"/>
  </w:num>
  <w:num w:numId="5">
    <w:abstractNumId w:val="1"/>
  </w:num>
  <w:num w:numId="6">
    <w:abstractNumId w:val="11"/>
  </w:num>
  <w:num w:numId="7">
    <w:abstractNumId w:val="10"/>
  </w:num>
  <w:num w:numId="8">
    <w:abstractNumId w:val="0"/>
  </w:num>
  <w:num w:numId="9">
    <w:abstractNumId w:val="4"/>
  </w:num>
  <w:num w:numId="10">
    <w:abstractNumId w:val="8"/>
  </w:num>
  <w:num w:numId="11">
    <w:abstractNumId w:val="3"/>
  </w:num>
  <w:num w:numId="1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72EF"/>
    <w:rsid w:val="0001791A"/>
    <w:rsid w:val="00017EB6"/>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75F3"/>
    <w:rsid w:val="00097A29"/>
    <w:rsid w:val="000A1EB4"/>
    <w:rsid w:val="000A599D"/>
    <w:rsid w:val="000B5312"/>
    <w:rsid w:val="000C1EA7"/>
    <w:rsid w:val="000C3065"/>
    <w:rsid w:val="000C3D78"/>
    <w:rsid w:val="000C48C9"/>
    <w:rsid w:val="000C5B6F"/>
    <w:rsid w:val="000C6D3C"/>
    <w:rsid w:val="000D0FDF"/>
    <w:rsid w:val="000D3530"/>
    <w:rsid w:val="000D6259"/>
    <w:rsid w:val="000D7AA8"/>
    <w:rsid w:val="000D7CB3"/>
    <w:rsid w:val="000D7EC9"/>
    <w:rsid w:val="000E2278"/>
    <w:rsid w:val="000F11B7"/>
    <w:rsid w:val="000F273C"/>
    <w:rsid w:val="000F32D5"/>
    <w:rsid w:val="001005DC"/>
    <w:rsid w:val="00104368"/>
    <w:rsid w:val="00112BE4"/>
    <w:rsid w:val="001146E5"/>
    <w:rsid w:val="001149B6"/>
    <w:rsid w:val="00114C1B"/>
    <w:rsid w:val="00116D2B"/>
    <w:rsid w:val="00117102"/>
    <w:rsid w:val="00121FC3"/>
    <w:rsid w:val="0012455C"/>
    <w:rsid w:val="001259B8"/>
    <w:rsid w:val="00127C13"/>
    <w:rsid w:val="001373DE"/>
    <w:rsid w:val="001374DA"/>
    <w:rsid w:val="00137B9D"/>
    <w:rsid w:val="00142AD0"/>
    <w:rsid w:val="00144C08"/>
    <w:rsid w:val="0014662E"/>
    <w:rsid w:val="00147082"/>
    <w:rsid w:val="001500F7"/>
    <w:rsid w:val="00150798"/>
    <w:rsid w:val="001545E8"/>
    <w:rsid w:val="001549E1"/>
    <w:rsid w:val="00155E58"/>
    <w:rsid w:val="001705E5"/>
    <w:rsid w:val="00174E62"/>
    <w:rsid w:val="00175FA1"/>
    <w:rsid w:val="00180997"/>
    <w:rsid w:val="00181392"/>
    <w:rsid w:val="00182847"/>
    <w:rsid w:val="0018399E"/>
    <w:rsid w:val="001856DB"/>
    <w:rsid w:val="00186894"/>
    <w:rsid w:val="00190D60"/>
    <w:rsid w:val="00195580"/>
    <w:rsid w:val="00195582"/>
    <w:rsid w:val="00195826"/>
    <w:rsid w:val="00195F8A"/>
    <w:rsid w:val="00197566"/>
    <w:rsid w:val="001A064A"/>
    <w:rsid w:val="001A6F00"/>
    <w:rsid w:val="001A778E"/>
    <w:rsid w:val="001B0C8B"/>
    <w:rsid w:val="001B1A63"/>
    <w:rsid w:val="001B4850"/>
    <w:rsid w:val="001B5640"/>
    <w:rsid w:val="001B7480"/>
    <w:rsid w:val="001C0C3F"/>
    <w:rsid w:val="001C0E37"/>
    <w:rsid w:val="001C1BDF"/>
    <w:rsid w:val="001D0F95"/>
    <w:rsid w:val="001D1821"/>
    <w:rsid w:val="001D24E3"/>
    <w:rsid w:val="001D2ECD"/>
    <w:rsid w:val="001D2FD2"/>
    <w:rsid w:val="001D76A5"/>
    <w:rsid w:val="001E24AC"/>
    <w:rsid w:val="001E2B9B"/>
    <w:rsid w:val="001E314E"/>
    <w:rsid w:val="001E3A02"/>
    <w:rsid w:val="001E6B95"/>
    <w:rsid w:val="001E6F1D"/>
    <w:rsid w:val="001E7757"/>
    <w:rsid w:val="001F0B62"/>
    <w:rsid w:val="001F3DA3"/>
    <w:rsid w:val="001F4808"/>
    <w:rsid w:val="001F656C"/>
    <w:rsid w:val="001F7E70"/>
    <w:rsid w:val="00200C39"/>
    <w:rsid w:val="0020522C"/>
    <w:rsid w:val="00206C60"/>
    <w:rsid w:val="002129E4"/>
    <w:rsid w:val="002153AD"/>
    <w:rsid w:val="00216B6F"/>
    <w:rsid w:val="00216CEF"/>
    <w:rsid w:val="00216F98"/>
    <w:rsid w:val="00217410"/>
    <w:rsid w:val="002245DD"/>
    <w:rsid w:val="002275E1"/>
    <w:rsid w:val="0022770A"/>
    <w:rsid w:val="002307F5"/>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409C"/>
    <w:rsid w:val="00277914"/>
    <w:rsid w:val="00283A43"/>
    <w:rsid w:val="00284F46"/>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4DE"/>
    <w:rsid w:val="002C7DFE"/>
    <w:rsid w:val="002D1958"/>
    <w:rsid w:val="002D4568"/>
    <w:rsid w:val="002D4BEB"/>
    <w:rsid w:val="002D68E1"/>
    <w:rsid w:val="002E0C4A"/>
    <w:rsid w:val="002E1AC3"/>
    <w:rsid w:val="002E6422"/>
    <w:rsid w:val="002F090B"/>
    <w:rsid w:val="002F58AC"/>
    <w:rsid w:val="002F61DA"/>
    <w:rsid w:val="002F6D61"/>
    <w:rsid w:val="00303167"/>
    <w:rsid w:val="00303CB4"/>
    <w:rsid w:val="003046A2"/>
    <w:rsid w:val="00305944"/>
    <w:rsid w:val="003110F7"/>
    <w:rsid w:val="00314042"/>
    <w:rsid w:val="00314CAF"/>
    <w:rsid w:val="00314FCB"/>
    <w:rsid w:val="00315BBA"/>
    <w:rsid w:val="003246B6"/>
    <w:rsid w:val="00326B57"/>
    <w:rsid w:val="0032720C"/>
    <w:rsid w:val="003306F8"/>
    <w:rsid w:val="003347C1"/>
    <w:rsid w:val="00334C95"/>
    <w:rsid w:val="00336532"/>
    <w:rsid w:val="003369F6"/>
    <w:rsid w:val="00340D69"/>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164A"/>
    <w:rsid w:val="00393A4D"/>
    <w:rsid w:val="00394222"/>
    <w:rsid w:val="00395293"/>
    <w:rsid w:val="003A05C7"/>
    <w:rsid w:val="003A07EF"/>
    <w:rsid w:val="003A5350"/>
    <w:rsid w:val="003A6612"/>
    <w:rsid w:val="003A6C28"/>
    <w:rsid w:val="003A7BDD"/>
    <w:rsid w:val="003B0D4D"/>
    <w:rsid w:val="003B26C6"/>
    <w:rsid w:val="003B2F0B"/>
    <w:rsid w:val="003B71BF"/>
    <w:rsid w:val="003C1DA4"/>
    <w:rsid w:val="003C3F0E"/>
    <w:rsid w:val="003C516E"/>
    <w:rsid w:val="003C5620"/>
    <w:rsid w:val="003C6E58"/>
    <w:rsid w:val="003D473E"/>
    <w:rsid w:val="003D7150"/>
    <w:rsid w:val="003D771B"/>
    <w:rsid w:val="003E14DA"/>
    <w:rsid w:val="003E4FA2"/>
    <w:rsid w:val="003F123A"/>
    <w:rsid w:val="003F43C3"/>
    <w:rsid w:val="003F5610"/>
    <w:rsid w:val="003F6EDC"/>
    <w:rsid w:val="004003A1"/>
    <w:rsid w:val="004003AF"/>
    <w:rsid w:val="00401A16"/>
    <w:rsid w:val="0040270D"/>
    <w:rsid w:val="00402A58"/>
    <w:rsid w:val="004037A0"/>
    <w:rsid w:val="00406859"/>
    <w:rsid w:val="00407784"/>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7A8B"/>
    <w:rsid w:val="00457B2E"/>
    <w:rsid w:val="004621B5"/>
    <w:rsid w:val="0046408D"/>
    <w:rsid w:val="00464CB8"/>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07F78"/>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AD8"/>
    <w:rsid w:val="005C6DE2"/>
    <w:rsid w:val="005D3F34"/>
    <w:rsid w:val="005D559B"/>
    <w:rsid w:val="005D5E5C"/>
    <w:rsid w:val="005E214B"/>
    <w:rsid w:val="005E6CCE"/>
    <w:rsid w:val="005F00A4"/>
    <w:rsid w:val="005F06F6"/>
    <w:rsid w:val="005F0AC6"/>
    <w:rsid w:val="005F15C6"/>
    <w:rsid w:val="005F4872"/>
    <w:rsid w:val="005F5459"/>
    <w:rsid w:val="00602FA0"/>
    <w:rsid w:val="00603C18"/>
    <w:rsid w:val="006070D4"/>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990"/>
    <w:rsid w:val="00637A5F"/>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594"/>
    <w:rsid w:val="006A56D6"/>
    <w:rsid w:val="006A5EDD"/>
    <w:rsid w:val="006B06F1"/>
    <w:rsid w:val="006C4879"/>
    <w:rsid w:val="006C654D"/>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10B4F"/>
    <w:rsid w:val="00712BEC"/>
    <w:rsid w:val="00714E0F"/>
    <w:rsid w:val="007205F1"/>
    <w:rsid w:val="00720C63"/>
    <w:rsid w:val="00722DC6"/>
    <w:rsid w:val="00723BBD"/>
    <w:rsid w:val="00726782"/>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4A14"/>
    <w:rsid w:val="00785691"/>
    <w:rsid w:val="00786B7D"/>
    <w:rsid w:val="00787642"/>
    <w:rsid w:val="007903A8"/>
    <w:rsid w:val="00792E74"/>
    <w:rsid w:val="00794245"/>
    <w:rsid w:val="007971F7"/>
    <w:rsid w:val="007A297F"/>
    <w:rsid w:val="007A5099"/>
    <w:rsid w:val="007B571E"/>
    <w:rsid w:val="007C4247"/>
    <w:rsid w:val="007D06E1"/>
    <w:rsid w:val="007D25F3"/>
    <w:rsid w:val="007D3B6F"/>
    <w:rsid w:val="007D581A"/>
    <w:rsid w:val="007D5CE0"/>
    <w:rsid w:val="007D708A"/>
    <w:rsid w:val="007D76D9"/>
    <w:rsid w:val="007E086F"/>
    <w:rsid w:val="007E3156"/>
    <w:rsid w:val="007E5A65"/>
    <w:rsid w:val="007E5B1D"/>
    <w:rsid w:val="007E5EBE"/>
    <w:rsid w:val="007E6BD6"/>
    <w:rsid w:val="007E74F3"/>
    <w:rsid w:val="007E7FED"/>
    <w:rsid w:val="007F13BC"/>
    <w:rsid w:val="007F17C4"/>
    <w:rsid w:val="007F351D"/>
    <w:rsid w:val="007F6F16"/>
    <w:rsid w:val="008023F4"/>
    <w:rsid w:val="00802BA9"/>
    <w:rsid w:val="008168BB"/>
    <w:rsid w:val="00816DAA"/>
    <w:rsid w:val="00817D04"/>
    <w:rsid w:val="008206FA"/>
    <w:rsid w:val="00823C32"/>
    <w:rsid w:val="00823ECA"/>
    <w:rsid w:val="008253B7"/>
    <w:rsid w:val="00830248"/>
    <w:rsid w:val="00831B96"/>
    <w:rsid w:val="008462FD"/>
    <w:rsid w:val="00850BAA"/>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92F1D"/>
    <w:rsid w:val="00897C92"/>
    <w:rsid w:val="008A4AAC"/>
    <w:rsid w:val="008A5EA7"/>
    <w:rsid w:val="008B2127"/>
    <w:rsid w:val="008B4BA6"/>
    <w:rsid w:val="008B5969"/>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521"/>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64061"/>
    <w:rsid w:val="00971930"/>
    <w:rsid w:val="00975684"/>
    <w:rsid w:val="00976FDC"/>
    <w:rsid w:val="009802F4"/>
    <w:rsid w:val="0098213A"/>
    <w:rsid w:val="00983FE8"/>
    <w:rsid w:val="00984866"/>
    <w:rsid w:val="0098600D"/>
    <w:rsid w:val="00986728"/>
    <w:rsid w:val="00987DA0"/>
    <w:rsid w:val="009957D7"/>
    <w:rsid w:val="00997E25"/>
    <w:rsid w:val="009A16FE"/>
    <w:rsid w:val="009A6515"/>
    <w:rsid w:val="009A6A26"/>
    <w:rsid w:val="009C0614"/>
    <w:rsid w:val="009C06D1"/>
    <w:rsid w:val="009C233A"/>
    <w:rsid w:val="009C2DAA"/>
    <w:rsid w:val="009C52BD"/>
    <w:rsid w:val="009C57C0"/>
    <w:rsid w:val="009C65C4"/>
    <w:rsid w:val="009C7697"/>
    <w:rsid w:val="009D0309"/>
    <w:rsid w:val="009D7EB1"/>
    <w:rsid w:val="009E3C5A"/>
    <w:rsid w:val="009E6781"/>
    <w:rsid w:val="009E7546"/>
    <w:rsid w:val="009F197D"/>
    <w:rsid w:val="009F1F4E"/>
    <w:rsid w:val="009F30C8"/>
    <w:rsid w:val="009F3E3D"/>
    <w:rsid w:val="009F4FFE"/>
    <w:rsid w:val="00A10397"/>
    <w:rsid w:val="00A1094A"/>
    <w:rsid w:val="00A113E0"/>
    <w:rsid w:val="00A17732"/>
    <w:rsid w:val="00A20A31"/>
    <w:rsid w:val="00A23E77"/>
    <w:rsid w:val="00A23EF4"/>
    <w:rsid w:val="00A25DB6"/>
    <w:rsid w:val="00A26230"/>
    <w:rsid w:val="00A263F0"/>
    <w:rsid w:val="00A27988"/>
    <w:rsid w:val="00A2798D"/>
    <w:rsid w:val="00A304B7"/>
    <w:rsid w:val="00A315D3"/>
    <w:rsid w:val="00A36F7E"/>
    <w:rsid w:val="00A37D0A"/>
    <w:rsid w:val="00A405CC"/>
    <w:rsid w:val="00A40A1E"/>
    <w:rsid w:val="00A41509"/>
    <w:rsid w:val="00A43EC3"/>
    <w:rsid w:val="00A4661F"/>
    <w:rsid w:val="00A50A25"/>
    <w:rsid w:val="00A545F5"/>
    <w:rsid w:val="00A60669"/>
    <w:rsid w:val="00A6155D"/>
    <w:rsid w:val="00A61BAB"/>
    <w:rsid w:val="00A63D65"/>
    <w:rsid w:val="00A6666C"/>
    <w:rsid w:val="00A6718E"/>
    <w:rsid w:val="00A7484B"/>
    <w:rsid w:val="00A76194"/>
    <w:rsid w:val="00A81A90"/>
    <w:rsid w:val="00A820B6"/>
    <w:rsid w:val="00A83C37"/>
    <w:rsid w:val="00A840F2"/>
    <w:rsid w:val="00A842AD"/>
    <w:rsid w:val="00A8581B"/>
    <w:rsid w:val="00A9020C"/>
    <w:rsid w:val="00A93B28"/>
    <w:rsid w:val="00A95116"/>
    <w:rsid w:val="00A97288"/>
    <w:rsid w:val="00AA1526"/>
    <w:rsid w:val="00AA7578"/>
    <w:rsid w:val="00AB1205"/>
    <w:rsid w:val="00AB1FEC"/>
    <w:rsid w:val="00AB30CD"/>
    <w:rsid w:val="00AB6FCD"/>
    <w:rsid w:val="00AC04EA"/>
    <w:rsid w:val="00AC53F5"/>
    <w:rsid w:val="00AC6923"/>
    <w:rsid w:val="00AD2358"/>
    <w:rsid w:val="00AD69CE"/>
    <w:rsid w:val="00AD6C59"/>
    <w:rsid w:val="00AE3364"/>
    <w:rsid w:val="00AE54DE"/>
    <w:rsid w:val="00AF0837"/>
    <w:rsid w:val="00AF19B1"/>
    <w:rsid w:val="00AF3EF6"/>
    <w:rsid w:val="00AF3FE7"/>
    <w:rsid w:val="00AF4407"/>
    <w:rsid w:val="00AF7FDB"/>
    <w:rsid w:val="00B05556"/>
    <w:rsid w:val="00B06F67"/>
    <w:rsid w:val="00B1061B"/>
    <w:rsid w:val="00B13794"/>
    <w:rsid w:val="00B14CD8"/>
    <w:rsid w:val="00B159D8"/>
    <w:rsid w:val="00B229BE"/>
    <w:rsid w:val="00B22F18"/>
    <w:rsid w:val="00B24C43"/>
    <w:rsid w:val="00B25991"/>
    <w:rsid w:val="00B3292B"/>
    <w:rsid w:val="00B35E21"/>
    <w:rsid w:val="00B367AB"/>
    <w:rsid w:val="00B36DC7"/>
    <w:rsid w:val="00B37201"/>
    <w:rsid w:val="00B42952"/>
    <w:rsid w:val="00B43BFB"/>
    <w:rsid w:val="00B461C3"/>
    <w:rsid w:val="00B469EC"/>
    <w:rsid w:val="00B51DFB"/>
    <w:rsid w:val="00B52099"/>
    <w:rsid w:val="00B5561A"/>
    <w:rsid w:val="00B57738"/>
    <w:rsid w:val="00B61824"/>
    <w:rsid w:val="00B63065"/>
    <w:rsid w:val="00B63609"/>
    <w:rsid w:val="00B63924"/>
    <w:rsid w:val="00B640E6"/>
    <w:rsid w:val="00B6583F"/>
    <w:rsid w:val="00B67F22"/>
    <w:rsid w:val="00B72FD8"/>
    <w:rsid w:val="00B739A3"/>
    <w:rsid w:val="00B80165"/>
    <w:rsid w:val="00B803A9"/>
    <w:rsid w:val="00B81389"/>
    <w:rsid w:val="00B81F0F"/>
    <w:rsid w:val="00B83DF0"/>
    <w:rsid w:val="00B8507A"/>
    <w:rsid w:val="00B90D7A"/>
    <w:rsid w:val="00B91B28"/>
    <w:rsid w:val="00B97B4F"/>
    <w:rsid w:val="00BB38CB"/>
    <w:rsid w:val="00BB6A1A"/>
    <w:rsid w:val="00BC0F65"/>
    <w:rsid w:val="00BC211E"/>
    <w:rsid w:val="00BC2C3D"/>
    <w:rsid w:val="00BC3FF8"/>
    <w:rsid w:val="00BC583F"/>
    <w:rsid w:val="00BD0604"/>
    <w:rsid w:val="00BD1E75"/>
    <w:rsid w:val="00BD1F93"/>
    <w:rsid w:val="00BD2D39"/>
    <w:rsid w:val="00BD4A1D"/>
    <w:rsid w:val="00BE09DA"/>
    <w:rsid w:val="00BE3474"/>
    <w:rsid w:val="00BE3A59"/>
    <w:rsid w:val="00BE4F5C"/>
    <w:rsid w:val="00BF0C66"/>
    <w:rsid w:val="00BF397C"/>
    <w:rsid w:val="00BF4481"/>
    <w:rsid w:val="00BF44F1"/>
    <w:rsid w:val="00C00B89"/>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314FE"/>
    <w:rsid w:val="00C31DCE"/>
    <w:rsid w:val="00C32E7E"/>
    <w:rsid w:val="00C345F6"/>
    <w:rsid w:val="00C362F1"/>
    <w:rsid w:val="00C36AAF"/>
    <w:rsid w:val="00C41DFC"/>
    <w:rsid w:val="00C4285A"/>
    <w:rsid w:val="00C43E2E"/>
    <w:rsid w:val="00C51311"/>
    <w:rsid w:val="00C5316F"/>
    <w:rsid w:val="00C54286"/>
    <w:rsid w:val="00C62CA5"/>
    <w:rsid w:val="00C6498D"/>
    <w:rsid w:val="00C67CA1"/>
    <w:rsid w:val="00C70015"/>
    <w:rsid w:val="00C72792"/>
    <w:rsid w:val="00C74FA6"/>
    <w:rsid w:val="00C77FB4"/>
    <w:rsid w:val="00C811EA"/>
    <w:rsid w:val="00C82A5E"/>
    <w:rsid w:val="00C85623"/>
    <w:rsid w:val="00C86C6F"/>
    <w:rsid w:val="00C9235D"/>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1412"/>
    <w:rsid w:val="00CD381B"/>
    <w:rsid w:val="00CD48A0"/>
    <w:rsid w:val="00CE1B11"/>
    <w:rsid w:val="00CE2269"/>
    <w:rsid w:val="00CE22EF"/>
    <w:rsid w:val="00CE6A1C"/>
    <w:rsid w:val="00CE768E"/>
    <w:rsid w:val="00CF4D17"/>
    <w:rsid w:val="00CF55AD"/>
    <w:rsid w:val="00CF7867"/>
    <w:rsid w:val="00CF7B02"/>
    <w:rsid w:val="00CF7C82"/>
    <w:rsid w:val="00D00EE6"/>
    <w:rsid w:val="00D01802"/>
    <w:rsid w:val="00D02BFD"/>
    <w:rsid w:val="00D05E83"/>
    <w:rsid w:val="00D11BF0"/>
    <w:rsid w:val="00D1383B"/>
    <w:rsid w:val="00D16821"/>
    <w:rsid w:val="00D2087A"/>
    <w:rsid w:val="00D30092"/>
    <w:rsid w:val="00D30D45"/>
    <w:rsid w:val="00D30D79"/>
    <w:rsid w:val="00D33192"/>
    <w:rsid w:val="00D3492C"/>
    <w:rsid w:val="00D36FB6"/>
    <w:rsid w:val="00D40EFC"/>
    <w:rsid w:val="00D41205"/>
    <w:rsid w:val="00D4207E"/>
    <w:rsid w:val="00D45398"/>
    <w:rsid w:val="00D45E1F"/>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43B5"/>
    <w:rsid w:val="00D853B0"/>
    <w:rsid w:val="00D864C5"/>
    <w:rsid w:val="00D90451"/>
    <w:rsid w:val="00D914C1"/>
    <w:rsid w:val="00D9514F"/>
    <w:rsid w:val="00D95171"/>
    <w:rsid w:val="00D97459"/>
    <w:rsid w:val="00DA3264"/>
    <w:rsid w:val="00DA7D13"/>
    <w:rsid w:val="00DB46CD"/>
    <w:rsid w:val="00DC05C2"/>
    <w:rsid w:val="00DC19D0"/>
    <w:rsid w:val="00DC1BA4"/>
    <w:rsid w:val="00DC6B36"/>
    <w:rsid w:val="00DD4F03"/>
    <w:rsid w:val="00DD6B29"/>
    <w:rsid w:val="00DD76C9"/>
    <w:rsid w:val="00DE31B2"/>
    <w:rsid w:val="00DE5A8D"/>
    <w:rsid w:val="00DE644F"/>
    <w:rsid w:val="00DF04D5"/>
    <w:rsid w:val="00DF2235"/>
    <w:rsid w:val="00DF5C5E"/>
    <w:rsid w:val="00E01B8F"/>
    <w:rsid w:val="00E029C6"/>
    <w:rsid w:val="00E06316"/>
    <w:rsid w:val="00E11F26"/>
    <w:rsid w:val="00E2022D"/>
    <w:rsid w:val="00E21441"/>
    <w:rsid w:val="00E22728"/>
    <w:rsid w:val="00E237E3"/>
    <w:rsid w:val="00E276DA"/>
    <w:rsid w:val="00E30543"/>
    <w:rsid w:val="00E31C23"/>
    <w:rsid w:val="00E34EB2"/>
    <w:rsid w:val="00E3617C"/>
    <w:rsid w:val="00E45005"/>
    <w:rsid w:val="00E467E4"/>
    <w:rsid w:val="00E477CD"/>
    <w:rsid w:val="00E50F4E"/>
    <w:rsid w:val="00E5522D"/>
    <w:rsid w:val="00E64412"/>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42A6"/>
    <w:rsid w:val="00E943B1"/>
    <w:rsid w:val="00EA0B04"/>
    <w:rsid w:val="00EA3FA3"/>
    <w:rsid w:val="00EA53DA"/>
    <w:rsid w:val="00EA60D5"/>
    <w:rsid w:val="00EA6D87"/>
    <w:rsid w:val="00EB0005"/>
    <w:rsid w:val="00EB3A97"/>
    <w:rsid w:val="00EB62F5"/>
    <w:rsid w:val="00EC34AD"/>
    <w:rsid w:val="00EC47DE"/>
    <w:rsid w:val="00EC6062"/>
    <w:rsid w:val="00EC798E"/>
    <w:rsid w:val="00ED6AD8"/>
    <w:rsid w:val="00EE340D"/>
    <w:rsid w:val="00EE37FD"/>
    <w:rsid w:val="00EE6CA7"/>
    <w:rsid w:val="00EF46F7"/>
    <w:rsid w:val="00F00C48"/>
    <w:rsid w:val="00F012D1"/>
    <w:rsid w:val="00F04FC3"/>
    <w:rsid w:val="00F05A6C"/>
    <w:rsid w:val="00F06D3A"/>
    <w:rsid w:val="00F078A3"/>
    <w:rsid w:val="00F105D5"/>
    <w:rsid w:val="00F10B85"/>
    <w:rsid w:val="00F128B0"/>
    <w:rsid w:val="00F13F38"/>
    <w:rsid w:val="00F15902"/>
    <w:rsid w:val="00F163F8"/>
    <w:rsid w:val="00F20826"/>
    <w:rsid w:val="00F20AA7"/>
    <w:rsid w:val="00F22C22"/>
    <w:rsid w:val="00F24746"/>
    <w:rsid w:val="00F27126"/>
    <w:rsid w:val="00F27D96"/>
    <w:rsid w:val="00F30531"/>
    <w:rsid w:val="00F30AE5"/>
    <w:rsid w:val="00F34160"/>
    <w:rsid w:val="00F35F86"/>
    <w:rsid w:val="00F3752E"/>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DAA"/>
    <w:rsid w:val="00F96D99"/>
    <w:rsid w:val="00FA4048"/>
    <w:rsid w:val="00FA4EDA"/>
    <w:rsid w:val="00FA6BB7"/>
    <w:rsid w:val="00FA76B5"/>
    <w:rsid w:val="00FA7AA2"/>
    <w:rsid w:val="00FB5D61"/>
    <w:rsid w:val="00FB7D56"/>
    <w:rsid w:val="00FC218C"/>
    <w:rsid w:val="00FC5941"/>
    <w:rsid w:val="00FD071B"/>
    <w:rsid w:val="00FD0973"/>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305555202">
      <w:bodyDiv w:val="1"/>
      <w:marLeft w:val="0"/>
      <w:marRight w:val="0"/>
      <w:marTop w:val="0"/>
      <w:marBottom w:val="0"/>
      <w:divBdr>
        <w:top w:val="none" w:sz="0" w:space="0" w:color="auto"/>
        <w:left w:val="none" w:sz="0" w:space="0" w:color="auto"/>
        <w:bottom w:val="none" w:sz="0" w:space="0" w:color="auto"/>
        <w:right w:val="none" w:sz="0" w:space="0" w:color="auto"/>
      </w:divBdr>
    </w:div>
    <w:div w:id="436945953">
      <w:bodyDiv w:val="1"/>
      <w:marLeft w:val="0"/>
      <w:marRight w:val="0"/>
      <w:marTop w:val="0"/>
      <w:marBottom w:val="0"/>
      <w:divBdr>
        <w:top w:val="none" w:sz="0" w:space="0" w:color="auto"/>
        <w:left w:val="none" w:sz="0" w:space="0" w:color="auto"/>
        <w:bottom w:val="none" w:sz="0" w:space="0" w:color="auto"/>
        <w:right w:val="none" w:sz="0" w:space="0" w:color="auto"/>
      </w:divBdr>
    </w:div>
    <w:div w:id="462887730">
      <w:bodyDiv w:val="1"/>
      <w:marLeft w:val="0"/>
      <w:marRight w:val="0"/>
      <w:marTop w:val="0"/>
      <w:marBottom w:val="0"/>
      <w:divBdr>
        <w:top w:val="none" w:sz="0" w:space="0" w:color="auto"/>
        <w:left w:val="none" w:sz="0" w:space="0" w:color="auto"/>
        <w:bottom w:val="none" w:sz="0" w:space="0" w:color="auto"/>
        <w:right w:val="none" w:sz="0" w:space="0" w:color="auto"/>
      </w:divBdr>
    </w:div>
    <w:div w:id="47430013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701128069">
      <w:bodyDiv w:val="1"/>
      <w:marLeft w:val="0"/>
      <w:marRight w:val="0"/>
      <w:marTop w:val="0"/>
      <w:marBottom w:val="0"/>
      <w:divBdr>
        <w:top w:val="none" w:sz="0" w:space="0" w:color="auto"/>
        <w:left w:val="none" w:sz="0" w:space="0" w:color="auto"/>
        <w:bottom w:val="none" w:sz="0" w:space="0" w:color="auto"/>
        <w:right w:val="none" w:sz="0" w:space="0" w:color="auto"/>
      </w:divBdr>
    </w:div>
    <w:div w:id="853956478">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cyber-essentials-scheme-overview"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data-protection/the-data-protection-ac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yberessentials.ncsc.gov.uk/requirements-for-it-infrastructure.htm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3.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4.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5.xml><?xml version="1.0" encoding="utf-8"?>
<ds:datastoreItem xmlns:ds="http://schemas.openxmlformats.org/officeDocument/2006/customXml" ds:itemID="{552DB4FA-8580-48F2-AEAE-0A2FB15AD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2680</Words>
  <Characters>15279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17924</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Ferris</dc:creator>
  <cp:lastModifiedBy>Rachael Thomson</cp:lastModifiedBy>
  <cp:revision>2</cp:revision>
  <dcterms:created xsi:type="dcterms:W3CDTF">2018-05-08T12:43:00Z</dcterms:created>
  <dcterms:modified xsi:type="dcterms:W3CDTF">2018-05-08T12:43:00Z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