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D25EE" w14:textId="77777777" w:rsidR="00595BE6" w:rsidRDefault="00595BE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AHDB Ref 2017 </w:t>
      </w:r>
      <w:r w:rsidR="00024A59">
        <w:rPr>
          <w:rFonts w:ascii="Arial" w:hAnsi="Arial" w:cs="Arial"/>
          <w:b/>
          <w:i/>
          <w:sz w:val="20"/>
          <w:szCs w:val="20"/>
        </w:rPr>
        <w:t>–</w:t>
      </w:r>
      <w:r>
        <w:rPr>
          <w:rFonts w:ascii="Arial" w:hAnsi="Arial" w:cs="Arial"/>
          <w:b/>
          <w:i/>
          <w:sz w:val="20"/>
          <w:szCs w:val="20"/>
        </w:rPr>
        <w:t xml:space="preserve"> 212</w:t>
      </w:r>
    </w:p>
    <w:p w14:paraId="217E5119" w14:textId="216DC113" w:rsidR="00F26457" w:rsidRPr="00846DF5" w:rsidRDefault="00024A59" w:rsidP="00846DF5">
      <w:pPr>
        <w:jc w:val="center"/>
        <w:rPr>
          <w:rFonts w:ascii="Arial" w:hAnsi="Arial" w:cs="Arial"/>
          <w:sz w:val="32"/>
          <w:szCs w:val="32"/>
        </w:rPr>
      </w:pPr>
      <w:r w:rsidRPr="00846DF5">
        <w:rPr>
          <w:rFonts w:ascii="Arial" w:hAnsi="Arial" w:cs="Arial"/>
          <w:b/>
          <w:i/>
          <w:sz w:val="28"/>
          <w:szCs w:val="28"/>
          <w:u w:val="single"/>
        </w:rPr>
        <w:t>SPECIFICATION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: </w:t>
      </w:r>
      <w:r w:rsidR="00F26457" w:rsidRPr="00846DF5">
        <w:rPr>
          <w:rFonts w:ascii="Arial" w:hAnsi="Arial" w:cs="Arial"/>
          <w:sz w:val="32"/>
          <w:szCs w:val="32"/>
        </w:rPr>
        <w:t>Effective communications and media training</w:t>
      </w:r>
      <w:r w:rsidR="00F25963" w:rsidRPr="00846DF5">
        <w:rPr>
          <w:rFonts w:ascii="Arial" w:hAnsi="Arial" w:cs="Arial"/>
          <w:sz w:val="32"/>
          <w:szCs w:val="32"/>
        </w:rPr>
        <w:t>.</w:t>
      </w:r>
    </w:p>
    <w:p w14:paraId="05F9E4CE" w14:textId="77777777" w:rsidR="00024A59" w:rsidRPr="00846DF5" w:rsidRDefault="00024A59" w:rsidP="00274BD2">
      <w:pPr>
        <w:rPr>
          <w:rFonts w:ascii="Arial" w:hAnsi="Arial" w:cs="Arial"/>
          <w:b/>
          <w:sz w:val="20"/>
          <w:szCs w:val="20"/>
          <w:u w:val="single"/>
          <w:lang w:val="en"/>
        </w:rPr>
      </w:pPr>
      <w:r w:rsidRPr="00846DF5">
        <w:rPr>
          <w:rFonts w:ascii="Arial" w:hAnsi="Arial" w:cs="Arial"/>
          <w:b/>
          <w:sz w:val="20"/>
          <w:szCs w:val="20"/>
          <w:u w:val="single"/>
          <w:lang w:val="en"/>
        </w:rPr>
        <w:t>Introduction</w:t>
      </w:r>
    </w:p>
    <w:p w14:paraId="5ECB7991" w14:textId="77777777" w:rsidR="00274BD2" w:rsidRPr="00274BD2" w:rsidRDefault="00274BD2" w:rsidP="00274BD2">
      <w:pPr>
        <w:rPr>
          <w:rFonts w:ascii="Arial" w:hAnsi="Arial" w:cs="Arial"/>
          <w:sz w:val="20"/>
          <w:szCs w:val="20"/>
        </w:rPr>
      </w:pPr>
      <w:r w:rsidRPr="00274BD2">
        <w:rPr>
          <w:rFonts w:ascii="Arial" w:hAnsi="Arial" w:cs="Arial"/>
          <w:sz w:val="20"/>
          <w:szCs w:val="20"/>
          <w:lang w:val="en"/>
        </w:rPr>
        <w:t xml:space="preserve">AHDB is a statutory levy board, funded by farmers, growers and others in the supply chain. Our purpose is to inspire our farmers, growers and industry to succeed in a rapidly changing world. We equip the industry with easy to use, practical know-how which they can apply straight away to make better decisions and improve their performance. Established in 2008 and classified as a Non-Departmental Public Body, it supports the following industries: meat and livestock (cattle, sheep and pigs) in England; horticulture, milk and potatoes in Great Britain; and cereals and oilseeds in the UK. AHDB’s remit covers 72 per cent of total UK agricultural output. Further information on AHDB can be found at </w:t>
      </w:r>
      <w:hyperlink r:id="rId5" w:history="1">
        <w:r w:rsidRPr="00274BD2">
          <w:rPr>
            <w:rStyle w:val="Hyperlink"/>
            <w:rFonts w:ascii="Arial" w:hAnsi="Arial" w:cs="Arial"/>
            <w:sz w:val="20"/>
            <w:szCs w:val="20"/>
            <w:lang w:val="en"/>
          </w:rPr>
          <w:t>www.ahdb.org.uk</w:t>
        </w:r>
      </w:hyperlink>
    </w:p>
    <w:p w14:paraId="3F039B7F" w14:textId="77777777" w:rsidR="00024A59" w:rsidRPr="00846DF5" w:rsidRDefault="00F26457">
      <w:pPr>
        <w:rPr>
          <w:rFonts w:ascii="Arial" w:hAnsi="Arial" w:cs="Arial"/>
          <w:sz w:val="20"/>
          <w:szCs w:val="20"/>
          <w:u w:val="single"/>
        </w:rPr>
      </w:pPr>
      <w:r w:rsidRPr="00846DF5">
        <w:rPr>
          <w:rFonts w:ascii="Arial" w:hAnsi="Arial" w:cs="Arial"/>
          <w:b/>
          <w:sz w:val="20"/>
          <w:szCs w:val="20"/>
          <w:u w:val="single"/>
        </w:rPr>
        <w:t>Background</w:t>
      </w:r>
      <w:r w:rsidRPr="00846DF5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8713F97" w14:textId="0A94C003" w:rsidR="00F26457" w:rsidRPr="00274BD2" w:rsidRDefault="00035EE2">
      <w:pPr>
        <w:rPr>
          <w:rFonts w:ascii="Arial" w:hAnsi="Arial" w:cs="Arial"/>
          <w:sz w:val="20"/>
          <w:szCs w:val="20"/>
        </w:rPr>
      </w:pPr>
      <w:r w:rsidRPr="00274BD2">
        <w:rPr>
          <w:rFonts w:ascii="Arial" w:hAnsi="Arial" w:cs="Arial"/>
          <w:sz w:val="20"/>
          <w:szCs w:val="20"/>
        </w:rPr>
        <w:t xml:space="preserve">Reactive and proactive communications are a vital way to reach our various audiences and our strategy is to maximise as many opportunities as possible to protect and enhance the reputation of AHDB and farming, as a whole.  </w:t>
      </w:r>
      <w:r w:rsidR="00F26457" w:rsidRPr="00274BD2">
        <w:rPr>
          <w:rFonts w:ascii="Arial" w:hAnsi="Arial" w:cs="Arial"/>
          <w:sz w:val="20"/>
          <w:szCs w:val="20"/>
        </w:rPr>
        <w:t xml:space="preserve">AHDB employees, farmers and growers are called upon </w:t>
      </w:r>
      <w:r w:rsidRPr="00274BD2">
        <w:rPr>
          <w:rFonts w:ascii="Arial" w:hAnsi="Arial" w:cs="Arial"/>
          <w:sz w:val="20"/>
          <w:szCs w:val="20"/>
        </w:rPr>
        <w:t xml:space="preserve">regularly </w:t>
      </w:r>
      <w:r w:rsidR="00F26457" w:rsidRPr="00274BD2">
        <w:rPr>
          <w:rFonts w:ascii="Arial" w:hAnsi="Arial" w:cs="Arial"/>
          <w:sz w:val="20"/>
          <w:szCs w:val="20"/>
        </w:rPr>
        <w:t>by the press and media to comment on</w:t>
      </w:r>
      <w:r w:rsidRPr="00274BD2">
        <w:rPr>
          <w:rFonts w:ascii="Arial" w:hAnsi="Arial" w:cs="Arial"/>
          <w:sz w:val="20"/>
          <w:szCs w:val="20"/>
        </w:rPr>
        <w:t>,</w:t>
      </w:r>
      <w:r w:rsidR="00F26457" w:rsidRPr="00274BD2">
        <w:rPr>
          <w:rFonts w:ascii="Arial" w:hAnsi="Arial" w:cs="Arial"/>
          <w:sz w:val="20"/>
          <w:szCs w:val="20"/>
        </w:rPr>
        <w:t xml:space="preserve"> or provide information, statistics</w:t>
      </w:r>
      <w:r w:rsidR="00064E13" w:rsidRPr="00274BD2">
        <w:rPr>
          <w:rFonts w:ascii="Arial" w:hAnsi="Arial" w:cs="Arial"/>
          <w:sz w:val="20"/>
          <w:szCs w:val="20"/>
        </w:rPr>
        <w:t xml:space="preserve"> and data about</w:t>
      </w:r>
      <w:r w:rsidRPr="00274BD2">
        <w:rPr>
          <w:rFonts w:ascii="Arial" w:hAnsi="Arial" w:cs="Arial"/>
          <w:sz w:val="20"/>
          <w:szCs w:val="20"/>
        </w:rPr>
        <w:t>,</w:t>
      </w:r>
      <w:r w:rsidR="00F26457" w:rsidRPr="00274BD2">
        <w:rPr>
          <w:rFonts w:ascii="Arial" w:hAnsi="Arial" w:cs="Arial"/>
          <w:sz w:val="20"/>
          <w:szCs w:val="20"/>
        </w:rPr>
        <w:t xml:space="preserve"> issues impacting the industry and agriculture in general.  </w:t>
      </w:r>
    </w:p>
    <w:p w14:paraId="74053BD7" w14:textId="0796D8DC" w:rsidR="00024A59" w:rsidRDefault="00E33E9C">
      <w:pPr>
        <w:rPr>
          <w:rFonts w:ascii="Arial" w:hAnsi="Arial" w:cs="Arial"/>
          <w:sz w:val="20"/>
          <w:szCs w:val="20"/>
        </w:rPr>
      </w:pPr>
      <w:r w:rsidRPr="00274BD2">
        <w:rPr>
          <w:rFonts w:ascii="Arial" w:hAnsi="Arial" w:cs="Arial"/>
          <w:sz w:val="20"/>
          <w:szCs w:val="20"/>
        </w:rPr>
        <w:t xml:space="preserve">The AHDB media and PR team are responsible for relationship building with the press and media and the value derived from </w:t>
      </w:r>
      <w:r w:rsidR="00406B85" w:rsidRPr="00274BD2">
        <w:rPr>
          <w:rFonts w:ascii="Arial" w:hAnsi="Arial" w:cs="Arial"/>
          <w:sz w:val="20"/>
          <w:szCs w:val="20"/>
        </w:rPr>
        <w:t>well trained and briefed ‘spokespeople</w:t>
      </w:r>
      <w:r w:rsidR="002106FA">
        <w:rPr>
          <w:rFonts w:ascii="Arial" w:hAnsi="Arial" w:cs="Arial"/>
          <w:sz w:val="20"/>
          <w:szCs w:val="20"/>
        </w:rPr>
        <w:t>/ambassadors</w:t>
      </w:r>
      <w:r w:rsidR="00406B85" w:rsidRPr="00274BD2">
        <w:rPr>
          <w:rFonts w:ascii="Arial" w:hAnsi="Arial" w:cs="Arial"/>
          <w:sz w:val="20"/>
          <w:szCs w:val="20"/>
        </w:rPr>
        <w:t>’ is well understood.</w:t>
      </w:r>
    </w:p>
    <w:p w14:paraId="07D59807" w14:textId="77777777" w:rsidR="00024A59" w:rsidRPr="00846DF5" w:rsidRDefault="00F26457">
      <w:pPr>
        <w:rPr>
          <w:rFonts w:ascii="Arial" w:hAnsi="Arial" w:cs="Arial"/>
          <w:b/>
          <w:sz w:val="20"/>
          <w:szCs w:val="20"/>
          <w:u w:val="single"/>
        </w:rPr>
      </w:pPr>
      <w:r w:rsidRPr="00846DF5">
        <w:rPr>
          <w:rFonts w:ascii="Arial" w:hAnsi="Arial" w:cs="Arial"/>
          <w:b/>
          <w:sz w:val="20"/>
          <w:szCs w:val="20"/>
          <w:u w:val="single"/>
        </w:rPr>
        <w:t>Service requirement</w:t>
      </w:r>
    </w:p>
    <w:p w14:paraId="2835EDD5" w14:textId="5522E191" w:rsidR="00024A59" w:rsidRDefault="00035EE2">
      <w:pPr>
        <w:rPr>
          <w:rFonts w:ascii="Arial" w:hAnsi="Arial" w:cs="Arial"/>
          <w:sz w:val="20"/>
          <w:szCs w:val="20"/>
        </w:rPr>
      </w:pPr>
      <w:r w:rsidRPr="00274BD2">
        <w:rPr>
          <w:rFonts w:ascii="Arial" w:hAnsi="Arial" w:cs="Arial"/>
          <w:sz w:val="20"/>
          <w:szCs w:val="20"/>
        </w:rPr>
        <w:t xml:space="preserve">AHDB is looking to appoint a partner organisation to work </w:t>
      </w:r>
      <w:r w:rsidR="007B223C">
        <w:rPr>
          <w:rFonts w:ascii="Arial" w:hAnsi="Arial" w:cs="Arial"/>
          <w:sz w:val="20"/>
          <w:szCs w:val="20"/>
        </w:rPr>
        <w:t>with</w:t>
      </w:r>
      <w:r w:rsidR="00024A59">
        <w:rPr>
          <w:rFonts w:ascii="Arial" w:hAnsi="Arial" w:cs="Arial"/>
          <w:sz w:val="20"/>
          <w:szCs w:val="20"/>
        </w:rPr>
        <w:t xml:space="preserve"> for the </w:t>
      </w:r>
      <w:r w:rsidR="00024A59" w:rsidRPr="00846DF5">
        <w:rPr>
          <w:rFonts w:ascii="Arial" w:hAnsi="Arial" w:cs="Arial"/>
          <w:b/>
          <w:sz w:val="20"/>
          <w:szCs w:val="20"/>
        </w:rPr>
        <w:t xml:space="preserve">contract period of </w:t>
      </w:r>
      <w:r w:rsidR="009129EE">
        <w:rPr>
          <w:rFonts w:ascii="Arial" w:hAnsi="Arial" w:cs="Arial"/>
          <w:b/>
          <w:sz w:val="20"/>
          <w:szCs w:val="20"/>
        </w:rPr>
        <w:t>01</w:t>
      </w:r>
      <w:r w:rsidR="00024A59" w:rsidRPr="00846DF5">
        <w:rPr>
          <w:rFonts w:ascii="Arial" w:hAnsi="Arial" w:cs="Arial"/>
          <w:b/>
          <w:sz w:val="20"/>
          <w:szCs w:val="20"/>
        </w:rPr>
        <w:t>/</w:t>
      </w:r>
      <w:r w:rsidR="009129EE">
        <w:rPr>
          <w:rFonts w:ascii="Arial" w:hAnsi="Arial" w:cs="Arial"/>
          <w:b/>
          <w:sz w:val="20"/>
          <w:szCs w:val="20"/>
        </w:rPr>
        <w:t>1</w:t>
      </w:r>
      <w:r w:rsidR="00024A59" w:rsidRPr="00846DF5">
        <w:rPr>
          <w:rFonts w:ascii="Arial" w:hAnsi="Arial" w:cs="Arial"/>
          <w:b/>
          <w:sz w:val="20"/>
          <w:szCs w:val="20"/>
        </w:rPr>
        <w:t>0/2017 – 3</w:t>
      </w:r>
      <w:r w:rsidR="00846DF5">
        <w:rPr>
          <w:rFonts w:ascii="Arial" w:hAnsi="Arial" w:cs="Arial"/>
          <w:b/>
          <w:sz w:val="20"/>
          <w:szCs w:val="20"/>
        </w:rPr>
        <w:t>/0</w:t>
      </w:r>
      <w:r w:rsidR="009129EE">
        <w:rPr>
          <w:rFonts w:ascii="Arial" w:hAnsi="Arial" w:cs="Arial"/>
          <w:b/>
          <w:sz w:val="20"/>
          <w:szCs w:val="20"/>
        </w:rPr>
        <w:t>9</w:t>
      </w:r>
      <w:r w:rsidR="00024A59" w:rsidRPr="00846DF5">
        <w:rPr>
          <w:rFonts w:ascii="Arial" w:hAnsi="Arial" w:cs="Arial"/>
          <w:b/>
          <w:sz w:val="20"/>
          <w:szCs w:val="20"/>
        </w:rPr>
        <w:t xml:space="preserve">/2019 with the </w:t>
      </w:r>
      <w:r w:rsidR="00846DF5">
        <w:rPr>
          <w:rFonts w:ascii="Arial" w:hAnsi="Arial" w:cs="Arial"/>
          <w:b/>
          <w:sz w:val="20"/>
          <w:szCs w:val="20"/>
        </w:rPr>
        <w:t>option to extend for a further 1</w:t>
      </w:r>
      <w:r w:rsidR="00024A59" w:rsidRPr="00846DF5">
        <w:rPr>
          <w:rFonts w:ascii="Arial" w:hAnsi="Arial" w:cs="Arial"/>
          <w:b/>
          <w:sz w:val="20"/>
          <w:szCs w:val="20"/>
        </w:rPr>
        <w:t xml:space="preserve"> x 12 month period</w:t>
      </w:r>
      <w:r w:rsidR="00024A59">
        <w:rPr>
          <w:rFonts w:ascii="Arial" w:hAnsi="Arial" w:cs="Arial"/>
          <w:sz w:val="20"/>
          <w:szCs w:val="20"/>
        </w:rPr>
        <w:t xml:space="preserve">. Training will be required on </w:t>
      </w:r>
      <w:r w:rsidRPr="00274BD2">
        <w:rPr>
          <w:rFonts w:ascii="Arial" w:hAnsi="Arial" w:cs="Arial"/>
          <w:sz w:val="20"/>
          <w:szCs w:val="20"/>
        </w:rPr>
        <w:t xml:space="preserve"> an ad-hoc basis</w:t>
      </w:r>
      <w:r w:rsidR="00510D6F">
        <w:rPr>
          <w:rFonts w:ascii="Arial" w:hAnsi="Arial" w:cs="Arial"/>
          <w:sz w:val="20"/>
          <w:szCs w:val="20"/>
        </w:rPr>
        <w:t xml:space="preserve">, </w:t>
      </w:r>
      <w:r w:rsidRPr="00274BD2">
        <w:rPr>
          <w:rFonts w:ascii="Arial" w:hAnsi="Arial" w:cs="Arial"/>
          <w:sz w:val="20"/>
          <w:szCs w:val="20"/>
        </w:rPr>
        <w:t>deliver</w:t>
      </w:r>
      <w:r w:rsidR="00510D6F">
        <w:rPr>
          <w:rFonts w:ascii="Arial" w:hAnsi="Arial" w:cs="Arial"/>
          <w:sz w:val="20"/>
          <w:szCs w:val="20"/>
        </w:rPr>
        <w:t>ing</w:t>
      </w:r>
      <w:r w:rsidRPr="00274BD2">
        <w:rPr>
          <w:rFonts w:ascii="Arial" w:hAnsi="Arial" w:cs="Arial"/>
          <w:sz w:val="20"/>
          <w:szCs w:val="20"/>
        </w:rPr>
        <w:t xml:space="preserve"> </w:t>
      </w:r>
      <w:r w:rsidR="00115AB3">
        <w:rPr>
          <w:rFonts w:ascii="Arial" w:hAnsi="Arial" w:cs="Arial"/>
          <w:sz w:val="20"/>
          <w:szCs w:val="20"/>
        </w:rPr>
        <w:t xml:space="preserve">bespoke </w:t>
      </w:r>
      <w:r w:rsidRPr="00274BD2">
        <w:rPr>
          <w:rFonts w:ascii="Arial" w:hAnsi="Arial" w:cs="Arial"/>
          <w:sz w:val="20"/>
          <w:szCs w:val="20"/>
        </w:rPr>
        <w:t xml:space="preserve">training and coaching to small groups of </w:t>
      </w:r>
      <w:r w:rsidR="005C7689" w:rsidRPr="00274BD2">
        <w:rPr>
          <w:rFonts w:ascii="Arial" w:hAnsi="Arial" w:cs="Arial"/>
          <w:sz w:val="20"/>
          <w:szCs w:val="20"/>
        </w:rPr>
        <w:t xml:space="preserve">(up to four) </w:t>
      </w:r>
      <w:r w:rsidRPr="00274BD2">
        <w:rPr>
          <w:rFonts w:ascii="Arial" w:hAnsi="Arial" w:cs="Arial"/>
          <w:sz w:val="20"/>
          <w:szCs w:val="20"/>
        </w:rPr>
        <w:t>people on four to six</w:t>
      </w:r>
      <w:r w:rsidR="005C7689" w:rsidRPr="00274BD2">
        <w:rPr>
          <w:rFonts w:ascii="Arial" w:hAnsi="Arial" w:cs="Arial"/>
          <w:sz w:val="20"/>
          <w:szCs w:val="20"/>
        </w:rPr>
        <w:t xml:space="preserve">, one day </w:t>
      </w:r>
      <w:r w:rsidRPr="00274BD2">
        <w:rPr>
          <w:rFonts w:ascii="Arial" w:hAnsi="Arial" w:cs="Arial"/>
          <w:sz w:val="20"/>
          <w:szCs w:val="20"/>
        </w:rPr>
        <w:t xml:space="preserve"> occasions</w:t>
      </w:r>
      <w:r w:rsidR="005C7689" w:rsidRPr="00274BD2">
        <w:rPr>
          <w:rFonts w:ascii="Arial" w:hAnsi="Arial" w:cs="Arial"/>
          <w:sz w:val="20"/>
          <w:szCs w:val="20"/>
        </w:rPr>
        <w:t>,</w:t>
      </w:r>
      <w:r w:rsidRPr="00274BD2">
        <w:rPr>
          <w:rFonts w:ascii="Arial" w:hAnsi="Arial" w:cs="Arial"/>
          <w:sz w:val="20"/>
          <w:szCs w:val="20"/>
        </w:rPr>
        <w:t xml:space="preserve"> during a financial year. </w:t>
      </w:r>
      <w:r w:rsidR="00D73BC5">
        <w:rPr>
          <w:rFonts w:ascii="Arial" w:hAnsi="Arial" w:cs="Arial"/>
          <w:sz w:val="20"/>
          <w:szCs w:val="20"/>
        </w:rPr>
        <w:t>The training need may increase or decrease according to operational requirements.</w:t>
      </w:r>
      <w:r w:rsidR="004C3375">
        <w:rPr>
          <w:rFonts w:ascii="Arial" w:hAnsi="Arial" w:cs="Arial"/>
          <w:sz w:val="20"/>
          <w:szCs w:val="20"/>
        </w:rPr>
        <w:t xml:space="preserve"> It is anticipated that AHDB will supplement delivery.</w:t>
      </w:r>
    </w:p>
    <w:p w14:paraId="4FA2B8AB" w14:textId="5CC650A3" w:rsidR="00024A59" w:rsidRDefault="004C3375">
      <w:pPr>
        <w:rPr>
          <w:rFonts w:ascii="Arial" w:hAnsi="Arial" w:cs="Arial"/>
          <w:sz w:val="20"/>
          <w:szCs w:val="20"/>
        </w:rPr>
      </w:pPr>
      <w:r w:rsidRPr="00274BD2">
        <w:rPr>
          <w:rFonts w:ascii="Arial" w:hAnsi="Arial" w:cs="Arial"/>
          <w:sz w:val="20"/>
          <w:szCs w:val="20"/>
        </w:rPr>
        <w:t>An understanding of issues facing the agriculture sector is desirable</w:t>
      </w:r>
      <w:r w:rsidR="00213468">
        <w:rPr>
          <w:rFonts w:ascii="Arial" w:hAnsi="Arial" w:cs="Arial"/>
          <w:sz w:val="20"/>
          <w:szCs w:val="20"/>
        </w:rPr>
        <w:t>.</w:t>
      </w:r>
    </w:p>
    <w:p w14:paraId="3093601F" w14:textId="63C61951" w:rsidR="00024A59" w:rsidRPr="00846DF5" w:rsidRDefault="00B71C2D">
      <w:pPr>
        <w:rPr>
          <w:rFonts w:ascii="Arial" w:hAnsi="Arial" w:cs="Arial"/>
          <w:sz w:val="20"/>
          <w:szCs w:val="20"/>
          <w:u w:val="single"/>
        </w:rPr>
      </w:pPr>
      <w:r w:rsidRPr="00846DF5">
        <w:rPr>
          <w:rFonts w:ascii="Arial" w:hAnsi="Arial" w:cs="Arial"/>
          <w:b/>
          <w:sz w:val="20"/>
          <w:szCs w:val="20"/>
          <w:u w:val="single"/>
        </w:rPr>
        <w:t>Required outcomes</w:t>
      </w:r>
      <w:r w:rsidRPr="00846DF5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0DB6399" w14:textId="77777777" w:rsidR="00F26457" w:rsidRPr="00274BD2" w:rsidRDefault="00035EE2">
      <w:pPr>
        <w:rPr>
          <w:rFonts w:ascii="Arial" w:hAnsi="Arial" w:cs="Arial"/>
          <w:sz w:val="20"/>
          <w:szCs w:val="20"/>
        </w:rPr>
      </w:pPr>
      <w:r w:rsidRPr="00274BD2">
        <w:rPr>
          <w:rFonts w:ascii="Arial" w:hAnsi="Arial" w:cs="Arial"/>
          <w:sz w:val="20"/>
          <w:szCs w:val="20"/>
        </w:rPr>
        <w:t xml:space="preserve">The purpose is </w:t>
      </w:r>
      <w:r w:rsidR="00B71C2D">
        <w:rPr>
          <w:rFonts w:ascii="Arial" w:hAnsi="Arial" w:cs="Arial"/>
          <w:sz w:val="20"/>
          <w:szCs w:val="20"/>
        </w:rPr>
        <w:t xml:space="preserve">personal and professional development, </w:t>
      </w:r>
      <w:r w:rsidRPr="00274BD2">
        <w:rPr>
          <w:rFonts w:ascii="Arial" w:hAnsi="Arial" w:cs="Arial"/>
          <w:sz w:val="20"/>
          <w:szCs w:val="20"/>
        </w:rPr>
        <w:t xml:space="preserve">to build awareness, understanding, confidence and up-skill individuals to represent the organisation and/or themselves to communicate, often complex matters in </w:t>
      </w:r>
      <w:r w:rsidR="00170074" w:rsidRPr="00274BD2">
        <w:rPr>
          <w:rFonts w:ascii="Arial" w:hAnsi="Arial" w:cs="Arial"/>
          <w:sz w:val="20"/>
          <w:szCs w:val="20"/>
        </w:rPr>
        <w:t>a professional</w:t>
      </w:r>
      <w:r w:rsidRPr="00274BD2">
        <w:rPr>
          <w:rFonts w:ascii="Arial" w:hAnsi="Arial" w:cs="Arial"/>
          <w:sz w:val="20"/>
          <w:szCs w:val="20"/>
        </w:rPr>
        <w:t xml:space="preserve"> and competent manner.</w:t>
      </w:r>
    </w:p>
    <w:p w14:paraId="1B88B25C" w14:textId="77777777" w:rsidR="00035EE2" w:rsidRDefault="007902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035EE2" w:rsidRPr="00274BD2">
        <w:rPr>
          <w:rFonts w:ascii="Arial" w:hAnsi="Arial" w:cs="Arial"/>
          <w:sz w:val="20"/>
          <w:szCs w:val="20"/>
        </w:rPr>
        <w:t>he training will touch on the broad spectrum of skills necessary to meet the needs of the modern media</w:t>
      </w:r>
      <w:r w:rsidR="00170074" w:rsidRPr="00274BD2">
        <w:rPr>
          <w:rFonts w:ascii="Arial" w:hAnsi="Arial" w:cs="Arial"/>
          <w:sz w:val="20"/>
          <w:szCs w:val="20"/>
        </w:rPr>
        <w:t>, giving insight to proven approaches and methods to influence coverage and gain positive exposure.</w:t>
      </w:r>
      <w:r w:rsidR="00035EE2" w:rsidRPr="00274BD2">
        <w:rPr>
          <w:rFonts w:ascii="Arial" w:hAnsi="Arial" w:cs="Arial"/>
          <w:sz w:val="20"/>
          <w:szCs w:val="20"/>
        </w:rPr>
        <w:t xml:space="preserve"> </w:t>
      </w:r>
      <w:r w:rsidR="00170074" w:rsidRPr="00274BD2">
        <w:rPr>
          <w:rFonts w:ascii="Arial" w:hAnsi="Arial" w:cs="Arial"/>
          <w:sz w:val="20"/>
          <w:szCs w:val="20"/>
        </w:rPr>
        <w:t>The intention is to build on the work d</w:t>
      </w:r>
      <w:r>
        <w:rPr>
          <w:rFonts w:ascii="Arial" w:hAnsi="Arial" w:cs="Arial"/>
          <w:sz w:val="20"/>
          <w:szCs w:val="20"/>
        </w:rPr>
        <w:t xml:space="preserve">one to date to create a list of </w:t>
      </w:r>
      <w:r w:rsidR="00170074" w:rsidRPr="00274BD2">
        <w:rPr>
          <w:rFonts w:ascii="Arial" w:hAnsi="Arial" w:cs="Arial"/>
          <w:sz w:val="20"/>
          <w:szCs w:val="20"/>
        </w:rPr>
        <w:t>‘spokespeople</w:t>
      </w:r>
      <w:r w:rsidR="00FE041F">
        <w:rPr>
          <w:rFonts w:ascii="Arial" w:hAnsi="Arial" w:cs="Arial"/>
          <w:sz w:val="20"/>
          <w:szCs w:val="20"/>
        </w:rPr>
        <w:t>/ambassadors</w:t>
      </w:r>
      <w:r w:rsidR="00170074" w:rsidRPr="00274BD2">
        <w:rPr>
          <w:rFonts w:ascii="Arial" w:hAnsi="Arial" w:cs="Arial"/>
          <w:sz w:val="20"/>
          <w:szCs w:val="20"/>
        </w:rPr>
        <w:t>’ who are willing and able to use social, print and broadcast media to best effect.</w:t>
      </w:r>
      <w:r w:rsidR="00035EE2" w:rsidRPr="00274BD2">
        <w:rPr>
          <w:rFonts w:ascii="Arial" w:hAnsi="Arial" w:cs="Arial"/>
          <w:sz w:val="20"/>
          <w:szCs w:val="20"/>
        </w:rPr>
        <w:t xml:space="preserve"> </w:t>
      </w:r>
    </w:p>
    <w:p w14:paraId="662F3BBA" w14:textId="33FA52A5" w:rsidR="000E1CD4" w:rsidRDefault="000E1CD4">
      <w:pPr>
        <w:rPr>
          <w:rFonts w:ascii="Arial" w:hAnsi="Arial" w:cs="Arial"/>
          <w:sz w:val="20"/>
          <w:szCs w:val="20"/>
        </w:rPr>
      </w:pPr>
      <w:r w:rsidRPr="000E1CD4">
        <w:rPr>
          <w:rFonts w:ascii="Arial" w:hAnsi="Arial" w:cs="Arial"/>
          <w:b/>
          <w:sz w:val="20"/>
          <w:szCs w:val="20"/>
        </w:rPr>
        <w:t>Target audience</w:t>
      </w:r>
      <w:r>
        <w:rPr>
          <w:rFonts w:ascii="Arial" w:hAnsi="Arial" w:cs="Arial"/>
          <w:sz w:val="20"/>
          <w:szCs w:val="20"/>
        </w:rPr>
        <w:t xml:space="preserve"> – A combination of staff, farmers and growers with differing needs, experience and knowledge of the media</w:t>
      </w:r>
      <w:r w:rsidR="00846DF5">
        <w:rPr>
          <w:rFonts w:ascii="Arial" w:hAnsi="Arial" w:cs="Arial"/>
          <w:sz w:val="20"/>
          <w:szCs w:val="20"/>
        </w:rPr>
        <w:t xml:space="preserve">. </w:t>
      </w:r>
    </w:p>
    <w:p w14:paraId="547318F6" w14:textId="77777777" w:rsidR="00E75904" w:rsidRPr="00274BD2" w:rsidRDefault="00E75904" w:rsidP="00E75904">
      <w:pPr>
        <w:rPr>
          <w:rFonts w:ascii="Arial" w:hAnsi="Arial" w:cs="Arial"/>
          <w:sz w:val="20"/>
          <w:szCs w:val="20"/>
        </w:rPr>
      </w:pPr>
      <w:r w:rsidRPr="00B71C2D">
        <w:rPr>
          <w:rFonts w:ascii="Arial" w:hAnsi="Arial" w:cs="Arial"/>
          <w:b/>
          <w:sz w:val="20"/>
          <w:szCs w:val="20"/>
        </w:rPr>
        <w:t>Training location</w:t>
      </w:r>
      <w:r>
        <w:rPr>
          <w:rFonts w:ascii="Arial" w:hAnsi="Arial" w:cs="Arial"/>
          <w:sz w:val="20"/>
          <w:szCs w:val="20"/>
        </w:rPr>
        <w:t xml:space="preserve"> –</w:t>
      </w:r>
      <w:r w:rsidRPr="00274BD2">
        <w:rPr>
          <w:rFonts w:ascii="Arial" w:hAnsi="Arial" w:cs="Arial"/>
          <w:sz w:val="20"/>
          <w:szCs w:val="20"/>
        </w:rPr>
        <w:t xml:space="preserve"> may be held at Stoneleigh or other venues in Scotland, England or Wales</w:t>
      </w:r>
      <w:r>
        <w:rPr>
          <w:rFonts w:ascii="Arial" w:hAnsi="Arial" w:cs="Arial"/>
          <w:sz w:val="20"/>
          <w:szCs w:val="20"/>
        </w:rPr>
        <w:t>.</w:t>
      </w:r>
    </w:p>
    <w:p w14:paraId="3913AB60" w14:textId="4388F837" w:rsidR="00F25A56" w:rsidRDefault="004C33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AHDB will work with the training partner on pre-course registrations and during delivery. The partner will be required to coordinate post course delegate feedback. This should be provided to AHDB within 7 days of attending the training by email to </w:t>
      </w:r>
      <w:hyperlink r:id="rId6" w:history="1">
        <w:r w:rsidRPr="00E81C31">
          <w:rPr>
            <w:rStyle w:val="Hyperlink"/>
            <w:rFonts w:ascii="Arial" w:hAnsi="Arial" w:cs="Arial"/>
            <w:sz w:val="20"/>
            <w:szCs w:val="20"/>
          </w:rPr>
          <w:t>John.bates@ahdb.org.uk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3A95D868" w14:textId="77777777" w:rsidR="00E75904" w:rsidRDefault="00E75904">
      <w:pPr>
        <w:rPr>
          <w:rFonts w:ascii="Arial" w:hAnsi="Arial" w:cs="Arial"/>
          <w:b/>
          <w:sz w:val="20"/>
          <w:szCs w:val="20"/>
        </w:rPr>
      </w:pPr>
    </w:p>
    <w:p w14:paraId="75482DF9" w14:textId="77777777" w:rsidR="00E75904" w:rsidRDefault="00E75904">
      <w:pPr>
        <w:rPr>
          <w:rFonts w:ascii="Arial" w:hAnsi="Arial" w:cs="Arial"/>
          <w:b/>
          <w:sz w:val="20"/>
          <w:szCs w:val="20"/>
        </w:rPr>
      </w:pPr>
    </w:p>
    <w:p w14:paraId="42A24FA7" w14:textId="229BEC8F" w:rsidR="00F25A56" w:rsidRDefault="00F25A5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To take part in this opportunity please submit a formal response. Submissions will be scored using the following criteria</w:t>
      </w:r>
      <w:r w:rsidR="00EC3B0F">
        <w:rPr>
          <w:rFonts w:ascii="Arial" w:hAnsi="Arial" w:cs="Arial"/>
          <w:b/>
          <w:sz w:val="20"/>
          <w:szCs w:val="20"/>
        </w:rPr>
        <w:t>;</w:t>
      </w:r>
    </w:p>
    <w:p w14:paraId="0E172D7D" w14:textId="14F02784" w:rsidR="00F25A56" w:rsidRDefault="00F25A5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Quality </w:t>
      </w:r>
      <w:r w:rsidR="00EC3B0F">
        <w:rPr>
          <w:rFonts w:ascii="Arial" w:hAnsi="Arial" w:cs="Arial"/>
          <w:b/>
          <w:sz w:val="20"/>
          <w:szCs w:val="20"/>
        </w:rPr>
        <w:t>70</w:t>
      </w:r>
      <w:r>
        <w:rPr>
          <w:rFonts w:ascii="Arial" w:hAnsi="Arial" w:cs="Arial"/>
          <w:b/>
          <w:sz w:val="20"/>
          <w:szCs w:val="20"/>
        </w:rPr>
        <w:t xml:space="preserve"> and price </w:t>
      </w:r>
      <w:r w:rsidR="00EC3B0F">
        <w:rPr>
          <w:rFonts w:ascii="Arial" w:hAnsi="Arial" w:cs="Arial"/>
          <w:b/>
          <w:sz w:val="20"/>
          <w:szCs w:val="20"/>
        </w:rPr>
        <w:t>30</w:t>
      </w:r>
    </w:p>
    <w:p w14:paraId="2575FE4D" w14:textId="5C28C1B4" w:rsidR="00E75904" w:rsidRDefault="00E75904">
      <w:pPr>
        <w:rPr>
          <w:rFonts w:ascii="Arial" w:hAnsi="Arial" w:cs="Arial"/>
          <w:b/>
          <w:sz w:val="20"/>
          <w:szCs w:val="20"/>
          <w:u w:val="single"/>
        </w:rPr>
      </w:pPr>
      <w:r w:rsidRPr="00E75904">
        <w:rPr>
          <w:rFonts w:ascii="Arial" w:hAnsi="Arial" w:cs="Arial"/>
          <w:b/>
          <w:sz w:val="20"/>
          <w:szCs w:val="20"/>
          <w:u w:val="single"/>
        </w:rPr>
        <w:t xml:space="preserve">Quality </w:t>
      </w:r>
      <w:r w:rsidR="00213468">
        <w:rPr>
          <w:rFonts w:ascii="Arial" w:hAnsi="Arial" w:cs="Arial"/>
          <w:b/>
          <w:sz w:val="20"/>
          <w:szCs w:val="20"/>
          <w:u w:val="single"/>
        </w:rPr>
        <w:t>–</w:t>
      </w:r>
      <w:r w:rsidRPr="00E7590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C3B0F">
        <w:rPr>
          <w:rFonts w:ascii="Arial" w:hAnsi="Arial" w:cs="Arial"/>
          <w:b/>
          <w:sz w:val="20"/>
          <w:szCs w:val="20"/>
          <w:u w:val="single"/>
        </w:rPr>
        <w:t>70</w:t>
      </w:r>
    </w:p>
    <w:p w14:paraId="6A1DC6BE" w14:textId="58CF18B9" w:rsidR="00213468" w:rsidRPr="00E75904" w:rsidRDefault="0021346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Please answer the following questions in number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6283"/>
        <w:gridCol w:w="1276"/>
      </w:tblGrid>
      <w:tr w:rsidR="00F25A56" w14:paraId="60CBFA5E" w14:textId="77777777" w:rsidTr="00EC3B0F">
        <w:tc>
          <w:tcPr>
            <w:tcW w:w="1083" w:type="dxa"/>
          </w:tcPr>
          <w:p w14:paraId="3C853302" w14:textId="67ACAA03" w:rsidR="00F25A56" w:rsidRDefault="00F25A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Question </w:t>
            </w:r>
          </w:p>
        </w:tc>
        <w:tc>
          <w:tcPr>
            <w:tcW w:w="6283" w:type="dxa"/>
          </w:tcPr>
          <w:p w14:paraId="5D029EBA" w14:textId="77777777" w:rsidR="00F25A56" w:rsidRDefault="00F25A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903EF4" w14:textId="2BADE007" w:rsidR="00F25A56" w:rsidRDefault="00E75904" w:rsidP="00E759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 score </w:t>
            </w:r>
            <w:r w:rsidR="00F25A56">
              <w:rPr>
                <w:rFonts w:ascii="Arial" w:hAnsi="Arial" w:cs="Arial"/>
                <w:b/>
                <w:sz w:val="20"/>
                <w:szCs w:val="20"/>
              </w:rPr>
              <w:t>available</w:t>
            </w:r>
          </w:p>
        </w:tc>
      </w:tr>
      <w:tr w:rsidR="00F25A56" w14:paraId="74642CD2" w14:textId="77777777" w:rsidTr="00EC3B0F">
        <w:tc>
          <w:tcPr>
            <w:tcW w:w="1083" w:type="dxa"/>
          </w:tcPr>
          <w:p w14:paraId="0C50DF4A" w14:textId="1F69063D" w:rsidR="00F25A56" w:rsidRDefault="00F25A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83" w:type="dxa"/>
          </w:tcPr>
          <w:p w14:paraId="1592C605" w14:textId="31A497B3" w:rsidR="004C3375" w:rsidRDefault="004C3375" w:rsidP="006E24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one example of</w:t>
            </w:r>
            <w:r w:rsidRPr="00274BD2">
              <w:rPr>
                <w:rFonts w:ascii="Arial" w:hAnsi="Arial" w:cs="Arial"/>
                <w:sz w:val="20"/>
                <w:szCs w:val="20"/>
              </w:rPr>
              <w:t xml:space="preserve"> previous training delivered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24F9">
              <w:rPr>
                <w:rFonts w:ascii="Arial" w:hAnsi="Arial" w:cs="Arial"/>
                <w:sz w:val="20"/>
                <w:szCs w:val="20"/>
              </w:rPr>
              <w:t>within the last 12 months.</w:t>
            </w:r>
            <w:r w:rsidR="00E75904">
              <w:rPr>
                <w:rFonts w:ascii="Arial" w:hAnsi="Arial" w:cs="Arial"/>
                <w:sz w:val="20"/>
                <w:szCs w:val="20"/>
              </w:rPr>
              <w:t xml:space="preserve"> In particular the handling of ‘hard news stories’</w:t>
            </w:r>
          </w:p>
        </w:tc>
        <w:tc>
          <w:tcPr>
            <w:tcW w:w="1276" w:type="dxa"/>
          </w:tcPr>
          <w:p w14:paraId="3AC360C5" w14:textId="6A2A758E" w:rsidR="00F25A56" w:rsidRDefault="00EC3B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F25A56" w14:paraId="4D6B1AE0" w14:textId="77777777" w:rsidTr="00EC3B0F">
        <w:tc>
          <w:tcPr>
            <w:tcW w:w="1083" w:type="dxa"/>
          </w:tcPr>
          <w:p w14:paraId="42186A87" w14:textId="5D7D48E7" w:rsidR="00F25A56" w:rsidRDefault="00F25A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83" w:type="dxa"/>
          </w:tcPr>
          <w:p w14:paraId="3DBB88CC" w14:textId="0016A29F" w:rsidR="00F25A56" w:rsidRDefault="004C3375" w:rsidP="004C3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e</w:t>
            </w:r>
            <w:r w:rsidRPr="00274BD2">
              <w:rPr>
                <w:rFonts w:ascii="Arial" w:hAnsi="Arial" w:cs="Arial"/>
                <w:sz w:val="20"/>
                <w:szCs w:val="20"/>
              </w:rPr>
              <w:t xml:space="preserve">vidence of </w:t>
            </w:r>
            <w:r w:rsidR="006E24F9">
              <w:rPr>
                <w:rFonts w:ascii="Arial" w:hAnsi="Arial" w:cs="Arial"/>
                <w:sz w:val="20"/>
                <w:szCs w:val="20"/>
              </w:rPr>
              <w:t xml:space="preserve">successful </w:t>
            </w:r>
            <w:r w:rsidRPr="00274BD2">
              <w:rPr>
                <w:rFonts w:ascii="Arial" w:hAnsi="Arial" w:cs="Arial"/>
                <w:sz w:val="20"/>
                <w:szCs w:val="20"/>
              </w:rPr>
              <w:t>partnership working with in house</w:t>
            </w:r>
            <w:r>
              <w:rPr>
                <w:rFonts w:ascii="Arial" w:hAnsi="Arial" w:cs="Arial"/>
                <w:sz w:val="20"/>
                <w:szCs w:val="20"/>
              </w:rPr>
              <w:t xml:space="preserve"> PR</w:t>
            </w:r>
            <w:r w:rsidRPr="00274BD2">
              <w:rPr>
                <w:rFonts w:ascii="Arial" w:hAnsi="Arial" w:cs="Arial"/>
                <w:sz w:val="20"/>
                <w:szCs w:val="20"/>
              </w:rPr>
              <w:t xml:space="preserve"> teams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5E7BC616" w14:textId="0761F2CA" w:rsidR="00F25A56" w:rsidRDefault="00EC3B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4C3375" w14:paraId="27DBA8D2" w14:textId="77777777" w:rsidTr="00EC3B0F">
        <w:tc>
          <w:tcPr>
            <w:tcW w:w="1083" w:type="dxa"/>
          </w:tcPr>
          <w:p w14:paraId="7CDE3801" w14:textId="30E85183" w:rsidR="004C3375" w:rsidRDefault="004C33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83" w:type="dxa"/>
          </w:tcPr>
          <w:p w14:paraId="741776EC" w14:textId="033F7C8A" w:rsidR="004C3375" w:rsidRDefault="004C3375" w:rsidP="006E24F9">
            <w:pPr>
              <w:rPr>
                <w:rFonts w:ascii="Arial" w:hAnsi="Arial" w:cs="Arial"/>
                <w:sz w:val="20"/>
                <w:szCs w:val="20"/>
              </w:rPr>
            </w:pPr>
            <w:r w:rsidRPr="00274BD2"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>
              <w:rPr>
                <w:rFonts w:ascii="Arial" w:hAnsi="Arial" w:cs="Arial"/>
                <w:sz w:val="20"/>
                <w:szCs w:val="20"/>
              </w:rPr>
              <w:t>a brief outline</w:t>
            </w:r>
            <w:r w:rsidR="006E24F9">
              <w:rPr>
                <w:rFonts w:ascii="Arial" w:hAnsi="Arial" w:cs="Arial"/>
                <w:sz w:val="20"/>
                <w:szCs w:val="20"/>
              </w:rPr>
              <w:t>/</w:t>
            </w:r>
            <w:r w:rsidR="00213468">
              <w:rPr>
                <w:rFonts w:ascii="Arial" w:hAnsi="Arial" w:cs="Arial"/>
                <w:sz w:val="20"/>
                <w:szCs w:val="20"/>
              </w:rPr>
              <w:t>a</w:t>
            </w:r>
            <w:r w:rsidR="006E24F9">
              <w:rPr>
                <w:rFonts w:ascii="Arial" w:hAnsi="Arial" w:cs="Arial"/>
                <w:sz w:val="20"/>
                <w:szCs w:val="20"/>
              </w:rPr>
              <w:t>genda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Pr="00274BD2">
              <w:rPr>
                <w:rFonts w:ascii="Arial" w:hAnsi="Arial" w:cs="Arial"/>
                <w:sz w:val="20"/>
                <w:szCs w:val="20"/>
              </w:rPr>
              <w:t xml:space="preserve">course content </w:t>
            </w:r>
            <w:r>
              <w:rPr>
                <w:rFonts w:ascii="Arial" w:hAnsi="Arial" w:cs="Arial"/>
                <w:sz w:val="20"/>
                <w:szCs w:val="20"/>
              </w:rPr>
              <w:t xml:space="preserve">you would </w:t>
            </w:r>
            <w:r w:rsidR="006E24F9">
              <w:rPr>
                <w:rFonts w:ascii="Arial" w:hAnsi="Arial" w:cs="Arial"/>
                <w:sz w:val="20"/>
                <w:szCs w:val="20"/>
              </w:rPr>
              <w:t xml:space="preserve">recommend </w:t>
            </w:r>
            <w:r>
              <w:rPr>
                <w:rFonts w:ascii="Arial" w:hAnsi="Arial" w:cs="Arial"/>
                <w:sz w:val="20"/>
                <w:szCs w:val="20"/>
              </w:rPr>
              <w:t>to AHDB</w:t>
            </w:r>
            <w:r w:rsidR="006E24F9">
              <w:rPr>
                <w:rFonts w:ascii="Arial" w:hAnsi="Arial" w:cs="Arial"/>
                <w:sz w:val="20"/>
                <w:szCs w:val="20"/>
              </w:rPr>
              <w:t>. This must include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4BD2">
              <w:rPr>
                <w:rFonts w:ascii="Arial" w:hAnsi="Arial" w:cs="Arial"/>
                <w:sz w:val="20"/>
                <w:szCs w:val="20"/>
              </w:rPr>
              <w:t xml:space="preserve">methods </w:t>
            </w:r>
            <w:r w:rsidR="006E24F9">
              <w:rPr>
                <w:rFonts w:ascii="Arial" w:hAnsi="Arial" w:cs="Arial"/>
                <w:sz w:val="20"/>
                <w:szCs w:val="20"/>
              </w:rPr>
              <w:t>of delivery for the sessions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33A1F9D" w14:textId="03F1662F" w:rsidR="004C3375" w:rsidRDefault="00EC3B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6E24F9" w14:paraId="13AA8883" w14:textId="77777777" w:rsidTr="00EC3B0F">
        <w:tc>
          <w:tcPr>
            <w:tcW w:w="1083" w:type="dxa"/>
          </w:tcPr>
          <w:p w14:paraId="72C9DE67" w14:textId="6CA63BF6" w:rsidR="006E24F9" w:rsidRDefault="006E24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83" w:type="dxa"/>
          </w:tcPr>
          <w:p w14:paraId="4565FAF2" w14:textId="2BB26D5A" w:rsidR="006E24F9" w:rsidRPr="00274BD2" w:rsidRDefault="006E24F9" w:rsidP="006E24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Attach CVs for all staff who would be assigned to this contract (including relevant qualifications)</w:t>
            </w:r>
          </w:p>
        </w:tc>
        <w:tc>
          <w:tcPr>
            <w:tcW w:w="1276" w:type="dxa"/>
          </w:tcPr>
          <w:p w14:paraId="7458F48C" w14:textId="4B2245D7" w:rsidR="006E24F9" w:rsidRDefault="00EC3B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6E24F9" w14:paraId="3C4992BF" w14:textId="77777777" w:rsidTr="00EC3B0F">
        <w:tc>
          <w:tcPr>
            <w:tcW w:w="1083" w:type="dxa"/>
          </w:tcPr>
          <w:p w14:paraId="4E2049F7" w14:textId="4B19B0E4" w:rsidR="006E24F9" w:rsidRDefault="006E24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83" w:type="dxa"/>
          </w:tcPr>
          <w:p w14:paraId="47C26CAF" w14:textId="70D651A0" w:rsidR="006E24F9" w:rsidRPr="00274BD2" w:rsidRDefault="006E24F9" w:rsidP="00213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213468">
              <w:rPr>
                <w:rFonts w:ascii="Arial" w:hAnsi="Arial" w:cs="Arial"/>
                <w:sz w:val="20"/>
                <w:szCs w:val="20"/>
              </w:rPr>
              <w:t xml:space="preserve">one </w:t>
            </w:r>
            <w:r>
              <w:rPr>
                <w:rFonts w:ascii="Arial" w:hAnsi="Arial" w:cs="Arial"/>
                <w:sz w:val="20"/>
                <w:szCs w:val="20"/>
              </w:rPr>
              <w:t>example report f</w:t>
            </w:r>
            <w:r w:rsidR="00E75904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delegate feedback that you would </w:t>
            </w:r>
            <w:r w:rsidR="00E75904">
              <w:rPr>
                <w:rFonts w:ascii="Arial" w:hAnsi="Arial" w:cs="Arial"/>
                <w:sz w:val="20"/>
                <w:szCs w:val="20"/>
              </w:rPr>
              <w:t>suggest</w:t>
            </w:r>
            <w:r w:rsidR="0021346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75904">
              <w:rPr>
                <w:rFonts w:ascii="Arial" w:hAnsi="Arial" w:cs="Arial"/>
                <w:sz w:val="20"/>
                <w:szCs w:val="20"/>
              </w:rPr>
              <w:t xml:space="preserve">following delivery of the </w:t>
            </w:r>
            <w:r>
              <w:rPr>
                <w:rFonts w:ascii="Arial" w:hAnsi="Arial" w:cs="Arial"/>
                <w:sz w:val="20"/>
                <w:szCs w:val="20"/>
              </w:rPr>
              <w:t>training</w:t>
            </w:r>
            <w:r w:rsidR="002134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08D05B41" w14:textId="7CDE34ED" w:rsidR="006E24F9" w:rsidRDefault="00EC3B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6E24F9" w14:paraId="447FA8E2" w14:textId="77777777" w:rsidTr="00EC3B0F">
        <w:tc>
          <w:tcPr>
            <w:tcW w:w="1083" w:type="dxa"/>
          </w:tcPr>
          <w:p w14:paraId="13B65D19" w14:textId="0CAE55D4" w:rsidR="006E24F9" w:rsidRDefault="006E24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83" w:type="dxa"/>
          </w:tcPr>
          <w:p w14:paraId="561E55C8" w14:textId="74DBB9EC" w:rsidR="006E24F9" w:rsidRPr="00274BD2" w:rsidRDefault="006E24F9" w:rsidP="00E759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 what contingency/ process is in place for cover should the allocated training partner b</w:t>
            </w:r>
            <w:r w:rsidR="00E75904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unavailable. </w:t>
            </w:r>
          </w:p>
        </w:tc>
        <w:tc>
          <w:tcPr>
            <w:tcW w:w="1276" w:type="dxa"/>
          </w:tcPr>
          <w:p w14:paraId="64CDC15B" w14:textId="73A1508B" w:rsidR="006E24F9" w:rsidRDefault="00EC3B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27F1DB37" w14:textId="77777777" w:rsidR="00E75904" w:rsidRDefault="00E75904">
      <w:pPr>
        <w:rPr>
          <w:rFonts w:ascii="Arial" w:hAnsi="Arial" w:cs="Arial"/>
          <w:b/>
          <w:sz w:val="20"/>
          <w:szCs w:val="20"/>
        </w:rPr>
      </w:pPr>
    </w:p>
    <w:p w14:paraId="1C0F5FA6" w14:textId="5B6FA873" w:rsidR="00050728" w:rsidRPr="00E75904" w:rsidRDefault="00E75904">
      <w:pPr>
        <w:rPr>
          <w:rFonts w:ascii="Arial" w:hAnsi="Arial" w:cs="Arial"/>
          <w:b/>
          <w:sz w:val="20"/>
          <w:szCs w:val="20"/>
          <w:u w:val="single"/>
        </w:rPr>
      </w:pPr>
      <w:r w:rsidRPr="00E75904">
        <w:rPr>
          <w:rFonts w:ascii="Arial" w:hAnsi="Arial" w:cs="Arial"/>
          <w:b/>
          <w:sz w:val="20"/>
          <w:szCs w:val="20"/>
          <w:u w:val="single"/>
        </w:rPr>
        <w:t xml:space="preserve">Price – </w:t>
      </w:r>
      <w:r w:rsidR="00EC3B0F">
        <w:rPr>
          <w:rFonts w:ascii="Arial" w:hAnsi="Arial" w:cs="Arial"/>
          <w:b/>
          <w:sz w:val="20"/>
          <w:szCs w:val="20"/>
          <w:u w:val="single"/>
        </w:rPr>
        <w:t>30</w:t>
      </w:r>
    </w:p>
    <w:p w14:paraId="6236769A" w14:textId="43C88FFC" w:rsidR="00E75904" w:rsidRDefault="00E75904" w:rsidP="009129E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complete the attached price schedule (Appendix 1)</w:t>
      </w:r>
    </w:p>
    <w:p w14:paraId="00489A81" w14:textId="7AC72086" w:rsidR="00A62161" w:rsidRDefault="00A62161" w:rsidP="009129E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Prices should be per course, not per delegate and exclude VAT</w:t>
      </w:r>
    </w:p>
    <w:p w14:paraId="091F162E" w14:textId="77777777" w:rsidR="00E75904" w:rsidRDefault="00E75904">
      <w:pPr>
        <w:rPr>
          <w:rFonts w:ascii="Arial" w:hAnsi="Arial" w:cs="Arial"/>
          <w:sz w:val="20"/>
          <w:szCs w:val="20"/>
        </w:rPr>
      </w:pPr>
    </w:p>
    <w:p w14:paraId="7B5CF698" w14:textId="4A78BDA3" w:rsidR="009129EE" w:rsidRDefault="006719AC">
      <w:pPr>
        <w:rPr>
          <w:rFonts w:ascii="Arial" w:hAnsi="Arial" w:cs="Arial"/>
          <w:sz w:val="20"/>
          <w:szCs w:val="20"/>
        </w:rPr>
      </w:pPr>
      <w:r w:rsidRPr="006719AC">
        <w:rPr>
          <w:rFonts w:ascii="Arial" w:hAnsi="Arial" w:cs="Arial"/>
          <w:b/>
          <w:sz w:val="20"/>
          <w:szCs w:val="20"/>
        </w:rPr>
        <w:t>Responses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A47F2CB" w14:textId="26874328" w:rsidR="006719AC" w:rsidRDefault="00E759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719AC">
        <w:rPr>
          <w:rFonts w:ascii="Arial" w:hAnsi="Arial" w:cs="Arial"/>
          <w:sz w:val="20"/>
          <w:szCs w:val="20"/>
        </w:rPr>
        <w:t xml:space="preserve">roposals should be submitted via email </w:t>
      </w:r>
      <w:r>
        <w:rPr>
          <w:rFonts w:ascii="Arial" w:hAnsi="Arial" w:cs="Arial"/>
          <w:sz w:val="20"/>
          <w:szCs w:val="20"/>
        </w:rPr>
        <w:t xml:space="preserve">to </w:t>
      </w:r>
      <w:hyperlink r:id="rId7" w:history="1">
        <w:r w:rsidRPr="00E75904">
          <w:rPr>
            <w:rStyle w:val="Hyperlink"/>
            <w:rFonts w:ascii="Arial" w:hAnsi="Arial" w:cs="Arial"/>
            <w:sz w:val="20"/>
            <w:szCs w:val="20"/>
          </w:rPr>
          <w:t>Danielle.woodall@ahdb.org.uk</w:t>
        </w:r>
      </w:hyperlink>
      <w:r>
        <w:rPr>
          <w:rFonts w:ascii="Arial" w:hAnsi="Arial" w:cs="Arial"/>
          <w:sz w:val="20"/>
          <w:szCs w:val="20"/>
        </w:rPr>
        <w:t xml:space="preserve"> before the official close date as detailed in the timeline below. </w:t>
      </w:r>
    </w:p>
    <w:p w14:paraId="2E280AF5" w14:textId="4763E75D" w:rsidR="00BC5719" w:rsidRPr="0032406C" w:rsidRDefault="0032406C">
      <w:pPr>
        <w:rPr>
          <w:rFonts w:ascii="Arial" w:hAnsi="Arial" w:cs="Arial"/>
          <w:b/>
          <w:sz w:val="20"/>
          <w:szCs w:val="20"/>
        </w:rPr>
      </w:pPr>
      <w:r w:rsidRPr="0032406C">
        <w:rPr>
          <w:rFonts w:ascii="Arial" w:hAnsi="Arial" w:cs="Arial"/>
          <w:b/>
          <w:sz w:val="20"/>
          <w:szCs w:val="20"/>
        </w:rPr>
        <w:t>Please be aware that any clarification questions in relation to this document must be raised before 5pm on 10/08/2017. No questions regarding this process will be answered after this date.</w:t>
      </w:r>
    </w:p>
    <w:p w14:paraId="755D98E3" w14:textId="2589D66E" w:rsidR="009129EE" w:rsidRPr="00BC5719" w:rsidRDefault="009129EE">
      <w:pPr>
        <w:rPr>
          <w:rFonts w:ascii="Arial" w:hAnsi="Arial" w:cs="Arial"/>
          <w:b/>
          <w:sz w:val="20"/>
          <w:szCs w:val="20"/>
          <w:u w:val="single"/>
        </w:rPr>
      </w:pPr>
      <w:r w:rsidRPr="00BC5719">
        <w:rPr>
          <w:rFonts w:ascii="Arial" w:hAnsi="Arial" w:cs="Arial"/>
          <w:b/>
          <w:sz w:val="20"/>
          <w:szCs w:val="20"/>
          <w:u w:val="single"/>
        </w:rPr>
        <w:t>Timeline</w:t>
      </w:r>
    </w:p>
    <w:tbl>
      <w:tblPr>
        <w:tblStyle w:val="TableGrid"/>
        <w:tblW w:w="0" w:type="auto"/>
        <w:tblInd w:w="1960" w:type="dxa"/>
        <w:tblLook w:val="04A0" w:firstRow="1" w:lastRow="0" w:firstColumn="1" w:lastColumn="0" w:noHBand="0" w:noVBand="1"/>
      </w:tblPr>
      <w:tblGrid>
        <w:gridCol w:w="2689"/>
        <w:gridCol w:w="2693"/>
      </w:tblGrid>
      <w:tr w:rsidR="009129EE" w14:paraId="106229A6" w14:textId="77777777" w:rsidTr="00BC5719">
        <w:tc>
          <w:tcPr>
            <w:tcW w:w="2689" w:type="dxa"/>
          </w:tcPr>
          <w:p w14:paraId="463C5E80" w14:textId="00CA5F98" w:rsidR="009129EE" w:rsidRDefault="00912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 competition circulated</w:t>
            </w:r>
          </w:p>
        </w:tc>
        <w:tc>
          <w:tcPr>
            <w:tcW w:w="2693" w:type="dxa"/>
          </w:tcPr>
          <w:p w14:paraId="150232C3" w14:textId="29DC3F35" w:rsidR="009129EE" w:rsidRDefault="00BC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01/08/2017</w:t>
            </w:r>
          </w:p>
        </w:tc>
      </w:tr>
      <w:tr w:rsidR="009129EE" w14:paraId="4D32C77F" w14:textId="77777777" w:rsidTr="00BC5719">
        <w:tc>
          <w:tcPr>
            <w:tcW w:w="2689" w:type="dxa"/>
          </w:tcPr>
          <w:p w14:paraId="20E491BC" w14:textId="2D57AC00" w:rsidR="009129EE" w:rsidRDefault="009129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Closing date for responses</w:t>
            </w:r>
          </w:p>
        </w:tc>
        <w:tc>
          <w:tcPr>
            <w:tcW w:w="2693" w:type="dxa"/>
          </w:tcPr>
          <w:p w14:paraId="7BB79742" w14:textId="7F435372" w:rsidR="009129EE" w:rsidRDefault="00BC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Noon on 21/08/2017</w:t>
            </w:r>
          </w:p>
        </w:tc>
      </w:tr>
      <w:tr w:rsidR="009129EE" w14:paraId="031481CB" w14:textId="77777777" w:rsidTr="00BC5719">
        <w:tc>
          <w:tcPr>
            <w:tcW w:w="2689" w:type="dxa"/>
          </w:tcPr>
          <w:p w14:paraId="301C2B2E" w14:textId="50301EF6" w:rsidR="009129EE" w:rsidRDefault="00BC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of submissions</w:t>
            </w:r>
          </w:p>
        </w:tc>
        <w:tc>
          <w:tcPr>
            <w:tcW w:w="2693" w:type="dxa"/>
          </w:tcPr>
          <w:p w14:paraId="43B14799" w14:textId="7C154C98" w:rsidR="009129EE" w:rsidRDefault="00BC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22/08/2017 – 25/07/2017</w:t>
            </w:r>
          </w:p>
        </w:tc>
      </w:tr>
      <w:tr w:rsidR="009129EE" w14:paraId="5ACF01B2" w14:textId="77777777" w:rsidTr="00BC5719">
        <w:tc>
          <w:tcPr>
            <w:tcW w:w="2689" w:type="dxa"/>
          </w:tcPr>
          <w:p w14:paraId="44C3E79E" w14:textId="663EEE80" w:rsidR="009129EE" w:rsidRDefault="00BC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Notification of contract award/Pitch presentations</w:t>
            </w:r>
          </w:p>
        </w:tc>
        <w:tc>
          <w:tcPr>
            <w:tcW w:w="2693" w:type="dxa"/>
          </w:tcPr>
          <w:p w14:paraId="2A996BF3" w14:textId="57CDEA3C" w:rsidR="009129EE" w:rsidRDefault="00BC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30/08/2017 – 15/09/2017</w:t>
            </w:r>
          </w:p>
        </w:tc>
      </w:tr>
      <w:tr w:rsidR="00BC5719" w14:paraId="38FAED92" w14:textId="77777777" w:rsidTr="00BC5719">
        <w:tc>
          <w:tcPr>
            <w:tcW w:w="2689" w:type="dxa"/>
          </w:tcPr>
          <w:p w14:paraId="7F78E71E" w14:textId="1FE0EEE3" w:rsidR="00BC5719" w:rsidRDefault="00BC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start date</w:t>
            </w:r>
          </w:p>
        </w:tc>
        <w:tc>
          <w:tcPr>
            <w:tcW w:w="2693" w:type="dxa"/>
          </w:tcPr>
          <w:p w14:paraId="5C475E56" w14:textId="4E4D3C31" w:rsidR="00BC5719" w:rsidRDefault="00BC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01/10/2017</w:t>
            </w:r>
          </w:p>
        </w:tc>
      </w:tr>
    </w:tbl>
    <w:p w14:paraId="55B80D75" w14:textId="77777777" w:rsidR="009129EE" w:rsidRDefault="009129EE">
      <w:pPr>
        <w:rPr>
          <w:rFonts w:ascii="Arial" w:hAnsi="Arial" w:cs="Arial"/>
          <w:sz w:val="20"/>
          <w:szCs w:val="20"/>
        </w:rPr>
      </w:pPr>
    </w:p>
    <w:p w14:paraId="0AB5C408" w14:textId="48F34873" w:rsidR="00BC5719" w:rsidRDefault="00BC5719">
      <w:pPr>
        <w:rPr>
          <w:rFonts w:ascii="Arial" w:hAnsi="Arial" w:cs="Arial"/>
          <w:sz w:val="20"/>
          <w:szCs w:val="20"/>
        </w:rPr>
      </w:pPr>
      <w:r w:rsidRPr="00BC5719">
        <w:rPr>
          <w:rFonts w:ascii="Arial" w:hAnsi="Arial" w:cs="Arial"/>
          <w:sz w:val="20"/>
          <w:szCs w:val="20"/>
        </w:rPr>
        <w:t xml:space="preserve">It may be a requirement </w:t>
      </w:r>
      <w:r>
        <w:rPr>
          <w:rFonts w:ascii="Arial" w:hAnsi="Arial" w:cs="Arial"/>
          <w:sz w:val="20"/>
          <w:szCs w:val="20"/>
        </w:rPr>
        <w:t xml:space="preserve">(following evaluation) to </w:t>
      </w:r>
      <w:r w:rsidRPr="00BC5719">
        <w:rPr>
          <w:rFonts w:ascii="Arial" w:hAnsi="Arial" w:cs="Arial"/>
          <w:sz w:val="20"/>
          <w:szCs w:val="20"/>
        </w:rPr>
        <w:t xml:space="preserve">shortlist </w:t>
      </w:r>
      <w:r>
        <w:rPr>
          <w:rFonts w:ascii="Arial" w:hAnsi="Arial" w:cs="Arial"/>
          <w:sz w:val="20"/>
          <w:szCs w:val="20"/>
        </w:rPr>
        <w:t xml:space="preserve">and invite </w:t>
      </w:r>
      <w:r w:rsidRPr="00BC5719">
        <w:rPr>
          <w:rFonts w:ascii="Arial" w:hAnsi="Arial" w:cs="Arial"/>
          <w:sz w:val="20"/>
          <w:szCs w:val="20"/>
        </w:rPr>
        <w:t xml:space="preserve">the top two agencies </w:t>
      </w:r>
      <w:r>
        <w:rPr>
          <w:rFonts w:ascii="Arial" w:hAnsi="Arial" w:cs="Arial"/>
          <w:sz w:val="20"/>
          <w:szCs w:val="20"/>
        </w:rPr>
        <w:t>to make</w:t>
      </w:r>
      <w:r w:rsidR="000E1CD4">
        <w:rPr>
          <w:rFonts w:ascii="Arial" w:hAnsi="Arial" w:cs="Arial"/>
          <w:sz w:val="20"/>
          <w:szCs w:val="20"/>
        </w:rPr>
        <w:t xml:space="preserve"> a 30 – 45 (max)</w:t>
      </w:r>
      <w:r w:rsidR="00B71C2D">
        <w:rPr>
          <w:rFonts w:ascii="Arial" w:hAnsi="Arial" w:cs="Arial"/>
          <w:sz w:val="20"/>
          <w:szCs w:val="20"/>
        </w:rPr>
        <w:t xml:space="preserve"> minute presentation </w:t>
      </w:r>
      <w:r w:rsidR="00FF078A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the Head of PR at Stoneleigh Park, Warwick. This will be </w:t>
      </w:r>
      <w:r w:rsidR="00B71C2D">
        <w:rPr>
          <w:rFonts w:ascii="Arial" w:hAnsi="Arial" w:cs="Arial"/>
          <w:sz w:val="20"/>
          <w:szCs w:val="20"/>
        </w:rPr>
        <w:t>about the envisaged approach</w:t>
      </w:r>
      <w:r>
        <w:rPr>
          <w:rFonts w:ascii="Arial" w:hAnsi="Arial" w:cs="Arial"/>
          <w:sz w:val="20"/>
          <w:szCs w:val="20"/>
        </w:rPr>
        <w:t>. If this requirement is needed the top two suppliers will be formally notified and a scoring method issued. If this requirement isn’t needed the contract date may be pulled forward.</w:t>
      </w:r>
    </w:p>
    <w:p w14:paraId="2B5BF9B7" w14:textId="77777777" w:rsidR="00BC5719" w:rsidRDefault="00BC5719" w:rsidP="00BC571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you have any questions relating to this brief please send an email to </w:t>
      </w:r>
      <w:hyperlink r:id="rId8" w:history="1">
        <w:r w:rsidRPr="00E81C31">
          <w:rPr>
            <w:rStyle w:val="Hyperlink"/>
            <w:rFonts w:ascii="Arial" w:hAnsi="Arial" w:cs="Arial"/>
            <w:b/>
            <w:sz w:val="20"/>
            <w:szCs w:val="20"/>
          </w:rPr>
          <w:t>Danielle.woodall@ahdb.org.uk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p w14:paraId="52B6F46E" w14:textId="0BF8E7ED" w:rsidR="00170074" w:rsidRPr="00982379" w:rsidRDefault="00170074" w:rsidP="00982379">
      <w:pPr>
        <w:ind w:left="72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70074" w:rsidRPr="00982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34FA"/>
    <w:multiLevelType w:val="hybridMultilevel"/>
    <w:tmpl w:val="24CCF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57"/>
    <w:rsid w:val="0000685D"/>
    <w:rsid w:val="00024A59"/>
    <w:rsid w:val="00035EE2"/>
    <w:rsid w:val="00050728"/>
    <w:rsid w:val="00064E13"/>
    <w:rsid w:val="00075506"/>
    <w:rsid w:val="000B0FA9"/>
    <w:rsid w:val="000E1CD4"/>
    <w:rsid w:val="00115AB3"/>
    <w:rsid w:val="00144A40"/>
    <w:rsid w:val="00170074"/>
    <w:rsid w:val="00196044"/>
    <w:rsid w:val="002106FA"/>
    <w:rsid w:val="00213468"/>
    <w:rsid w:val="002567F2"/>
    <w:rsid w:val="00257065"/>
    <w:rsid w:val="00274BD2"/>
    <w:rsid w:val="002D4C32"/>
    <w:rsid w:val="0032406C"/>
    <w:rsid w:val="00335178"/>
    <w:rsid w:val="00335AEC"/>
    <w:rsid w:val="003570EF"/>
    <w:rsid w:val="003758FD"/>
    <w:rsid w:val="00406B85"/>
    <w:rsid w:val="0041155B"/>
    <w:rsid w:val="00476481"/>
    <w:rsid w:val="004C3375"/>
    <w:rsid w:val="004D00C4"/>
    <w:rsid w:val="00510D6F"/>
    <w:rsid w:val="0051313B"/>
    <w:rsid w:val="00574EC3"/>
    <w:rsid w:val="00595BE6"/>
    <w:rsid w:val="005B43E3"/>
    <w:rsid w:val="005C7689"/>
    <w:rsid w:val="0066044E"/>
    <w:rsid w:val="006719AC"/>
    <w:rsid w:val="0067799F"/>
    <w:rsid w:val="006A2C35"/>
    <w:rsid w:val="006E24F9"/>
    <w:rsid w:val="00706ED3"/>
    <w:rsid w:val="00790222"/>
    <w:rsid w:val="007A141D"/>
    <w:rsid w:val="007B223C"/>
    <w:rsid w:val="007E5E38"/>
    <w:rsid w:val="00846DF5"/>
    <w:rsid w:val="008F1D33"/>
    <w:rsid w:val="009129EE"/>
    <w:rsid w:val="009707CA"/>
    <w:rsid w:val="00982379"/>
    <w:rsid w:val="00A20C0C"/>
    <w:rsid w:val="00A62161"/>
    <w:rsid w:val="00A65B22"/>
    <w:rsid w:val="00B71C2D"/>
    <w:rsid w:val="00B73205"/>
    <w:rsid w:val="00BC5719"/>
    <w:rsid w:val="00BC58C0"/>
    <w:rsid w:val="00C40CE3"/>
    <w:rsid w:val="00C87631"/>
    <w:rsid w:val="00D33FBB"/>
    <w:rsid w:val="00D45B19"/>
    <w:rsid w:val="00D73BC5"/>
    <w:rsid w:val="00DD4E4A"/>
    <w:rsid w:val="00E33E9C"/>
    <w:rsid w:val="00E50362"/>
    <w:rsid w:val="00E75904"/>
    <w:rsid w:val="00EC3B0F"/>
    <w:rsid w:val="00F25963"/>
    <w:rsid w:val="00F25A56"/>
    <w:rsid w:val="00F26457"/>
    <w:rsid w:val="00F41BD4"/>
    <w:rsid w:val="00F42A36"/>
    <w:rsid w:val="00FE041F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58E6"/>
  <w15:chartTrackingRefBased/>
  <w15:docId w15:val="{4C0552DE-5C51-46B1-914E-82B44992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A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4BD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33F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4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A5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25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.woodall@ahdb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elle.woodall@ahdb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bates@ahdb.org.uk" TargetMode="External"/><Relationship Id="rId5" Type="http://schemas.openxmlformats.org/officeDocument/2006/relationships/hyperlink" Target="http://www.ahdb.org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batesj</dc:creator>
  <cp:keywords/>
  <dc:description/>
  <cp:lastModifiedBy>Danielle Woodall</cp:lastModifiedBy>
  <cp:revision>16</cp:revision>
  <cp:lastPrinted>2017-07-25T13:11:00Z</cp:lastPrinted>
  <dcterms:created xsi:type="dcterms:W3CDTF">2017-03-15T08:08:00Z</dcterms:created>
  <dcterms:modified xsi:type="dcterms:W3CDTF">2017-08-01T08:36:00Z</dcterms:modified>
</cp:coreProperties>
</file>