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C3CA3" w14:textId="77777777" w:rsidR="00FE452D" w:rsidRDefault="00EC4C68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Framework Schedule 3 (Framework Prices)</w:t>
      </w:r>
    </w:p>
    <w:p w14:paraId="630F2197" w14:textId="77777777" w:rsidR="00FE452D" w:rsidRDefault="00EC4C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240" w:line="240" w:lineRule="auto"/>
        <w:jc w:val="both"/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>How Framework Prices are used to calculate Call-Off Charges</w:t>
      </w:r>
    </w:p>
    <w:p w14:paraId="568878BE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The Framework Prices: </w:t>
      </w:r>
    </w:p>
    <w:p w14:paraId="4C8CF786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  <w:tab w:val="left" w:pos="1440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will be used as the basis for the charges (and are maximums that the Supplier may charge) under each Call Off Contract; and</w:t>
      </w:r>
    </w:p>
    <w:p w14:paraId="5700BC1A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cannot be increased except as in accordance with this Schedule.</w:t>
      </w:r>
    </w:p>
    <w:p w14:paraId="523D04EA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CCS will share the Framework prices with Buyer’s following completion of an access agreement, so that they can determine maximums that Suppliers may charge; and</w:t>
      </w:r>
    </w:p>
    <w:p w14:paraId="09F26C30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color w:val="000000"/>
        </w:rPr>
      </w:pPr>
      <w:r>
        <w:rPr>
          <w:rFonts w:ascii="Arial" w:eastAsia="Arial" w:hAnsi="Arial" w:cs="Arial"/>
          <w:sz w:val="24"/>
          <w:szCs w:val="24"/>
        </w:rPr>
        <w:t>The Supplier acknowledges and agrees that any prices submitted in relation to a further competi</w:t>
      </w:r>
      <w:r>
        <w:rPr>
          <w:rFonts w:ascii="Arial" w:eastAsia="Arial" w:hAnsi="Arial" w:cs="Arial"/>
          <w:sz w:val="24"/>
          <w:szCs w:val="24"/>
        </w:rPr>
        <w:t>tion held in accordance with Framework Schedule 7 (Call Off Award Procedure) shall be equal to or lower than the Framework Prices referenced in this Framework Schedule 3;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342D257C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Charges:</w:t>
      </w:r>
    </w:p>
    <w:p w14:paraId="4303DACA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shall be calculated in accordance with the terms of the Call Off Contra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ct and in particular in accordance with the terms of the Order Form; </w:t>
      </w:r>
    </w:p>
    <w:p w14:paraId="05ED61EF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cannot be increased except as specifically permitted by the Call Off Contract and in particular shall only be subject to Indexation where specifically stated in the Order Form; and</w:t>
      </w:r>
    </w:p>
    <w:p w14:paraId="7ED2CC89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shall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not be impacted by any change to the Framework Prices.</w:t>
      </w:r>
    </w:p>
    <w:p w14:paraId="77FDA53E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color w:val="000000"/>
          <w:sz w:val="24"/>
          <w:szCs w:val="24"/>
        </w:rPr>
        <w:t>Any variation to the Charges payable under a Call Off Contract must be agreed between the Supplier and the Buyer and implemented using the same procedure for altering Framework Prices in accordance wi</w:t>
      </w:r>
      <w:r>
        <w:rPr>
          <w:rFonts w:ascii="Arial" w:eastAsia="Arial" w:hAnsi="Arial" w:cs="Arial"/>
          <w:color w:val="000000"/>
          <w:sz w:val="24"/>
          <w:szCs w:val="24"/>
        </w:rPr>
        <w:t>th the provisions of this Framework Schedule 3</w:t>
      </w:r>
    </w:p>
    <w:p w14:paraId="58B936EE" w14:textId="77777777" w:rsidR="00FE452D" w:rsidRDefault="00EC4C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240" w:line="240" w:lineRule="auto"/>
        <w:jc w:val="both"/>
      </w:pPr>
      <w:r>
        <w:rPr>
          <w:rFonts w:ascii="Arial" w:eastAsia="Arial" w:hAnsi="Arial" w:cs="Arial"/>
          <w:b/>
          <w:color w:val="000000"/>
          <w:sz w:val="24"/>
          <w:szCs w:val="24"/>
        </w:rPr>
        <w:t>How Framework Prices are calculated</w:t>
      </w:r>
    </w:p>
    <w:p w14:paraId="547D2898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pricing mechanisms and prices set out in Annex 1 shall be available for use in calculation of Framework Prices in Call Off Contracts.</w:t>
      </w:r>
    </w:p>
    <w:p w14:paraId="608B2AC8" w14:textId="77777777" w:rsidR="00FE452D" w:rsidRDefault="00EC4C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240" w:line="240" w:lineRule="auto"/>
        <w:jc w:val="both"/>
      </w:pPr>
      <w:bookmarkStart w:id="2" w:name="bookmark=id.3znysh7" w:colFirst="0" w:colLast="0"/>
      <w:bookmarkStart w:id="3" w:name="_heading=h.1fob9te" w:colFirst="0" w:colLast="0"/>
      <w:bookmarkEnd w:id="2"/>
      <w:bookmarkEnd w:id="3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Are costs and expenses included in the Framework </w:t>
      </w: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Prices</w:t>
      </w:r>
      <w:proofErr w:type="gramEnd"/>
    </w:p>
    <w:p w14:paraId="55F51325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Except as expressly set out in Paragraph 4 below, or otherwise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stated in a Call Off Order Form</w:t>
      </w:r>
      <w:r>
        <w:t xml:space="preserve">  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the Framework Prices shall include all costs and expenses relating to the provision of Deliverables. No further amounts shall be payable in respect of matters such as:</w:t>
      </w:r>
    </w:p>
    <w:p w14:paraId="35EC6023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  <w:tab w:val="left" w:pos="1980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incidental expenses such as travel, subsistence an</w:t>
      </w:r>
      <w:r>
        <w:rPr>
          <w:rFonts w:ascii="Arial" w:eastAsia="Arial" w:hAnsi="Arial" w:cs="Arial"/>
          <w:color w:val="000000"/>
          <w:sz w:val="24"/>
          <w:szCs w:val="24"/>
        </w:rPr>
        <w:t>d lodging, document or report reproduction, shipping, desktop or office equipment costs, network or data interchange costs or other telecommunications charges; or</w:t>
      </w:r>
    </w:p>
    <w:p w14:paraId="4830F58E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  <w:tab w:val="left" w:pos="1980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costs incurred prior to the commencement of any Call Off Contract.</w:t>
      </w:r>
    </w:p>
    <w:p w14:paraId="1949366F" w14:textId="77777777" w:rsidR="00FE452D" w:rsidRDefault="00EC4C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240" w:line="240" w:lineRule="auto"/>
        <w:jc w:val="both"/>
      </w:pPr>
      <w:r>
        <w:rPr>
          <w:rFonts w:ascii="Arial" w:eastAsia="Arial" w:hAnsi="Arial" w:cs="Arial"/>
          <w:b/>
          <w:color w:val="000000"/>
          <w:sz w:val="24"/>
          <w:szCs w:val="24"/>
        </w:rPr>
        <w:t>When the Supplier can ask to change the Framework Prices</w:t>
      </w:r>
    </w:p>
    <w:p w14:paraId="28B9FEBE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bookmarkStart w:id="4" w:name="_heading=h.3znysh7" w:colFirst="0" w:colLast="0"/>
      <w:bookmarkEnd w:id="4"/>
      <w:r>
        <w:rPr>
          <w:rFonts w:ascii="Arial" w:eastAsia="Arial" w:hAnsi="Arial" w:cs="Arial"/>
          <w:color w:val="000000"/>
          <w:sz w:val="24"/>
          <w:szCs w:val="24"/>
        </w:rPr>
        <w:t xml:space="preserve">The Framework Prices will be fixed for the first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two (2) </w:t>
      </w:r>
      <w:r>
        <w:rPr>
          <w:rFonts w:ascii="Arial" w:eastAsia="Arial" w:hAnsi="Arial" w:cs="Arial"/>
          <w:color w:val="000000"/>
          <w:sz w:val="24"/>
          <w:szCs w:val="24"/>
        </w:rPr>
        <w:t>years following the Framework Contract Commencement Date (the date of expiry of such period is a "</w:t>
      </w:r>
      <w:r>
        <w:rPr>
          <w:rFonts w:ascii="Arial" w:eastAsia="Arial" w:hAnsi="Arial" w:cs="Arial"/>
          <w:b/>
          <w:color w:val="000000"/>
          <w:sz w:val="24"/>
          <w:szCs w:val="24"/>
        </w:rPr>
        <w:t>Review Date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").  After this Framework Prices </w:t>
      </w:r>
      <w:r>
        <w:rPr>
          <w:rFonts w:ascii="Arial" w:eastAsia="Arial" w:hAnsi="Arial" w:cs="Arial"/>
          <w:color w:val="000000"/>
          <w:sz w:val="24"/>
          <w:szCs w:val="24"/>
        </w:rPr>
        <w:t>can only be adjusted on each following yearly anniversary (the date of each such anniversary is also a "</w:t>
      </w:r>
      <w:r>
        <w:rPr>
          <w:rFonts w:ascii="Arial" w:eastAsia="Arial" w:hAnsi="Arial" w:cs="Arial"/>
          <w:b/>
          <w:color w:val="000000"/>
          <w:sz w:val="24"/>
          <w:szCs w:val="24"/>
        </w:rPr>
        <w:t>Review Date</w:t>
      </w:r>
      <w:r>
        <w:rPr>
          <w:rFonts w:ascii="Arial" w:eastAsia="Arial" w:hAnsi="Arial" w:cs="Arial"/>
          <w:color w:val="000000"/>
          <w:sz w:val="24"/>
          <w:szCs w:val="24"/>
        </w:rPr>
        <w:t>").</w:t>
      </w:r>
    </w:p>
    <w:p w14:paraId="026E7E44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bookmarkStart w:id="5" w:name="_heading=h.2et92p0" w:colFirst="0" w:colLast="0"/>
      <w:bookmarkEnd w:id="5"/>
      <w:r>
        <w:rPr>
          <w:rFonts w:ascii="Arial" w:eastAsia="Arial" w:hAnsi="Arial" w:cs="Arial"/>
          <w:color w:val="000000"/>
          <w:sz w:val="24"/>
          <w:szCs w:val="24"/>
        </w:rPr>
        <w:t>The Supplier shall give CCS at least three (3) Months' notice in writing prior to a Review Date where it wants to request an increase.  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 the Supplier does not give notice in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time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then it will only be able to request an increase prior to the next Review Date.</w:t>
      </w:r>
    </w:p>
    <w:p w14:paraId="63EEB5DE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Any notice requesting an increase shall include:</w:t>
      </w:r>
    </w:p>
    <w:p w14:paraId="57C3E436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list of the Framework Prices to be reviewed;</w:t>
      </w:r>
    </w:p>
    <w:p w14:paraId="1116BEF1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for each Framework Price under review, written evidence of the justification for the requested increase including:</w:t>
      </w:r>
    </w:p>
    <w:p w14:paraId="30A7D66E" w14:textId="77777777" w:rsidR="00FE452D" w:rsidRDefault="00EC4C6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5" w:hanging="81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breakdown of the profit and cost components that comprise the relevant Framework Price; </w:t>
      </w:r>
    </w:p>
    <w:p w14:paraId="31D9FA40" w14:textId="77777777" w:rsidR="00FE452D" w:rsidRDefault="00EC4C6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  <w:tab w:val="left" w:pos="1985"/>
          <w:tab w:val="left" w:pos="2552"/>
        </w:tabs>
        <w:spacing w:before="120" w:after="120" w:line="240" w:lineRule="auto"/>
        <w:ind w:left="1985" w:hanging="815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details of the movement in the different identified cost components of the relevant Framework Price;</w:t>
      </w:r>
    </w:p>
    <w:p w14:paraId="12623D3F" w14:textId="77777777" w:rsidR="00FE452D" w:rsidRDefault="00EC4C6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  <w:tab w:val="left" w:pos="1985"/>
          <w:tab w:val="left" w:pos="2552"/>
        </w:tabs>
        <w:spacing w:before="120" w:after="120" w:line="240" w:lineRule="auto"/>
        <w:ind w:left="1985" w:hanging="815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reasons for the movement in the different identified cost compon</w:t>
      </w:r>
      <w:r>
        <w:rPr>
          <w:rFonts w:ascii="Arial" w:eastAsia="Arial" w:hAnsi="Arial" w:cs="Arial"/>
          <w:color w:val="000000"/>
          <w:sz w:val="24"/>
          <w:szCs w:val="24"/>
        </w:rPr>
        <w:t>ents of the relevant Framework Price;</w:t>
      </w:r>
    </w:p>
    <w:p w14:paraId="5DD4651D" w14:textId="77777777" w:rsidR="00FE452D" w:rsidRDefault="00EC4C6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  <w:tab w:val="left" w:pos="1985"/>
          <w:tab w:val="left" w:pos="2552"/>
        </w:tabs>
        <w:spacing w:before="120" w:after="120" w:line="240" w:lineRule="auto"/>
        <w:ind w:left="1985" w:hanging="815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evidence that the Supplier has attempted to mitigate against the increase in the relevant cost components; and</w:t>
      </w:r>
    </w:p>
    <w:p w14:paraId="3837F176" w14:textId="77777777" w:rsidR="00FE452D" w:rsidRDefault="00EC4C6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  <w:tab w:val="left" w:pos="1985"/>
          <w:tab w:val="left" w:pos="2552"/>
        </w:tabs>
        <w:spacing w:before="120" w:after="120" w:line="240" w:lineRule="auto"/>
        <w:ind w:left="1985" w:hanging="815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evidence that the Supplier’s profit component of the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relevant  Framework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Price is no greater than that appl</w:t>
      </w:r>
      <w:r>
        <w:rPr>
          <w:rFonts w:ascii="Arial" w:eastAsia="Arial" w:hAnsi="Arial" w:cs="Arial"/>
          <w:color w:val="000000"/>
          <w:sz w:val="24"/>
          <w:szCs w:val="24"/>
        </w:rPr>
        <w:t>ying to Framework Prices using the same pricing mechanism as at the Contract Commencement Date.</w:t>
      </w:r>
    </w:p>
    <w:p w14:paraId="5537133C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CCS shall consider each request for a price increase.  CCS may grant Approval to an increase at its sole discretion.</w:t>
      </w:r>
    </w:p>
    <w:p w14:paraId="3CE9B6B2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Where CCS approves an increase then it will be implemented from the first (1st) Working Day following the relevant Review Date or such late</w:t>
      </w:r>
      <w:r>
        <w:rPr>
          <w:rFonts w:ascii="Arial" w:eastAsia="Arial" w:hAnsi="Arial" w:cs="Arial"/>
          <w:color w:val="000000"/>
          <w:sz w:val="24"/>
          <w:szCs w:val="24"/>
        </w:rPr>
        <w:t>r date as CCS may determine at its sole discretion and Annex 1 shall be updated accordingly.</w:t>
      </w:r>
    </w:p>
    <w:p w14:paraId="6D129298" w14:textId="77777777" w:rsidR="00FE452D" w:rsidRDefault="00EC4C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240" w:line="240" w:lineRule="auto"/>
        <w:jc w:val="both"/>
      </w:pPr>
      <w:r>
        <w:rPr>
          <w:rFonts w:ascii="Arial" w:eastAsia="Arial" w:hAnsi="Arial" w:cs="Arial"/>
          <w:b/>
          <w:color w:val="000000"/>
          <w:sz w:val="24"/>
          <w:szCs w:val="24"/>
        </w:rPr>
        <w:t>Other events that allow the Supplier to change the Framework Prices</w:t>
      </w:r>
    </w:p>
    <w:p w14:paraId="7C8EB971" w14:textId="77777777" w:rsidR="00FE452D" w:rsidRDefault="00EC4C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1134" w:hanging="50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Framework Prices can also be varied (and Annex 1 will be updated accordingly) due to:</w:t>
      </w:r>
    </w:p>
    <w:p w14:paraId="0A6D175E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Spe</w:t>
      </w:r>
      <w:r>
        <w:rPr>
          <w:rFonts w:ascii="Arial" w:eastAsia="Arial" w:hAnsi="Arial" w:cs="Arial"/>
          <w:color w:val="000000"/>
          <w:sz w:val="24"/>
          <w:szCs w:val="24"/>
        </w:rPr>
        <w:t>cific Change in Law in accordance with Clause 24;</w:t>
      </w:r>
    </w:p>
    <w:p w14:paraId="1626399B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review in accordance with insurance requirements in Clause 13; </w:t>
      </w:r>
    </w:p>
    <w:p w14:paraId="537CBB96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a benchmarking review and / or continuous improvement review in accordance with Joint Schedule 14 (Benchmarking) and Joint Schedule 13 (</w:t>
      </w:r>
      <w:r>
        <w:rPr>
          <w:rFonts w:ascii="Arial" w:eastAsia="Arial" w:hAnsi="Arial" w:cs="Arial"/>
          <w:sz w:val="24"/>
          <w:szCs w:val="24"/>
        </w:rPr>
        <w:t>Continuous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Improvement)</w:t>
      </w:r>
    </w:p>
    <w:p w14:paraId="73353FE2" w14:textId="77777777" w:rsidR="00FE452D" w:rsidRDefault="00EC4C6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198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request from the Supplier, which it can make at any time, to decrease the Framework Prices;</w:t>
      </w:r>
    </w:p>
    <w:p w14:paraId="5CE0AB80" w14:textId="77777777" w:rsidR="00FE452D" w:rsidRDefault="00FE452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240" w:line="240" w:lineRule="auto"/>
        <w:ind w:left="644" w:hanging="360"/>
        <w:jc w:val="both"/>
        <w:rPr>
          <w:rFonts w:ascii="Arial Bold" w:eastAsia="Arial Bold" w:hAnsi="Arial Bold" w:cs="Arial Bold"/>
          <w:b/>
          <w:smallCaps/>
          <w:color w:val="000000"/>
          <w:highlight w:val="yellow"/>
        </w:rPr>
      </w:pPr>
    </w:p>
    <w:p w14:paraId="322024A5" w14:textId="77777777" w:rsidR="00FE452D" w:rsidRDefault="00FE452D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ind w:left="644" w:hanging="360"/>
        <w:rPr>
          <w:rFonts w:ascii="Arial" w:eastAsia="Arial" w:hAnsi="Arial" w:cs="Arial"/>
          <w:color w:val="000000"/>
          <w:sz w:val="24"/>
          <w:szCs w:val="24"/>
        </w:rPr>
      </w:pPr>
    </w:p>
    <w:p w14:paraId="162A8AF0" w14:textId="77777777" w:rsidR="00FE452D" w:rsidRDefault="00EC4C68">
      <w:pPr>
        <w:rPr>
          <w:rFonts w:ascii="Arial" w:eastAsia="Arial" w:hAnsi="Arial" w:cs="Arial"/>
          <w:b/>
          <w:sz w:val="36"/>
          <w:szCs w:val="36"/>
        </w:rPr>
      </w:pPr>
      <w:bookmarkStart w:id="6" w:name="_heading=h.3dy6vkm" w:colFirst="0" w:colLast="0"/>
      <w:bookmarkEnd w:id="6"/>
      <w:r>
        <w:br w:type="page"/>
      </w:r>
      <w:r>
        <w:rPr>
          <w:rFonts w:ascii="Arial" w:eastAsia="Arial" w:hAnsi="Arial" w:cs="Arial"/>
          <w:b/>
          <w:sz w:val="36"/>
          <w:szCs w:val="36"/>
        </w:rPr>
        <w:lastRenderedPageBreak/>
        <w:t>Annex 1: Rates and Prices</w:t>
      </w:r>
    </w:p>
    <w:p w14:paraId="7920C71E" w14:textId="77777777" w:rsidR="00FE452D" w:rsidRDefault="00EC4C6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Table 1: Time and Materials</w:t>
      </w:r>
    </w:p>
    <w:p w14:paraId="7983B0FF" w14:textId="77777777" w:rsidR="00FE452D" w:rsidRDefault="00EC4C6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Supplier (and its Sub-Contractor) shall not be entitled to include any uplift for risks or contingencies within its day rates</w:t>
      </w:r>
    </w:p>
    <w:p w14:paraId="4C2A2471" w14:textId="77777777" w:rsidR="00FE452D" w:rsidRDefault="00EC4C68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Arial" w:eastAsia="Arial" w:hAnsi="Arial" w:cs="Arial"/>
          <w:b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The rates below shall [not] be subject to variation by way of Indexation</w:t>
      </w:r>
    </w:p>
    <w:tbl>
      <w:tblPr>
        <w:tblStyle w:val="a2"/>
        <w:tblW w:w="90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4566"/>
      </w:tblGrid>
      <w:tr w:rsidR="00FE452D" w14:paraId="5D495933" w14:textId="77777777">
        <w:tc>
          <w:tcPr>
            <w:tcW w:w="4450" w:type="dxa"/>
            <w:shd w:val="clear" w:color="auto" w:fill="548DD4"/>
          </w:tcPr>
          <w:p w14:paraId="07C4DBFF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Staff Grade</w:t>
            </w:r>
          </w:p>
        </w:tc>
        <w:tc>
          <w:tcPr>
            <w:tcW w:w="4566" w:type="dxa"/>
            <w:shd w:val="clear" w:color="auto" w:fill="548DD4"/>
          </w:tcPr>
          <w:p w14:paraId="26386A0E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Day Rate (£)</w:t>
            </w:r>
          </w:p>
        </w:tc>
      </w:tr>
      <w:tr w:rsidR="00FE452D" w14:paraId="4300C135" w14:textId="77777777">
        <w:tc>
          <w:tcPr>
            <w:tcW w:w="4450" w:type="dxa"/>
          </w:tcPr>
          <w:p w14:paraId="61EFE99E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4BE24869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E452D" w14:paraId="2E234A3E" w14:textId="77777777">
        <w:tc>
          <w:tcPr>
            <w:tcW w:w="4450" w:type="dxa"/>
          </w:tcPr>
          <w:p w14:paraId="0F00D8A9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2E848D08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1AE3FA4D" w14:textId="77777777" w:rsidR="00FE452D" w:rsidRDefault="00EC4C6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Table 2: Fixed Prices</w:t>
      </w:r>
    </w:p>
    <w:p w14:paraId="37062448" w14:textId="77777777" w:rsidR="00FE452D" w:rsidRDefault="00EC4C68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Arial" w:eastAsia="Arial" w:hAnsi="Arial" w:cs="Arial"/>
          <w:b/>
          <w:i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rates below shall [not] be subject to variation by way of Indexation</w:t>
      </w:r>
    </w:p>
    <w:tbl>
      <w:tblPr>
        <w:tblStyle w:val="a3"/>
        <w:tblW w:w="90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08"/>
      </w:tblGrid>
      <w:tr w:rsidR="00FE452D" w14:paraId="5A057937" w14:textId="77777777">
        <w:tc>
          <w:tcPr>
            <w:tcW w:w="4508" w:type="dxa"/>
            <w:shd w:val="clear" w:color="auto" w:fill="548DD4"/>
          </w:tcPr>
          <w:p w14:paraId="01AA9C80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Framework Price</w:t>
            </w:r>
          </w:p>
        </w:tc>
        <w:tc>
          <w:tcPr>
            <w:tcW w:w="4508" w:type="dxa"/>
            <w:shd w:val="clear" w:color="auto" w:fill="548DD4"/>
          </w:tcPr>
          <w:p w14:paraId="094292C6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Fixed Framework Price (£)</w:t>
            </w:r>
          </w:p>
        </w:tc>
      </w:tr>
      <w:tr w:rsidR="00FE452D" w14:paraId="7BE6C0A8" w14:textId="77777777">
        <w:tc>
          <w:tcPr>
            <w:tcW w:w="4508" w:type="dxa"/>
          </w:tcPr>
          <w:p w14:paraId="1F082829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[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e.g.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 xml:space="preserve"> M3]</w:t>
            </w:r>
          </w:p>
        </w:tc>
        <w:tc>
          <w:tcPr>
            <w:tcW w:w="4508" w:type="dxa"/>
            <w:shd w:val="clear" w:color="auto" w:fill="FFFFFF"/>
          </w:tcPr>
          <w:p w14:paraId="16F97ABF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E452D" w14:paraId="783D3703" w14:textId="77777777">
        <w:tc>
          <w:tcPr>
            <w:tcW w:w="4508" w:type="dxa"/>
          </w:tcPr>
          <w:p w14:paraId="5E79F3FA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[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e.g.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 xml:space="preserve"> SC3]</w:t>
            </w:r>
          </w:p>
        </w:tc>
        <w:tc>
          <w:tcPr>
            <w:tcW w:w="4508" w:type="dxa"/>
            <w:shd w:val="clear" w:color="auto" w:fill="FFFFFF"/>
          </w:tcPr>
          <w:p w14:paraId="07919CE8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F7459E9" w14:textId="77777777" w:rsidR="00FE452D" w:rsidRDefault="00FE452D">
      <w:pPr>
        <w:rPr>
          <w:rFonts w:ascii="Arial" w:eastAsia="Arial" w:hAnsi="Arial" w:cs="Arial"/>
          <w:b/>
          <w:smallCaps/>
          <w:sz w:val="24"/>
          <w:szCs w:val="24"/>
        </w:rPr>
      </w:pPr>
      <w:bookmarkStart w:id="7" w:name="_heading=h.1t3h5sf" w:colFirst="0" w:colLast="0"/>
      <w:bookmarkEnd w:id="7"/>
    </w:p>
    <w:p w14:paraId="0DAA282C" w14:textId="77777777" w:rsidR="00FE452D" w:rsidRDefault="00EC4C6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Table 3: Volume Based Prices</w:t>
      </w:r>
    </w:p>
    <w:p w14:paraId="53D3E25F" w14:textId="77777777" w:rsidR="00FE452D" w:rsidRDefault="00EC4C68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-142"/>
        <w:rPr>
          <w:rFonts w:ascii="Arial" w:eastAsia="Arial" w:hAnsi="Arial" w:cs="Arial"/>
          <w:b/>
          <w:i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rates below shall [not] be subject to variation by way of Indexation</w:t>
      </w:r>
    </w:p>
    <w:tbl>
      <w:tblPr>
        <w:tblStyle w:val="a4"/>
        <w:tblW w:w="90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254"/>
        <w:gridCol w:w="2254"/>
        <w:gridCol w:w="2254"/>
        <w:gridCol w:w="2254"/>
      </w:tblGrid>
      <w:tr w:rsidR="00FE452D" w14:paraId="02E5DBEE" w14:textId="77777777">
        <w:tc>
          <w:tcPr>
            <w:tcW w:w="2254" w:type="dxa"/>
            <w:shd w:val="clear" w:color="auto" w:fill="548DD4"/>
          </w:tcPr>
          <w:p w14:paraId="02A02DCF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Framework Price Number</w:t>
            </w:r>
          </w:p>
        </w:tc>
        <w:tc>
          <w:tcPr>
            <w:tcW w:w="2254" w:type="dxa"/>
            <w:shd w:val="clear" w:color="auto" w:fill="548DD4"/>
          </w:tcPr>
          <w:p w14:paraId="560A02C3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2254" w:type="dxa"/>
            <w:shd w:val="clear" w:color="auto" w:fill="548DD4"/>
          </w:tcPr>
          <w:p w14:paraId="5918E542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Number of units per Service Period</w:t>
            </w:r>
          </w:p>
        </w:tc>
        <w:tc>
          <w:tcPr>
            <w:tcW w:w="2254" w:type="dxa"/>
            <w:shd w:val="clear" w:color="auto" w:fill="548DD4"/>
          </w:tcPr>
          <w:p w14:paraId="2B1FED78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Charge per unit (£)</w:t>
            </w:r>
          </w:p>
        </w:tc>
      </w:tr>
      <w:tr w:rsidR="00FE452D" w14:paraId="098BA450" w14:textId="77777777">
        <w:tc>
          <w:tcPr>
            <w:tcW w:w="2254" w:type="dxa"/>
            <w:vMerge w:val="restart"/>
          </w:tcPr>
          <w:p w14:paraId="4732E9F0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[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e.g.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 xml:space="preserve"> SC1]</w:t>
            </w:r>
          </w:p>
        </w:tc>
        <w:tc>
          <w:tcPr>
            <w:tcW w:w="2254" w:type="dxa"/>
            <w:vMerge w:val="restart"/>
          </w:tcPr>
          <w:p w14:paraId="07458A0A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11CD50B1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] - [         ]</w:t>
            </w:r>
          </w:p>
        </w:tc>
        <w:tc>
          <w:tcPr>
            <w:tcW w:w="2254" w:type="dxa"/>
          </w:tcPr>
          <w:p w14:paraId="0C9D4C7A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          ]</w:t>
            </w:r>
          </w:p>
        </w:tc>
      </w:tr>
      <w:tr w:rsidR="00FE452D" w14:paraId="6A6EF23D" w14:textId="77777777">
        <w:trPr>
          <w:trHeight w:val="701"/>
        </w:trPr>
        <w:tc>
          <w:tcPr>
            <w:tcW w:w="2254" w:type="dxa"/>
            <w:vMerge/>
          </w:tcPr>
          <w:p w14:paraId="4D2B492F" w14:textId="77777777" w:rsidR="00FE452D" w:rsidRDefault="00FE4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14:paraId="10A36BCA" w14:textId="77777777" w:rsidR="00FE452D" w:rsidRDefault="00FE4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686AE472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] - [         ]</w:t>
            </w:r>
          </w:p>
        </w:tc>
        <w:tc>
          <w:tcPr>
            <w:tcW w:w="2254" w:type="dxa"/>
          </w:tcPr>
          <w:p w14:paraId="67CACEDD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          ]</w:t>
            </w:r>
          </w:p>
        </w:tc>
      </w:tr>
      <w:tr w:rsidR="00FE452D" w14:paraId="4F9A4189" w14:textId="77777777">
        <w:tc>
          <w:tcPr>
            <w:tcW w:w="2254" w:type="dxa"/>
            <w:vMerge w:val="restart"/>
          </w:tcPr>
          <w:p w14:paraId="3D4FF4F6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[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>e.g.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  <w:t xml:space="preserve"> SC2]</w:t>
            </w:r>
          </w:p>
        </w:tc>
        <w:tc>
          <w:tcPr>
            <w:tcW w:w="2254" w:type="dxa"/>
            <w:vMerge w:val="restart"/>
          </w:tcPr>
          <w:p w14:paraId="3F75634C" w14:textId="77777777" w:rsidR="00FE452D" w:rsidRDefault="00FE452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156F43F6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] - [         ]</w:t>
            </w:r>
          </w:p>
        </w:tc>
        <w:tc>
          <w:tcPr>
            <w:tcW w:w="2254" w:type="dxa"/>
          </w:tcPr>
          <w:p w14:paraId="688EF6AD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          ]</w:t>
            </w:r>
          </w:p>
        </w:tc>
      </w:tr>
      <w:tr w:rsidR="00FE452D" w14:paraId="1FF89EB5" w14:textId="77777777">
        <w:tc>
          <w:tcPr>
            <w:tcW w:w="2254" w:type="dxa"/>
            <w:vMerge/>
          </w:tcPr>
          <w:p w14:paraId="6BD0F3D1" w14:textId="77777777" w:rsidR="00FE452D" w:rsidRDefault="00FE4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14:paraId="4A268AF7" w14:textId="77777777" w:rsidR="00FE452D" w:rsidRDefault="00FE4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14:paraId="43AE1141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] - [         ]</w:t>
            </w:r>
          </w:p>
        </w:tc>
        <w:tc>
          <w:tcPr>
            <w:tcW w:w="2254" w:type="dxa"/>
          </w:tcPr>
          <w:p w14:paraId="07D8B732" w14:textId="77777777" w:rsidR="00FE452D" w:rsidRDefault="00EC4C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[                  ]</w:t>
            </w:r>
          </w:p>
        </w:tc>
      </w:tr>
    </w:tbl>
    <w:p w14:paraId="1FED394F" w14:textId="54297633" w:rsidR="00FE452D" w:rsidRDefault="00CB7B88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</w:rPr>
        <w:t>REDACTED</w:t>
      </w:r>
    </w:p>
    <w:p w14:paraId="6ABC3DF9" w14:textId="77777777" w:rsidR="00FE452D" w:rsidRDefault="00FE452D">
      <w:pPr>
        <w:rPr>
          <w:rFonts w:ascii="Arial" w:eastAsia="Arial" w:hAnsi="Arial" w:cs="Arial"/>
          <w:b/>
          <w:sz w:val="24"/>
          <w:szCs w:val="24"/>
        </w:rPr>
      </w:pPr>
    </w:p>
    <w:p w14:paraId="52A27517" w14:textId="77777777" w:rsidR="00FE452D" w:rsidRDefault="00FE452D">
      <w:pPr>
        <w:rPr>
          <w:rFonts w:ascii="Arial" w:eastAsia="Arial" w:hAnsi="Arial" w:cs="Arial"/>
          <w:b/>
          <w:sz w:val="24"/>
          <w:szCs w:val="24"/>
        </w:rPr>
      </w:pPr>
    </w:p>
    <w:p w14:paraId="3D72C1F5" w14:textId="77777777" w:rsidR="00FE452D" w:rsidRDefault="00FE452D">
      <w:pPr>
        <w:rPr>
          <w:rFonts w:ascii="Arial" w:eastAsia="Arial" w:hAnsi="Arial" w:cs="Arial"/>
          <w:b/>
          <w:sz w:val="24"/>
          <w:szCs w:val="24"/>
        </w:rPr>
        <w:sectPr w:rsidR="00FE452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888" w:right="1440" w:bottom="1440" w:left="1440" w:header="709" w:footer="709" w:gutter="0"/>
          <w:pgNumType w:start="1"/>
          <w:cols w:space="720"/>
        </w:sectPr>
      </w:pPr>
    </w:p>
    <w:p w14:paraId="76879C3B" w14:textId="77777777" w:rsidR="00FE452D" w:rsidRDefault="00FE452D">
      <w:pPr>
        <w:rPr>
          <w:rFonts w:ascii="Arial" w:eastAsia="Arial" w:hAnsi="Arial" w:cs="Arial"/>
          <w:b/>
          <w:sz w:val="24"/>
          <w:szCs w:val="24"/>
        </w:rPr>
      </w:pPr>
    </w:p>
    <w:sectPr w:rsidR="00FE452D">
      <w:pgSz w:w="11906" w:h="16838"/>
      <w:pgMar w:top="1888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27FF6" w14:textId="77777777" w:rsidR="00EC4C68" w:rsidRDefault="00EC4C68">
      <w:pPr>
        <w:spacing w:after="0" w:line="240" w:lineRule="auto"/>
      </w:pPr>
      <w:r>
        <w:separator/>
      </w:r>
    </w:p>
  </w:endnote>
  <w:endnote w:type="continuationSeparator" w:id="0">
    <w:p w14:paraId="7B747239" w14:textId="77777777" w:rsidR="00EC4C68" w:rsidRDefault="00EC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604020202020204"/>
    <w:charset w:val="00"/>
    <w:family w:val="auto"/>
    <w:pitch w:val="default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D2F05" w14:textId="77777777" w:rsidR="00FE452D" w:rsidRDefault="00EC4C68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RM6174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5B51C53B" w14:textId="77777777" w:rsidR="00FE452D" w:rsidRDefault="00EC4C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B7B88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B08505B" w14:textId="77777777" w:rsidR="00FE452D" w:rsidRDefault="00EC4C6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905"/>
      </w:tabs>
      <w:spacing w:after="0" w:line="240" w:lineRule="auto"/>
      <w:jc w:val="both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v3.1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color w:val="BFBFBF"/>
        <w:sz w:val="20"/>
        <w:szCs w:val="20"/>
      </w:rPr>
      <w:tab/>
    </w:r>
    <w:r>
      <w:rPr>
        <w:color w:val="BFBFBF"/>
      </w:rPr>
      <w:tab/>
    </w:r>
    <w:r>
      <w:rPr>
        <w:color w:val="BFBFBF"/>
      </w:rPr>
      <w:tab/>
    </w:r>
    <w:r>
      <w:rPr>
        <w:color w:val="BFBFBF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27AA1" w14:textId="77777777" w:rsidR="00FE452D" w:rsidRDefault="00EC4C68">
    <w:pPr>
      <w:tabs>
        <w:tab w:val="center" w:pos="4513"/>
        <w:tab w:val="right" w:pos="9026"/>
      </w:tabs>
      <w:spacing w:after="0"/>
    </w:pPr>
    <w:r>
      <w:t>Framework Ref: RM</w:t>
    </w:r>
    <w:r>
      <w:tab/>
      <w:t xml:space="preserve">                                           </w:t>
    </w:r>
  </w:p>
  <w:p w14:paraId="7C572CDB" w14:textId="77777777" w:rsidR="00FE452D" w:rsidRDefault="00EC4C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3760BA81" w14:textId="77777777" w:rsidR="00FE452D" w:rsidRDefault="00EC4C6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905"/>
      </w:tabs>
      <w:spacing w:after="0" w:line="240" w:lineRule="auto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v3.0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11B0D" w14:textId="77777777" w:rsidR="00EC4C68" w:rsidRDefault="00EC4C68">
      <w:pPr>
        <w:spacing w:after="0" w:line="240" w:lineRule="auto"/>
      </w:pPr>
      <w:r>
        <w:separator/>
      </w:r>
    </w:p>
  </w:footnote>
  <w:footnote w:type="continuationSeparator" w:id="0">
    <w:p w14:paraId="065B599B" w14:textId="77777777" w:rsidR="00EC4C68" w:rsidRDefault="00EC4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F3016" w14:textId="77777777" w:rsidR="00FE452D" w:rsidRDefault="00EC4C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Framework Schedule 3 (Framework Prices)</w:t>
    </w:r>
  </w:p>
  <w:p w14:paraId="5D54A591" w14:textId="77777777" w:rsidR="00FE452D" w:rsidRDefault="00EC4C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 20</w:t>
    </w:r>
    <w:r>
      <w:rPr>
        <w:rFonts w:ascii="Arial" w:eastAsia="Arial" w:hAnsi="Arial" w:cs="Arial"/>
        <w:sz w:val="20"/>
        <w:szCs w:val="20"/>
      </w:rPr>
      <w:t>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076E" w14:textId="77777777" w:rsidR="00FE452D" w:rsidRDefault="00EC4C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Framework Schedule 3 (Framework Prices)</w:t>
    </w:r>
  </w:p>
  <w:p w14:paraId="34DFDCD4" w14:textId="77777777" w:rsidR="00FE452D" w:rsidRDefault="00EC4C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54D6"/>
    <w:multiLevelType w:val="multilevel"/>
    <w:tmpl w:val="984C000C"/>
    <w:lvl w:ilvl="0">
      <w:start w:val="1"/>
      <w:numFmt w:val="decimal"/>
      <w:pStyle w:val="GPSL1CLAUSEHEADING"/>
      <w:lvlText w:val="%1."/>
      <w:lvlJc w:val="left"/>
      <w:pPr>
        <w:ind w:left="360" w:hanging="360"/>
      </w:pPr>
      <w:rPr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pStyle w:val="GPSL2numberedclause"/>
      <w:lvlText w:val="%1.%2"/>
      <w:lvlJc w:val="left"/>
      <w:pPr>
        <w:ind w:left="644" w:hanging="35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pStyle w:val="GPSL3numberedclause"/>
      <w:lvlText w:val="%1.%2.%3"/>
      <w:lvlJc w:val="left"/>
      <w:pPr>
        <w:ind w:left="990" w:hanging="72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pStyle w:val="GPSL4numberedclause"/>
      <w:lvlText w:val="(%4)"/>
      <w:lvlJc w:val="left"/>
      <w:pPr>
        <w:ind w:left="3272" w:hanging="7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u w:val="none"/>
        <w:vertAlign w:val="baseline"/>
      </w:rPr>
    </w:lvl>
    <w:lvl w:ilvl="4">
      <w:start w:val="1"/>
      <w:numFmt w:val="lowerRoman"/>
      <w:pStyle w:val="GPSL5numberedclause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pStyle w:val="GPSL6numbered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CC04519"/>
    <w:multiLevelType w:val="multilevel"/>
    <w:tmpl w:val="1BA4D93A"/>
    <w:lvl w:ilvl="0">
      <w:start w:val="1"/>
      <w:numFmt w:val="decimal"/>
      <w:pStyle w:val="GPsDefini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Definition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Definition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Definition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52D"/>
    <w:rsid w:val="00CB7B88"/>
    <w:rsid w:val="00EC4C68"/>
    <w:rsid w:val="00F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262A79"/>
  <w15:docId w15:val="{825C69B7-00B8-6745-BC2B-595BB7EE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Emphasis">
    <w:name w:val="Emphasis"/>
    <w:basedOn w:val="DefaultParagraphFont"/>
    <w:rPr>
      <w:i/>
      <w:i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GPSL1CLAUSEHEADING">
    <w:name w:val="GPS L1 CLAUSE HEADING"/>
    <w:basedOn w:val="Normal"/>
    <w:next w:val="Normal"/>
    <w:qFormat/>
    <w:pPr>
      <w:numPr>
        <w:numId w:val="1"/>
      </w:numPr>
      <w:tabs>
        <w:tab w:val="left" w:pos="0"/>
      </w:tabs>
      <w:adjustRightInd w:val="0"/>
      <w:spacing w:before="240" w:after="240" w:line="240" w:lineRule="auto"/>
      <w:ind w:left="644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numPr>
        <w:ilvl w:val="1"/>
        <w:numId w:val="1"/>
      </w:num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</w:p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clear" w:pos="1985"/>
        <w:tab w:val="clear" w:pos="2127"/>
      </w:tabs>
      <w:ind w:left="2592" w:hanging="936"/>
    </w:pPr>
    <w:rPr>
      <w:szCs w:val="20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szCs w:val="20"/>
      <w:lang w:eastAsia="zh-CN"/>
    </w:rPr>
  </w:style>
  <w:style w:type="paragraph" w:customStyle="1" w:styleId="GPSL5numberedclause">
    <w:name w:val="GPS L5 numbered clause"/>
    <w:basedOn w:val="GPSL4numberedclause"/>
    <w:qFormat/>
    <w:pPr>
      <w:numPr>
        <w:ilvl w:val="4"/>
      </w:numPr>
      <w:tabs>
        <w:tab w:val="num" w:pos="360"/>
        <w:tab w:val="left" w:pos="3402"/>
      </w:tabs>
      <w:ind w:left="3402" w:hanging="567"/>
    </w:pPr>
  </w:style>
  <w:style w:type="paragraph" w:customStyle="1" w:styleId="GPSL2Indent">
    <w:name w:val="GPS L2 Indent"/>
    <w:basedOn w:val="GPSL2numberedclause"/>
    <w:link w:val="GPSL2IndentChar"/>
    <w:qFormat/>
    <w:pPr>
      <w:numPr>
        <w:ilvl w:val="0"/>
        <w:numId w:val="0"/>
      </w:numPr>
      <w:tabs>
        <w:tab w:val="clear" w:pos="1134"/>
        <w:tab w:val="left" w:pos="709"/>
        <w:tab w:val="left" w:pos="2127"/>
      </w:tabs>
      <w:ind w:left="709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4253"/>
      </w:tabs>
      <w:ind w:left="4253" w:hanging="709"/>
    </w:pPr>
  </w:style>
  <w:style w:type="character" w:customStyle="1" w:styleId="GPSL2IndentChar">
    <w:name w:val="GPS L2 Indent Char"/>
    <w:link w:val="GPSL2Indent"/>
    <w:rPr>
      <w:rFonts w:ascii="Calibri" w:eastAsia="Times New Roman" w:hAnsi="Calibri" w:cs="Arial"/>
      <w:lang w:eastAsia="zh-CN"/>
    </w:rPr>
  </w:style>
  <w:style w:type="paragraph" w:customStyle="1" w:styleId="GPSDefinitionTerm">
    <w:name w:val="GPS Definition Term"/>
    <w:basedOn w:val="Normal"/>
    <w:qFormat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eastAsia="Times New Roman" w:hAnsi="Arial" w:cs="Arial"/>
      <w:b/>
    </w:rPr>
  </w:style>
  <w:style w:type="paragraph" w:customStyle="1" w:styleId="GPsDefinition">
    <w:name w:val="GPs Definition"/>
    <w:basedOn w:val="Normal"/>
    <w:qFormat/>
    <w:pPr>
      <w:numPr>
        <w:numId w:val="2"/>
      </w:numPr>
      <w:tabs>
        <w:tab w:val="left" w:pos="-9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Arial"/>
    </w:rPr>
  </w:style>
  <w:style w:type="paragraph" w:customStyle="1" w:styleId="GPSDefinitionL2">
    <w:name w:val="GPS Definition L2"/>
    <w:basedOn w:val="GPsDefinition"/>
    <w:link w:val="GPSDefinitionL2Char"/>
    <w:qFormat/>
    <w:pPr>
      <w:numPr>
        <w:ilvl w:val="1"/>
      </w:numPr>
      <w:tabs>
        <w:tab w:val="clear" w:pos="-9"/>
        <w:tab w:val="left" w:pos="144"/>
      </w:tabs>
      <w:ind w:hanging="545"/>
    </w:pPr>
  </w:style>
  <w:style w:type="character" w:customStyle="1" w:styleId="GPSDefinitionL2Char">
    <w:name w:val="GPS Definition L2 Char"/>
    <w:link w:val="GPSDefinitionL2"/>
    <w:rPr>
      <w:rFonts w:ascii="Arial" w:eastAsia="Times New Roman" w:hAnsi="Arial" w:cs="Arial"/>
    </w:rPr>
  </w:style>
  <w:style w:type="paragraph" w:customStyle="1" w:styleId="GPSDefinitionL3">
    <w:name w:val="GPS Definition L3"/>
    <w:basedOn w:val="GPSDefinitionL2"/>
    <w:qFormat/>
    <w:pPr>
      <w:numPr>
        <w:ilvl w:val="2"/>
      </w:numPr>
      <w:tabs>
        <w:tab w:val="num" w:pos="360"/>
      </w:tabs>
    </w:pPr>
  </w:style>
  <w:style w:type="paragraph" w:customStyle="1" w:styleId="GPSDefinitionL4">
    <w:name w:val="GPS Definition L4"/>
    <w:basedOn w:val="GPSDefinitionL3"/>
    <w:qFormat/>
    <w:pPr>
      <w:numPr>
        <w:ilvl w:val="3"/>
      </w:numPr>
      <w:tabs>
        <w:tab w:val="num" w:pos="360"/>
        <w:tab w:val="num" w:pos="2160"/>
      </w:tabs>
    </w:pPr>
  </w:style>
  <w:style w:type="paragraph" w:customStyle="1" w:styleId="GPSL2Guidance">
    <w:name w:val="GPS L2 Guidance"/>
    <w:basedOn w:val="GPSL2numberedclause"/>
    <w:link w:val="GPSL2GuidanceChar"/>
    <w:qFormat/>
    <w:pPr>
      <w:numPr>
        <w:ilvl w:val="0"/>
        <w:numId w:val="0"/>
      </w:numPr>
      <w:ind w:left="1134"/>
    </w:pPr>
    <w:rPr>
      <w:b/>
      <w:i/>
    </w:rPr>
  </w:style>
  <w:style w:type="character" w:customStyle="1" w:styleId="GPSL2GuidanceChar">
    <w:name w:val="GPS L2 Guidance Char"/>
    <w:link w:val="GPSL2Guidance"/>
    <w:rPr>
      <w:rFonts w:ascii="Calibri" w:eastAsia="Times New Roman" w:hAnsi="Calibri" w:cs="Arial"/>
      <w:b/>
      <w:i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autoRedefine/>
    <w:rsid w:val="003C776E"/>
    <w:pPr>
      <w:tabs>
        <w:tab w:val="clear" w:pos="0"/>
        <w:tab w:val="left" w:pos="142"/>
      </w:tabs>
      <w:spacing w:before="120"/>
      <w:ind w:left="360"/>
      <w:outlineLvl w:val="9"/>
    </w:pPr>
    <w:rPr>
      <w:rFonts w:ascii="Arial" w:hAnsi="Arial"/>
      <w:caps w:val="0"/>
      <w:sz w:val="24"/>
    </w:rPr>
  </w:style>
  <w:style w:type="character" w:customStyle="1" w:styleId="GPSL1SCHEDULEHeadingChar">
    <w:name w:val="GPS L1 SCHEDULE Heading Char"/>
    <w:link w:val="GPSL1SCHEDULEHeading"/>
    <w:rsid w:val="003C776E"/>
    <w:rPr>
      <w:rFonts w:ascii="Arial" w:eastAsia="STZhongsong" w:hAnsi="Arial" w:cs="Arial"/>
      <w:b/>
      <w:sz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PSSchAnnexname">
    <w:name w:val="GPS Sch Annex name"/>
    <w:basedOn w:val="Normal"/>
    <w:link w:val="GPSSchAnnexnameChar"/>
    <w:qFormat/>
    <w:pPr>
      <w:keepNext/>
      <w:adjustRightInd w:val="0"/>
      <w:spacing w:after="240" w:line="240" w:lineRule="auto"/>
      <w:jc w:val="center"/>
      <w:outlineLvl w:val="1"/>
    </w:pPr>
    <w:rPr>
      <w:rFonts w:eastAsia="STZhongsong" w:cs="Times New Roman"/>
      <w:b/>
      <w:caps/>
      <w:sz w:val="20"/>
      <w:lang w:eastAsia="zh-CN"/>
    </w:rPr>
  </w:style>
  <w:style w:type="character" w:customStyle="1" w:styleId="GPSSchAnnexnameChar">
    <w:name w:val="GPS Sch Annex name Char"/>
    <w:link w:val="GPSSchAnnexname"/>
    <w:rPr>
      <w:rFonts w:ascii="Calibri" w:eastAsia="STZhongsong" w:hAnsi="Calibri" w:cs="Times New Roman"/>
      <w:b/>
      <w:caps/>
      <w:sz w:val="20"/>
      <w:lang w:eastAsia="zh-CN"/>
    </w:rPr>
  </w:style>
  <w:style w:type="character" w:customStyle="1" w:styleId="Heading6Char5">
    <w:name w:val="Heading 6 Char5"/>
    <w:aliases w:val="Heading 6 (Do Not Use) Char5,Heading 6(unused) Char5,Legal Level 1. Char5,L1 PIP Char5,Heading 6  Appendix Y &amp; Z Char5,Lev 6 Char5,H6 DO NOT USE Char5,Bullet list Char5,PA Appendix Char5,H6 Char5,H61 Char5,PR14 Char5,bullet2 Char5,h6 Ch4"/>
    <w:uiPriority w:val="99"/>
    <w:semiHidden/>
    <w:locked/>
    <w:rPr>
      <w:rFonts w:ascii="Calibri" w:hAnsi="Calibri"/>
      <w:b/>
      <w:lang w:val="x-none" w:eastAsia="en-GB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2NumberedBoldHeading">
    <w:name w:val="GPS L2 Numbered Bold Heading"/>
    <w:basedOn w:val="Normal"/>
    <w:link w:val="GPSL2NumberedBoldHeadingChar"/>
    <w:qFormat/>
    <w:pPr>
      <w:tabs>
        <w:tab w:val="left" w:pos="1134"/>
      </w:tabs>
      <w:adjustRightInd w:val="0"/>
      <w:spacing w:before="120" w:after="120" w:line="240" w:lineRule="auto"/>
      <w:ind w:left="644" w:hanging="218"/>
      <w:jc w:val="both"/>
    </w:pPr>
    <w:rPr>
      <w:rFonts w:eastAsia="Times New Roman" w:cs="Arial"/>
      <w:b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overflowPunct w:val="0"/>
      <w:autoSpaceDE w:val="0"/>
      <w:autoSpaceDN w:val="0"/>
      <w:adjustRightInd w:val="0"/>
      <w:spacing w:before="240" w:after="120" w:line="240" w:lineRule="auto"/>
      <w:ind w:left="426"/>
      <w:jc w:val="both"/>
      <w:textAlignment w:val="baseline"/>
    </w:pPr>
    <w:rPr>
      <w:rFonts w:eastAsia="Times New Roman" w:cs="Arial"/>
      <w:b/>
      <w:i/>
    </w:rPr>
  </w:style>
  <w:style w:type="paragraph" w:customStyle="1" w:styleId="GPSL2GuidanceNumbered">
    <w:name w:val="GPS L2 Guidance Numbered"/>
    <w:basedOn w:val="Normal"/>
    <w:link w:val="GPSL2GuidanceNumberedChar"/>
    <w:qFormat/>
    <w:pPr>
      <w:tabs>
        <w:tab w:val="num" w:pos="720"/>
        <w:tab w:val="left" w:pos="1418"/>
      </w:tabs>
      <w:adjustRightInd w:val="0"/>
      <w:spacing w:before="120" w:after="120" w:line="240" w:lineRule="auto"/>
      <w:ind w:left="720" w:hanging="720"/>
      <w:jc w:val="both"/>
    </w:pPr>
    <w:rPr>
      <w:rFonts w:eastAsia="Times New Roman" w:cs="Arial"/>
      <w:b/>
      <w:i/>
      <w:lang w:eastAsia="zh-CN"/>
    </w:rPr>
  </w:style>
  <w:style w:type="paragraph" w:customStyle="1" w:styleId="GPSL3Guidance">
    <w:name w:val="GPS L3 Guidance"/>
    <w:basedOn w:val="GPSL3numberedclause"/>
    <w:link w:val="GPSL3GuidanceChar"/>
    <w:qFormat/>
    <w:pPr>
      <w:numPr>
        <w:ilvl w:val="0"/>
        <w:numId w:val="0"/>
      </w:numPr>
      <w:tabs>
        <w:tab w:val="clear" w:pos="2127"/>
      </w:tabs>
      <w:ind w:left="1985"/>
    </w:pPr>
    <w:rPr>
      <w:b/>
      <w:i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Arial"/>
      <w:color w:val="FFFFFF"/>
      <w:sz w:val="16"/>
      <w:szCs w:val="16"/>
    </w:rPr>
  </w:style>
  <w:style w:type="paragraph" w:customStyle="1" w:styleId="GPSSchPart">
    <w:name w:val="GPS Sch Part"/>
    <w:basedOn w:val="GPSSchAnnexname"/>
    <w:link w:val="GPSSchPartChar"/>
    <w:qFormat/>
    <w:pPr>
      <w:spacing w:before="240"/>
      <w:ind w:firstLine="426"/>
      <w:outlineLvl w:val="9"/>
    </w:pPr>
    <w:rPr>
      <w:rFonts w:ascii="Arial Bold" w:hAnsi="Arial Bold"/>
      <w:sz w:val="22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ind w:left="936" w:hanging="576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paragraph" w:customStyle="1" w:styleId="GPSL4Guidance">
    <w:name w:val="GPS L4 Guidance"/>
    <w:basedOn w:val="GPSL3Guidance"/>
    <w:link w:val="GPSL4GuidanceChar"/>
    <w:qFormat/>
  </w:style>
  <w:style w:type="character" w:customStyle="1" w:styleId="GPSL4GuidanceChar">
    <w:name w:val="GPS L4 Guidance Char"/>
    <w:link w:val="GPSL4Guidance"/>
    <w:locked/>
    <w:rPr>
      <w:rFonts w:ascii="Calibri" w:eastAsia="Times New Roman" w:hAnsi="Calibri" w:cs="Arial"/>
      <w:b/>
      <w:i/>
      <w:lang w:eastAsia="zh-CN"/>
    </w:r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customStyle="1" w:styleId="GPSL2GuidanceNumberedChar">
    <w:name w:val="GPS L2 Guidance Numbered Char"/>
    <w:link w:val="GPSL2GuidanceNumbered"/>
    <w:rPr>
      <w:rFonts w:eastAsia="Times New Roman" w:cs="Arial"/>
      <w:b/>
      <w:i/>
      <w:lang w:eastAsia="zh-CN"/>
    </w:rPr>
  </w:style>
  <w:style w:type="character" w:customStyle="1" w:styleId="GPSL3GuidanceChar">
    <w:name w:val="GPS L3 Guidance Char"/>
    <w:link w:val="GPSL3Guidance"/>
    <w:rPr>
      <w:rFonts w:ascii="Calibri" w:eastAsia="Times New Roman" w:hAnsi="Calibri" w:cs="Arial"/>
      <w:b/>
      <w:i/>
      <w:lang w:eastAsia="zh-CN"/>
    </w:rPr>
  </w:style>
  <w:style w:type="character" w:customStyle="1" w:styleId="GPSSchPartChar">
    <w:name w:val="GPS Sch Part Char"/>
    <w:link w:val="GPSSchPart"/>
    <w:rPr>
      <w:rFonts w:ascii="Arial Bold" w:eastAsia="STZhongsong" w:hAnsi="Arial Bold" w:cs="Times New Roman"/>
      <w:b/>
      <w:caps/>
      <w:lang w:eastAsia="zh-CN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Normal1">
    <w:name w:val="Normal1"/>
    <w:pPr>
      <w:widowControl w:val="0"/>
      <w:spacing w:after="80" w:line="240" w:lineRule="auto"/>
    </w:pPr>
    <w:rPr>
      <w:color w:val="00000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character" w:customStyle="1" w:styleId="GPSL2NumberedBoldHeadingChar">
    <w:name w:val="GPS L2 Numbered Bold Heading Char"/>
    <w:link w:val="GPSL2NumberedBoldHeading"/>
    <w:locked/>
    <w:rsid w:val="0057789E"/>
    <w:rPr>
      <w:rFonts w:ascii="Calibri" w:eastAsia="Times New Roman" w:hAnsi="Calibri" w:cs="Arial"/>
      <w:b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4C5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MRK/hR8OVBjjGxcB9M5wBv9gqg==">AMUW2mVQL3JcSjF5wsFHIS8GsPQJjQVYJVzWMNmE1r6kkjf+2oGwFhd8KeWYNGXFyG2/SqFoBobjYUGZ8Z3ACyGD6ppMYwF5Z+XpwEUDiHJBZeWLZD+VS2rEG8Tj5fdnDWFT/X/UjJhWsaKANtfMOoN13BTbOVzv3ysyjeMqj/xhiMJh/qNv5LNjJ3CNj35UanluTeImdAEEnLl6V8RsVSep7CKw6R6+s0ZW9/+QcoMLFz9jkSdSrjs=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801</Words>
  <Characters>4567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2021-01-13T14:48:00Z</dcterms:created>
  <dcterms:modified xsi:type="dcterms:W3CDTF">2021-10-14T09:11:00Z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