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pBdr>
          <w:top w:space="0" w:sz="0" w:val="nil"/>
          <w:left w:space="0" w:sz="0" w:val="nil"/>
          <w:bottom w:space="0" w:sz="0" w:val="nil"/>
          <w:right w:space="0" w:sz="0" w:val="nil"/>
          <w:between w:space="0" w:sz="0" w:val="nil"/>
        </w:pBdr>
        <w:spacing w:after="120" w:befor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Framework Schedule 7 (Call-Off Award Procedure</w:t>
      </w:r>
      <w:bookmarkStart w:colFirst="0" w:colLast="0" w:name="bookmark=id.gjdgxs" w:id="0"/>
      <w:bookmarkEnd w:id="0"/>
      <w:r w:rsidDel="00000000" w:rsidR="00000000" w:rsidRPr="00000000">
        <w:rPr>
          <w:rFonts w:ascii="Arial" w:cs="Arial" w:eastAsia="Arial" w:hAnsi="Arial"/>
          <w:b w:val="1"/>
          <w:color w:val="000000"/>
          <w:sz w:val="36"/>
          <w:szCs w:val="36"/>
          <w:rtl w:val="0"/>
        </w:rPr>
        <w:t xml:space="preserve">) </w:t>
      </w:r>
    </w:p>
    <w:p w:rsidR="00000000" w:rsidDel="00000000" w:rsidP="00000000" w:rsidRDefault="00000000" w:rsidRPr="00000000" w14:paraId="00000002">
      <w:pPr>
        <w:widowControl w:val="1"/>
        <w:pBdr>
          <w:top w:space="0" w:sz="0" w:val="nil"/>
          <w:left w:space="0" w:sz="0" w:val="nil"/>
          <w:bottom w:space="0" w:sz="0" w:val="nil"/>
          <w:right w:space="0" w:sz="0" w:val="nil"/>
          <w:between w:space="0" w:sz="0" w:val="nil"/>
        </w:pBdr>
        <w:spacing w:after="120" w:befor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Part 1: Order Procedure</w:t>
      </w:r>
    </w:p>
    <w:p w:rsidR="00000000" w:rsidDel="00000000" w:rsidP="00000000" w:rsidRDefault="00000000" w:rsidRPr="00000000" w14:paraId="00000003">
      <w:pPr>
        <w:keepNext w:val="1"/>
        <w:widowControl w:val="1"/>
        <w:numPr>
          <w:ilvl w:val="0"/>
          <w:numId w:val="4"/>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a Call-Off Contract is awarded</w:t>
      </w:r>
    </w:p>
    <w:p w:rsidR="00000000" w:rsidDel="00000000" w:rsidP="00000000" w:rsidRDefault="00000000" w:rsidRPr="00000000" w14:paraId="00000004">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If a potential Buyer decides to source Deliverables through this Contract then it will award its Deliverables in accordance with the procedure in this Schedule and the requirements of the Regulations.</w:t>
      </w:r>
    </w:p>
    <w:p w:rsidR="00000000" w:rsidDel="00000000" w:rsidP="00000000" w:rsidRDefault="00000000" w:rsidRPr="00000000" w14:paraId="00000005">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If the potential Buyer can determine that:</w:t>
      </w:r>
    </w:p>
    <w:p w:rsidR="00000000" w:rsidDel="00000000" w:rsidP="00000000" w:rsidRDefault="00000000" w:rsidRPr="00000000" w14:paraId="00000006">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Deliverables can be met by the Suppliers’ catalogues and description of the Deliverables as set out in Framework Schedule 1 (Specification) and Framework Schedule 2 (Framework Tender); and</w:t>
      </w:r>
    </w:p>
    <w:p w:rsidR="00000000" w:rsidDel="00000000" w:rsidP="00000000" w:rsidRDefault="00000000" w:rsidRPr="00000000" w14:paraId="00000007">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of the terms of the proposed Call-Off Contract are laid down in this Contract and do not require amendment or any supplementary terms and conditions;</w:t>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tabs>
          <w:tab w:val="left" w:pos="4536"/>
        </w:tabs>
        <w:spacing w:after="2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procedure set out in Paragraph 2 below.</w:t>
      </w:r>
    </w:p>
    <w:p w:rsidR="00000000" w:rsidDel="00000000" w:rsidP="00000000" w:rsidRDefault="00000000" w:rsidRPr="00000000" w14:paraId="00000009">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all of the terms of the proposed Call-Off Contract are not laid down in this Contract and the potential Buyer:</w:t>
      </w:r>
    </w:p>
    <w:p w:rsidR="00000000" w:rsidDel="00000000" w:rsidP="00000000" w:rsidRDefault="00000000" w:rsidRPr="00000000" w14:paraId="0000000A">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requires the Supplier to develop proposals or a solution in respect of such Deliverables; and/or</w:t>
      </w:r>
    </w:p>
    <w:p w:rsidR="00000000" w:rsidDel="00000000" w:rsidP="00000000" w:rsidRDefault="00000000" w:rsidRPr="00000000" w14:paraId="0000000B">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needs to amend or refine the terms of the Framework Contract to reflect its Deliverables to the extent permitted by and in accordance with the Regulations;</w:t>
      </w:r>
    </w:p>
    <w:p w:rsidR="00000000" w:rsidDel="00000000" w:rsidP="00000000" w:rsidRDefault="00000000" w:rsidRPr="00000000" w14:paraId="0000000C">
      <w:pPr>
        <w:widowControl w:val="1"/>
        <w:pBdr>
          <w:top w:space="0" w:sz="0" w:val="nil"/>
          <w:left w:space="0" w:sz="0" w:val="nil"/>
          <w:bottom w:space="0" w:sz="0" w:val="nil"/>
          <w:right w:space="0" w:sz="0" w:val="nil"/>
          <w:between w:space="0" w:sz="0" w:val="nil"/>
        </w:pBdr>
        <w:tabs>
          <w:tab w:val="left" w:pos="4536"/>
        </w:tabs>
        <w:spacing w:after="220" w:lineRule="auto"/>
        <w:ind w:left="90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Further Competition Procedure set out in Paragraph 3 below.</w:t>
      </w:r>
    </w:p>
    <w:p w:rsidR="00000000" w:rsidDel="00000000" w:rsidP="00000000" w:rsidRDefault="00000000" w:rsidRPr="00000000" w14:paraId="0000000D">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a direct award works</w:t>
      </w:r>
    </w:p>
    <w:p w:rsidR="00000000" w:rsidDel="00000000" w:rsidP="00000000" w:rsidRDefault="00000000" w:rsidRPr="00000000" w14:paraId="0000000E">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1.2 above the Buyer awarding a Call-Off Contract under this Contract without holding a further competition shall:</w:t>
      </w:r>
    </w:p>
    <w:p w:rsidR="00000000" w:rsidDel="00000000" w:rsidP="00000000" w:rsidRDefault="00000000" w:rsidRPr="00000000" w14:paraId="0000000F">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 a clear Statement of Requirements;</w:t>
      </w:r>
    </w:p>
    <w:p w:rsidR="00000000" w:rsidDel="00000000" w:rsidP="00000000" w:rsidRDefault="00000000" w:rsidRPr="00000000" w14:paraId="00000010">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the direct award criteria to the Suppliers’ catalogues and description of the Deliverables as set out in Framework Schedule 1 (Specification) and Framework Schedule 2 (Framework Tender) for all Suppliers capable of meeting the Statement of Requirements in order to establish which Supplier provides the most economically advantageous solution; and</w:t>
      </w:r>
    </w:p>
    <w:p w:rsidR="00000000" w:rsidDel="00000000" w:rsidP="00000000" w:rsidRDefault="00000000" w:rsidRPr="00000000" w14:paraId="00000011">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basis set out above, award the Call-Off Contract with the successful Supplier in accordance with Paragraph 6 below.</w:t>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tabs>
          <w:tab w:val="left" w:pos="3641"/>
        </w:tabs>
        <w:spacing w:after="120" w:before="120" w:lineRule="auto"/>
        <w:ind w:left="1985"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3">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a further competition works</w:t>
      </w:r>
    </w:p>
    <w:p w:rsidR="00000000" w:rsidDel="00000000" w:rsidP="00000000" w:rsidRDefault="00000000" w:rsidRPr="00000000" w14:paraId="00000014">
      <w:pPr>
        <w:keepNext w:val="1"/>
        <w:widowControl w:val="1"/>
        <w:pBdr>
          <w:top w:space="0" w:sz="0" w:val="nil"/>
          <w:left w:space="0" w:sz="0" w:val="nil"/>
          <w:bottom w:space="0" w:sz="0" w:val="nil"/>
          <w:right w:space="0" w:sz="0" w:val="nil"/>
          <w:between w:space="0" w:sz="0" w:val="nil"/>
        </w:pBdr>
        <w:tabs>
          <w:tab w:val="left" w:pos="3054"/>
        </w:tabs>
        <w:spacing w:after="120" w:before="120" w:lineRule="auto"/>
        <w:ind w:left="1134" w:hanging="774"/>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Buyer has to do</w:t>
      </w:r>
    </w:p>
    <w:p w:rsidR="00000000" w:rsidDel="00000000" w:rsidP="00000000" w:rsidRDefault="00000000" w:rsidRPr="00000000" w14:paraId="00000015">
      <w:pPr>
        <w:widowControl w:val="1"/>
        <w:numPr>
          <w:ilvl w:val="1"/>
          <w:numId w:val="2"/>
        </w:numPr>
        <w:pBdr>
          <w:top w:space="0" w:sz="0" w:val="nil"/>
          <w:left w:space="0" w:sz="0" w:val="nil"/>
          <w:bottom w:space="0" w:sz="0" w:val="nil"/>
          <w:right w:space="0" w:sz="0" w:val="nil"/>
          <w:between w:space="0" w:sz="0" w:val="nil"/>
        </w:pBdr>
        <w:spacing w:after="280" w:before="120" w:line="259" w:lineRule="auto"/>
        <w:ind w:left="1080" w:hanging="360"/>
        <w:jc w:val="both"/>
        <w:rPr/>
      </w:pPr>
      <w:r w:rsidDel="00000000" w:rsidR="00000000" w:rsidRPr="00000000">
        <w:rPr>
          <w:rFonts w:ascii="Arial" w:cs="Arial" w:eastAsia="Arial" w:hAnsi="Arial"/>
          <w:color w:val="000000"/>
          <w:rtl w:val="0"/>
        </w:rPr>
        <w:t xml:space="preserve">If applicable, the Buyer may use the following procedure to shortlist Suppliers before entering into a Further Competition Procedure: </w:t>
      </w:r>
      <w:r w:rsidDel="00000000" w:rsidR="00000000" w:rsidRPr="00000000">
        <w:rPr>
          <w:rtl w:val="0"/>
        </w:rPr>
      </w:r>
    </w:p>
    <w:p w:rsidR="00000000" w:rsidDel="00000000" w:rsidP="00000000" w:rsidRDefault="00000000" w:rsidRPr="00000000" w14:paraId="00000016">
      <w:pPr>
        <w:widowControl w:val="1"/>
        <w:numPr>
          <w:ilvl w:val="2"/>
          <w:numId w:val="2"/>
        </w:numPr>
        <w:pBdr>
          <w:top w:space="0" w:sz="0" w:val="nil"/>
          <w:left w:space="0" w:sz="0" w:val="nil"/>
          <w:bottom w:space="0" w:sz="0" w:val="nil"/>
          <w:right w:space="0" w:sz="0" w:val="nil"/>
          <w:between w:space="0" w:sz="0" w:val="nil"/>
        </w:pBdr>
        <w:spacing w:after="280" w:before="120" w:line="259" w:lineRule="auto"/>
        <w:ind w:left="2610" w:hanging="720"/>
        <w:rPr/>
      </w:pPr>
      <w:r w:rsidDel="00000000" w:rsidR="00000000" w:rsidRPr="00000000">
        <w:rPr>
          <w:rFonts w:ascii="Arial" w:cs="Arial" w:eastAsia="Arial" w:hAnsi="Arial"/>
          <w:color w:val="000000"/>
          <w:rtl w:val="0"/>
        </w:rPr>
        <w:t xml:space="preserve">Service Filters – The Buyer will produce a Supplier shortlist based on the Service Filters. </w:t>
      </w:r>
      <w:r w:rsidDel="00000000" w:rsidR="00000000" w:rsidRPr="00000000">
        <w:rPr>
          <w:rtl w:val="0"/>
        </w:rPr>
      </w:r>
    </w:p>
    <w:p w:rsidR="00000000" w:rsidDel="00000000" w:rsidP="00000000" w:rsidRDefault="00000000" w:rsidRPr="00000000" w14:paraId="00000017">
      <w:pPr>
        <w:widowControl w:val="1"/>
        <w:numPr>
          <w:ilvl w:val="2"/>
          <w:numId w:val="2"/>
        </w:numPr>
        <w:pBdr>
          <w:top w:space="0" w:sz="0" w:val="nil"/>
          <w:left w:space="0" w:sz="0" w:val="nil"/>
          <w:bottom w:space="0" w:sz="0" w:val="nil"/>
          <w:right w:space="0" w:sz="0" w:val="nil"/>
          <w:between w:space="0" w:sz="0" w:val="nil"/>
        </w:pBdr>
        <w:spacing w:after="280" w:before="120" w:line="259" w:lineRule="auto"/>
        <w:ind w:left="2610" w:hanging="720"/>
        <w:rPr/>
      </w:pPr>
      <w:r w:rsidDel="00000000" w:rsidR="00000000" w:rsidRPr="00000000">
        <w:rPr>
          <w:rFonts w:ascii="Arial" w:cs="Arial" w:eastAsia="Arial" w:hAnsi="Arial"/>
          <w:color w:val="000000"/>
          <w:rtl w:val="0"/>
        </w:rPr>
        <w:t xml:space="preserve">Expression Of Interest (EOI) – The Buyer may use an EOI process to produce a Supplier shortlist. The EOI may contain the following details but is not limited to: scope, scale, timescales, incumbent supplier, grades, payment terms, capacity and/or budget. </w:t>
      </w:r>
      <w:r w:rsidDel="00000000" w:rsidR="00000000" w:rsidRPr="00000000">
        <w:rPr>
          <w:rtl w:val="0"/>
        </w:rPr>
      </w:r>
    </w:p>
    <w:p w:rsidR="00000000" w:rsidDel="00000000" w:rsidP="00000000" w:rsidRDefault="00000000" w:rsidRPr="00000000" w14:paraId="00000018">
      <w:pPr>
        <w:widowControl w:val="1"/>
        <w:numPr>
          <w:ilvl w:val="2"/>
          <w:numId w:val="2"/>
        </w:numPr>
        <w:pBdr>
          <w:top w:space="0" w:sz="0" w:val="nil"/>
          <w:left w:space="0" w:sz="0" w:val="nil"/>
          <w:bottom w:space="0" w:sz="0" w:val="nil"/>
          <w:right w:space="0" w:sz="0" w:val="nil"/>
          <w:between w:space="0" w:sz="0" w:val="nil"/>
        </w:pBdr>
        <w:spacing w:after="280" w:before="120" w:line="259" w:lineRule="auto"/>
        <w:ind w:left="2610" w:hanging="720"/>
        <w:rPr/>
      </w:pPr>
      <w:r w:rsidDel="00000000" w:rsidR="00000000" w:rsidRPr="00000000">
        <w:rPr>
          <w:rFonts w:ascii="Arial" w:cs="Arial" w:eastAsia="Arial" w:hAnsi="Arial"/>
          <w:color w:val="000000"/>
          <w:rtl w:val="0"/>
        </w:rPr>
        <w:t xml:space="preserve">Service Filters and Expression of Interest – The Buyer may use both of the procedures detailed in paragraph 3.1.2 and 3.1.3. </w:t>
      </w:r>
      <w:r w:rsidDel="00000000" w:rsidR="00000000" w:rsidRPr="00000000">
        <w:rPr>
          <w:rtl w:val="0"/>
        </w:rPr>
      </w:r>
    </w:p>
    <w:p w:rsidR="00000000" w:rsidDel="00000000" w:rsidP="00000000" w:rsidRDefault="00000000" w:rsidRPr="00000000" w14:paraId="00000019">
      <w:pPr>
        <w:widowControl w:val="1"/>
        <w:numPr>
          <w:ilvl w:val="2"/>
          <w:numId w:val="2"/>
        </w:numPr>
        <w:pBdr>
          <w:top w:space="0" w:sz="0" w:val="nil"/>
          <w:left w:space="0" w:sz="0" w:val="nil"/>
          <w:bottom w:space="0" w:sz="0" w:val="nil"/>
          <w:right w:space="0" w:sz="0" w:val="nil"/>
          <w:between w:space="0" w:sz="0" w:val="nil"/>
        </w:pBdr>
        <w:spacing w:after="280" w:before="120" w:line="259" w:lineRule="auto"/>
        <w:ind w:left="2610" w:hanging="720"/>
        <w:rPr/>
      </w:pPr>
      <w:r w:rsidDel="00000000" w:rsidR="00000000" w:rsidRPr="00000000">
        <w:rPr>
          <w:rFonts w:ascii="Arial" w:cs="Arial" w:eastAsia="Arial" w:hAnsi="Arial"/>
          <w:color w:val="000000"/>
          <w:rtl w:val="0"/>
        </w:rPr>
        <w:t xml:space="preserve">Conference call – The Buyer may use this after the EOI. The Buyer will provide further information on its requirement and Suppliers may have the opportunity to raise queries. </w:t>
      </w:r>
      <w:r w:rsidDel="00000000" w:rsidR="00000000" w:rsidRPr="00000000">
        <w:rPr>
          <w:rtl w:val="0"/>
        </w:rPr>
      </w:r>
    </w:p>
    <w:p w:rsidR="00000000" w:rsidDel="00000000" w:rsidP="00000000" w:rsidRDefault="00000000" w:rsidRPr="00000000" w14:paraId="0000001A">
      <w:pPr>
        <w:widowControl w:val="1"/>
        <w:numPr>
          <w:ilvl w:val="2"/>
          <w:numId w:val="2"/>
        </w:numPr>
        <w:pBdr>
          <w:top w:space="0" w:sz="0" w:val="nil"/>
          <w:left w:space="0" w:sz="0" w:val="nil"/>
          <w:bottom w:space="0" w:sz="0" w:val="nil"/>
          <w:right w:space="0" w:sz="0" w:val="nil"/>
          <w:between w:space="0" w:sz="0" w:val="nil"/>
        </w:pBdr>
        <w:spacing w:after="280" w:before="120" w:line="259" w:lineRule="auto"/>
        <w:ind w:left="2610" w:hanging="720"/>
        <w:rPr/>
      </w:pPr>
      <w:r w:rsidDel="00000000" w:rsidR="00000000" w:rsidRPr="00000000">
        <w:rPr>
          <w:rFonts w:ascii="Arial" w:cs="Arial" w:eastAsia="Arial" w:hAnsi="Arial"/>
          <w:color w:val="000000"/>
          <w:rtl w:val="0"/>
        </w:rPr>
        <w:t xml:space="preserve">Suppliers can deselect themselves through the process after the Service Filters and/or EOI and/or conference call. </w:t>
      </w:r>
      <w:r w:rsidDel="00000000" w:rsidR="00000000" w:rsidRPr="00000000">
        <w:rPr>
          <w:rtl w:val="0"/>
        </w:rPr>
      </w:r>
    </w:p>
    <w:p w:rsidR="00000000" w:rsidDel="00000000" w:rsidP="00000000" w:rsidRDefault="00000000" w:rsidRPr="00000000" w14:paraId="0000001B">
      <w:pPr>
        <w:widowControl w:val="1"/>
        <w:numPr>
          <w:ilvl w:val="1"/>
          <w:numId w:val="2"/>
        </w:numPr>
        <w:pBdr>
          <w:top w:space="0" w:sz="0" w:val="nil"/>
          <w:left w:space="0" w:sz="0" w:val="nil"/>
          <w:bottom w:space="0" w:sz="0" w:val="nil"/>
          <w:right w:space="0" w:sz="0" w:val="nil"/>
          <w:between w:space="0" w:sz="0" w:val="nil"/>
        </w:pBdr>
        <w:spacing w:after="280" w:before="120" w:line="259" w:lineRule="auto"/>
        <w:ind w:left="1080" w:hanging="360"/>
        <w:jc w:val="both"/>
        <w:rPr/>
      </w:pPr>
      <w:r w:rsidDel="00000000" w:rsidR="00000000" w:rsidRPr="00000000">
        <w:rPr>
          <w:rFonts w:ascii="Arial" w:cs="Arial" w:eastAsia="Arial" w:hAnsi="Arial"/>
          <w:color w:val="000000"/>
          <w:rtl w:val="0"/>
        </w:rPr>
        <w:t xml:space="preserve">If the Supplier does not respond to the EOI in accordance with any stated timescales they will not be invited to participate in the Further Competition Procedure. </w:t>
      </w:r>
      <w:r w:rsidDel="00000000" w:rsidR="00000000" w:rsidRPr="00000000">
        <w:rPr>
          <w:rtl w:val="0"/>
        </w:rPr>
      </w:r>
    </w:p>
    <w:p w:rsidR="00000000" w:rsidDel="00000000" w:rsidP="00000000" w:rsidRDefault="00000000" w:rsidRPr="00000000" w14:paraId="0000001C">
      <w:pPr>
        <w:widowControl w:val="1"/>
        <w:numPr>
          <w:ilvl w:val="1"/>
          <w:numId w:val="2"/>
        </w:numPr>
        <w:pBdr>
          <w:top w:space="0" w:sz="0" w:val="nil"/>
          <w:left w:space="0" w:sz="0" w:val="nil"/>
          <w:bottom w:space="0" w:sz="0" w:val="nil"/>
          <w:right w:space="0" w:sz="0" w:val="nil"/>
          <w:between w:space="0" w:sz="0" w:val="nil"/>
        </w:pBdr>
        <w:spacing w:after="280" w:before="120" w:line="259" w:lineRule="auto"/>
        <w:ind w:left="1080" w:hanging="360"/>
        <w:jc w:val="both"/>
        <w:rPr/>
      </w:pPr>
      <w:r w:rsidDel="00000000" w:rsidR="00000000" w:rsidRPr="00000000">
        <w:rPr>
          <w:rFonts w:ascii="Arial" w:cs="Arial" w:eastAsia="Arial" w:hAnsi="Arial"/>
          <w:color w:val="000000"/>
          <w:rtl w:val="0"/>
        </w:rPr>
        <w:t xml:space="preserve">If the Supplier is invited to the conference call and they do not attend they may not be invited to participate in the Further Competition Procedure. </w:t>
      </w:r>
      <w:r w:rsidDel="00000000" w:rsidR="00000000" w:rsidRPr="00000000">
        <w:rPr>
          <w:rtl w:val="0"/>
        </w:rPr>
      </w:r>
    </w:p>
    <w:p w:rsidR="00000000" w:rsidDel="00000000" w:rsidP="00000000" w:rsidRDefault="00000000" w:rsidRPr="00000000" w14:paraId="0000001D">
      <w:pPr>
        <w:widowControl w:val="1"/>
        <w:numPr>
          <w:ilvl w:val="1"/>
          <w:numId w:val="2"/>
        </w:numPr>
        <w:pBdr>
          <w:top w:space="0" w:sz="0" w:val="nil"/>
          <w:left w:space="0" w:sz="0" w:val="nil"/>
          <w:bottom w:space="0" w:sz="0" w:val="nil"/>
          <w:right w:space="0" w:sz="0" w:val="nil"/>
          <w:between w:space="0" w:sz="0" w:val="nil"/>
        </w:pBdr>
        <w:spacing w:after="280" w:before="120" w:line="259" w:lineRule="auto"/>
        <w:ind w:left="1080" w:hanging="360"/>
        <w:jc w:val="both"/>
        <w:rPr/>
      </w:pPr>
      <w:r w:rsidDel="00000000" w:rsidR="00000000" w:rsidRPr="00000000">
        <w:rPr>
          <w:rFonts w:ascii="Arial" w:cs="Arial" w:eastAsia="Arial" w:hAnsi="Arial"/>
          <w:color w:val="000000"/>
          <w:rtl w:val="0"/>
        </w:rPr>
        <w:t xml:space="preserve">CCS reserves the right to add or change the Services Filters and the EOI template throughout the lifetime of the Framework Agreement. </w:t>
      </w:r>
      <w:r w:rsidDel="00000000" w:rsidR="00000000" w:rsidRPr="00000000">
        <w:rPr>
          <w:rtl w:val="0"/>
        </w:rPr>
      </w:r>
    </w:p>
    <w:p w:rsidR="00000000" w:rsidDel="00000000" w:rsidP="00000000" w:rsidRDefault="00000000" w:rsidRPr="00000000" w14:paraId="0000001E">
      <w:pPr>
        <w:widowControl w:val="1"/>
        <w:numPr>
          <w:ilvl w:val="1"/>
          <w:numId w:val="2"/>
        </w:numPr>
        <w:pBdr>
          <w:top w:space="0" w:sz="0" w:val="nil"/>
          <w:left w:space="0" w:sz="0" w:val="nil"/>
          <w:bottom w:space="0" w:sz="0" w:val="nil"/>
          <w:right w:space="0" w:sz="0" w:val="nil"/>
          <w:between w:space="0" w:sz="0" w:val="nil"/>
        </w:pBdr>
        <w:spacing w:after="280" w:before="120" w:line="259" w:lineRule="auto"/>
        <w:ind w:left="1080" w:hanging="360"/>
        <w:jc w:val="both"/>
        <w:rPr/>
      </w:pPr>
      <w:r w:rsidDel="00000000" w:rsidR="00000000" w:rsidRPr="00000000">
        <w:rPr>
          <w:rFonts w:ascii="Arial" w:cs="Arial" w:eastAsia="Arial" w:hAnsi="Arial"/>
          <w:color w:val="000000"/>
          <w:rtl w:val="0"/>
        </w:rPr>
        <w:t xml:space="preserve">The Supplier may update their Service Filters during the lifetime of the Framework Agreement subject to you providing a customer reference. </w:t>
      </w:r>
      <w:r w:rsidDel="00000000" w:rsidR="00000000" w:rsidRPr="00000000">
        <w:rPr>
          <w:rtl w:val="0"/>
        </w:rPr>
      </w:r>
    </w:p>
    <w:p w:rsidR="00000000" w:rsidDel="00000000" w:rsidP="00000000" w:rsidRDefault="00000000" w:rsidRPr="00000000" w14:paraId="0000001F">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awarding a Call-Off Contract under this Contract through a Further Competition Procedure shall:</w:t>
      </w:r>
    </w:p>
    <w:p w:rsidR="00000000" w:rsidDel="00000000" w:rsidP="00000000" w:rsidRDefault="00000000" w:rsidRPr="00000000" w14:paraId="00000020">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develop a Statement of Requirements setting out its requirements for the Deliverables and identify the Suppliers capable of supplying the them;</w:t>
      </w:r>
    </w:p>
    <w:p w:rsidR="00000000" w:rsidDel="00000000" w:rsidP="00000000" w:rsidRDefault="00000000" w:rsidRPr="00000000" w14:paraId="00000021">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amend or refine the Deliverables to reflect its requirements by using the Order Form only to the extent permitted by and in accordance with the requirements of the Regulations;</w:t>
      </w:r>
    </w:p>
    <w:p w:rsidR="00000000" w:rsidDel="00000000" w:rsidP="00000000" w:rsidRDefault="00000000" w:rsidRPr="00000000" w14:paraId="00000022">
      <w:pPr>
        <w:keepNext w:val="1"/>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invite tenders by conducting a Further Competition Procedure for its Deliverables in accordance with the Regulations and in particular:</w:t>
      </w:r>
    </w:p>
    <w:p w:rsidR="00000000" w:rsidDel="00000000" w:rsidP="00000000" w:rsidRDefault="00000000" w:rsidRPr="00000000" w14:paraId="00000023">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Electronic Reverse Auction (as defined in Paragraph 7 below) is to be held, the Buyer shall notify the Suppliers identified in accordance with Paragraph 3.1.1 and shall conduct the Further Competition Procedure in accordance with the procedures set out in Paragraph 3; or</w:t>
      </w:r>
    </w:p>
    <w:p w:rsidR="00000000" w:rsidDel="00000000" w:rsidP="00000000" w:rsidRDefault="00000000" w:rsidRPr="00000000" w14:paraId="00000024">
      <w:pPr>
        <w:keepNext w:val="1"/>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Electronic Reverse Auction is not used, the Buyer shall:</w:t>
      </w:r>
    </w:p>
    <w:p w:rsidR="00000000" w:rsidDel="00000000" w:rsidP="00000000" w:rsidRDefault="00000000" w:rsidRPr="00000000" w14:paraId="00000025">
      <w:pPr>
        <w:widowControl w:val="1"/>
        <w:numPr>
          <w:ilvl w:val="4"/>
          <w:numId w:val="2"/>
        </w:numPr>
        <w:pBdr>
          <w:top w:space="0" w:sz="0" w:val="nil"/>
          <w:left w:space="0" w:sz="0" w:val="nil"/>
          <w:bottom w:space="0" w:sz="0" w:val="nil"/>
          <w:right w:space="0" w:sz="0" w:val="nil"/>
          <w:between w:space="0" w:sz="0" w:val="nil"/>
        </w:pBdr>
        <w:tabs>
          <w:tab w:val="left"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invite the Suppliers identified in accordance with Paragraph 3.1.1 to submit a tender in writing for each proposed Call-Off Contract to be awarded by giving written notice by email to the relevant Supplier Representative of each Supplier;</w:t>
      </w:r>
    </w:p>
    <w:p w:rsidR="00000000" w:rsidDel="00000000" w:rsidP="00000000" w:rsidRDefault="00000000" w:rsidRPr="00000000" w14:paraId="00000026">
      <w:pPr>
        <w:widowControl w:val="1"/>
        <w:numPr>
          <w:ilvl w:val="4"/>
          <w:numId w:val="2"/>
        </w:numPr>
        <w:pBdr>
          <w:top w:space="0" w:sz="0" w:val="nil"/>
          <w:left w:space="0" w:sz="0" w:val="nil"/>
          <w:bottom w:space="0" w:sz="0" w:val="nil"/>
          <w:right w:space="0" w:sz="0" w:val="nil"/>
          <w:between w:space="0" w:sz="0" w:val="nil"/>
        </w:pBdr>
        <w:tabs>
          <w:tab w:val="left"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 a time limit for the receipt by it of the tenders which takes into account factors such as the complexity of the subject matter of the proposed Call-Off Contract and the time needed to submit tenders; and</w:t>
      </w:r>
    </w:p>
    <w:p w:rsidR="00000000" w:rsidDel="00000000" w:rsidP="00000000" w:rsidRDefault="00000000" w:rsidRPr="00000000" w14:paraId="00000027">
      <w:pPr>
        <w:widowControl w:val="1"/>
        <w:numPr>
          <w:ilvl w:val="4"/>
          <w:numId w:val="2"/>
        </w:numPr>
        <w:pBdr>
          <w:top w:space="0" w:sz="0" w:val="nil"/>
          <w:left w:space="0" w:sz="0" w:val="nil"/>
          <w:bottom w:space="0" w:sz="0" w:val="nil"/>
          <w:right w:space="0" w:sz="0" w:val="nil"/>
          <w:between w:space="0" w:sz="0" w:val="nil"/>
        </w:pBdr>
        <w:tabs>
          <w:tab w:val="left"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keep each tender confidential until the time limit set out for the return of tenders has expired.</w:t>
      </w:r>
    </w:p>
    <w:p w:rsidR="00000000" w:rsidDel="00000000" w:rsidP="00000000" w:rsidRDefault="00000000" w:rsidRPr="00000000" w14:paraId="00000028">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the further competition award criteria to the Suppliers' compliant tenders submitted through the Further Competition Procedure as the basis of its decision to award a Call-Off Contract for its Deliverables;</w:t>
      </w:r>
    </w:p>
    <w:p w:rsidR="00000000" w:rsidDel="00000000" w:rsidP="00000000" w:rsidRDefault="00000000" w:rsidRPr="00000000" w14:paraId="00000029">
      <w:pPr>
        <w:keepNext w:val="1"/>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basis set out above, award its Call-Off Contract to the successful Supplier in accordance with Paragraph 6. The Call-Off Contract shall:</w:t>
      </w:r>
    </w:p>
    <w:p w:rsidR="00000000" w:rsidDel="00000000" w:rsidP="00000000" w:rsidRDefault="00000000" w:rsidRPr="00000000" w14:paraId="0000002A">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Deliverables;</w:t>
      </w:r>
    </w:p>
    <w:p w:rsidR="00000000" w:rsidDel="00000000" w:rsidP="00000000" w:rsidRDefault="00000000" w:rsidRPr="00000000" w14:paraId="0000002B">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tender submitted by the successful Supplier;</w:t>
      </w:r>
    </w:p>
    <w:p w:rsidR="00000000" w:rsidDel="00000000" w:rsidP="00000000" w:rsidRDefault="00000000" w:rsidRPr="00000000" w14:paraId="0000002C">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Charges payable for the Deliverables in accordance with the tender submitted by the successful Supplier; and</w:t>
      </w:r>
    </w:p>
    <w:p w:rsidR="00000000" w:rsidDel="00000000" w:rsidP="00000000" w:rsidRDefault="00000000" w:rsidRPr="00000000" w14:paraId="0000002D">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incorporate the terms [of the Order Form and Contract] (as may be amended or refined by the Buyer in accordance with Paragraph 3.1.2. above) applicable to the Deliverables,</w:t>
      </w:r>
    </w:p>
    <w:p w:rsidR="00000000" w:rsidDel="00000000" w:rsidP="00000000" w:rsidRDefault="00000000" w:rsidRPr="00000000" w14:paraId="0000002E">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unsuccessful Suppliers with written feedback in relation to the reasons why their tenders were unsuccessful.</w:t>
      </w:r>
    </w:p>
    <w:p w:rsidR="00000000" w:rsidDel="00000000" w:rsidP="00000000" w:rsidRDefault="00000000" w:rsidRPr="00000000" w14:paraId="0000002F">
      <w:pPr>
        <w:keepNext w:val="1"/>
        <w:widowControl w:val="1"/>
        <w:pBdr>
          <w:top w:space="0" w:sz="0" w:val="nil"/>
          <w:left w:space="0" w:sz="0" w:val="nil"/>
          <w:bottom w:space="0" w:sz="0" w:val="nil"/>
          <w:right w:space="0" w:sz="0" w:val="nil"/>
          <w:between w:space="0" w:sz="0" w:val="nil"/>
        </w:pBdr>
        <w:tabs>
          <w:tab w:val="left" w:pos="3054"/>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Supplier has to do</w:t>
      </w:r>
    </w:p>
    <w:p w:rsidR="00000000" w:rsidDel="00000000" w:rsidP="00000000" w:rsidRDefault="00000000" w:rsidRPr="00000000" w14:paraId="00000030">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shall in writing, by the time and date specified by the Buyer following an invitation to tender pursuant to Paragraph 3.1.3 above, provide CCS and the Buyer with either:</w:t>
      </w:r>
      <w:r w:rsidDel="00000000" w:rsidR="00000000" w:rsidRPr="00000000">
        <w:rPr>
          <w:rtl w:val="0"/>
        </w:rPr>
      </w:r>
    </w:p>
    <w:p w:rsidR="00000000" w:rsidDel="00000000" w:rsidP="00000000" w:rsidRDefault="00000000" w:rsidRPr="00000000" w14:paraId="00000031">
      <w:pPr>
        <w:widowControl w:val="1"/>
        <w:pBdr>
          <w:top w:space="0" w:sz="0" w:val="nil"/>
          <w:left w:space="0" w:sz="0" w:val="nil"/>
          <w:bottom w:space="0" w:sz="0" w:val="nil"/>
          <w:right w:space="0" w:sz="0" w:val="nil"/>
          <w:between w:space="0" w:sz="0" w:val="nil"/>
        </w:pBdr>
        <w:tabs>
          <w:tab w:val="left" w:pos="3641"/>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2">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to the effect that it does not wish to tender in relation to the Deliverables; or</w:t>
      </w:r>
    </w:p>
    <w:p w:rsidR="00000000" w:rsidDel="00000000" w:rsidP="00000000" w:rsidRDefault="00000000" w:rsidRPr="00000000" w14:paraId="00000033">
      <w:pPr>
        <w:keepNext w:val="1"/>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full details of its tender made in respect of the relevant Statement of Requirements. In the event that the Supplier submits such a tender, it should include, as a minimum:</w:t>
      </w:r>
    </w:p>
    <w:p w:rsidR="00000000" w:rsidDel="00000000" w:rsidP="00000000" w:rsidRDefault="00000000" w:rsidRPr="00000000" w14:paraId="00000034">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email response subject line to comprise unique reference number and Supplier name, so as to clearly identify the Supplier;</w:t>
      </w:r>
    </w:p>
    <w:p w:rsidR="00000000" w:rsidDel="00000000" w:rsidP="00000000" w:rsidRDefault="00000000" w:rsidRPr="00000000" w14:paraId="00000035">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36">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proposal covering the Deliverables;</w:t>
      </w:r>
    </w:p>
    <w:p w:rsidR="00000000" w:rsidDel="00000000" w:rsidP="00000000" w:rsidRDefault="00000000" w:rsidRPr="00000000" w14:paraId="00000037">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CVs of key staff – as a minimum any lead consultant, with others, as considered appropriate along with required staff levels (if necessary); and</w:t>
      </w:r>
    </w:p>
    <w:p w:rsidR="00000000" w:rsidDel="00000000" w:rsidP="00000000" w:rsidRDefault="00000000" w:rsidRPr="00000000" w14:paraId="00000038">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discounts applicable to the Deliverables, as referenced in Framework Schedule 3 (Framework Prices) (if applicable).</w:t>
      </w:r>
    </w:p>
    <w:p w:rsidR="00000000" w:rsidDel="00000000" w:rsidP="00000000" w:rsidRDefault="00000000" w:rsidRPr="00000000" w14:paraId="00000039">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any prices submitted in relation to a Further Competition Procedure held pursuant to this Paragraph 3 shall be based on the charging structure and take into account any discount to which the Buyer may be entitled as set out in Framework Schedule 3 (Framework Prices).</w:t>
      </w:r>
    </w:p>
    <w:p w:rsidR="00000000" w:rsidDel="00000000" w:rsidP="00000000" w:rsidRDefault="00000000" w:rsidRPr="00000000" w14:paraId="0000003A">
      <w:pPr>
        <w:keepNext w:val="1"/>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that:</w:t>
      </w:r>
    </w:p>
    <w:p w:rsidR="00000000" w:rsidDel="00000000" w:rsidP="00000000" w:rsidRDefault="00000000" w:rsidRPr="00000000" w14:paraId="0000003B">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in relation to a Further Competition Procedure held pursuant to this Paragraph 3 shall remain open for acceptance by the Buyer for ninety (90) Working Days (or such other period specified in the invitation to tender issued by the Buyer in accordance with the Call-Off Procedure); and</w:t>
      </w:r>
    </w:p>
    <w:p w:rsidR="00000000" w:rsidDel="00000000" w:rsidP="00000000" w:rsidRDefault="00000000" w:rsidRPr="00000000" w14:paraId="0000003C">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3D">
      <w:pPr>
        <w:widowControl w:val="1"/>
        <w:numPr>
          <w:ilvl w:val="4"/>
          <w:numId w:val="2"/>
        </w:numPr>
        <w:pBdr>
          <w:top w:space="0" w:sz="0" w:val="nil"/>
          <w:left w:space="0" w:sz="0" w:val="nil"/>
          <w:bottom w:space="0" w:sz="0" w:val="nil"/>
          <w:right w:space="0" w:sz="0" w:val="nil"/>
          <w:between w:space="0" w:sz="0" w:val="nil"/>
        </w:pBdr>
        <w:tabs>
          <w:tab w:val="left"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3E">
      <w:pPr>
        <w:widowControl w:val="1"/>
        <w:numPr>
          <w:ilvl w:val="4"/>
          <w:numId w:val="2"/>
        </w:numPr>
        <w:pBdr>
          <w:top w:space="0" w:sz="0" w:val="nil"/>
          <w:left w:space="0" w:sz="0" w:val="nil"/>
          <w:bottom w:space="0" w:sz="0" w:val="nil"/>
          <w:right w:space="0" w:sz="0" w:val="nil"/>
          <w:between w:space="0" w:sz="0" w:val="nil"/>
        </w:pBdr>
        <w:tabs>
          <w:tab w:val="left"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3F">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No requirement to award</w:t>
      </w:r>
      <w:r w:rsidDel="00000000" w:rsidR="00000000" w:rsidRPr="00000000">
        <w:rPr>
          <w:rtl w:val="0"/>
        </w:rPr>
      </w:r>
    </w:p>
    <w:p w:rsidR="00000000" w:rsidDel="00000000" w:rsidP="00000000" w:rsidRDefault="00000000" w:rsidRPr="00000000" w14:paraId="00000040">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fact that the Buyer has followed a procedure as set out above in Paragraph 2 or 3 (as applicable), the Supplier acknowledges and agrees that the Buyer shall be entitled at all times to decline to make an award for its Deliverables and that nothing in this Contract shall oblige the Buyer to award any Call-Off Contract.</w:t>
      </w:r>
    </w:p>
    <w:p w:rsidR="00000000" w:rsidDel="00000000" w:rsidP="00000000" w:rsidRDefault="00000000" w:rsidRPr="00000000" w14:paraId="00000041">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Who is responsible for the award</w:t>
      </w:r>
    </w:p>
    <w:p w:rsidR="00000000" w:rsidDel="00000000" w:rsidP="00000000" w:rsidRDefault="00000000" w:rsidRPr="00000000" w14:paraId="00000042">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acknowledges that the Buyer is independently responsible for the conduct of its award of Call-Off Contracts under this Contract and that CCS is not responsible or accountable for and shall have no liability whatsoever, except where it is the Buyer, in relation to:</w:t>
      </w:r>
    </w:p>
    <w:p w:rsidR="00000000" w:rsidDel="00000000" w:rsidP="00000000" w:rsidRDefault="00000000" w:rsidRPr="00000000" w14:paraId="00000043">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conduct of Buyer in relation to this Contract; or</w:t>
      </w:r>
    </w:p>
    <w:p w:rsidR="00000000" w:rsidDel="00000000" w:rsidP="00000000" w:rsidRDefault="00000000" w:rsidRPr="00000000" w14:paraId="00000044">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performance or non-performance of any Call-Off Contracts between the Supplier and Buyer entered into pursuant to this Contract.</w:t>
      </w:r>
    </w:p>
    <w:p w:rsidR="00000000" w:rsidDel="00000000" w:rsidP="00000000" w:rsidRDefault="00000000" w:rsidRPr="00000000" w14:paraId="00000045">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Awarding and creating a Call-Off Contract</w:t>
      </w:r>
      <w:r w:rsidDel="00000000" w:rsidR="00000000" w:rsidRPr="00000000">
        <w:rPr>
          <w:rtl w:val="0"/>
        </w:rPr>
      </w:r>
    </w:p>
    <w:p w:rsidR="00000000" w:rsidDel="00000000" w:rsidP="00000000" w:rsidRDefault="00000000" w:rsidRPr="00000000" w14:paraId="00000046">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Subject to Paragraphs 1 to 5 above and 7, a Buyer may award a Call-Off Contract with the Supplier by sending (including electronically) a signed order form substantially in the form (as may be amended or refined by the Buyer in accordance with Paragraph 3.1.2 above) of the Order Form Template set out in Framework Schedule 6 (Order Form Template and Call-Off Schedules).</w:t>
      </w:r>
    </w:p>
    <w:p w:rsidR="00000000" w:rsidDel="00000000" w:rsidP="00000000" w:rsidRDefault="00000000" w:rsidRPr="00000000" w14:paraId="00000047">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that any document or communication (including any document or communication in the apparent form of a Call-Off Contract) which is not as described in this Paragraph 6 shall not constitute a Call-Off Contract under this Contract.</w:t>
      </w:r>
    </w:p>
    <w:p w:rsidR="00000000" w:rsidDel="00000000" w:rsidP="00000000" w:rsidRDefault="00000000" w:rsidRPr="00000000" w14:paraId="00000048">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On receipt of an order form as described in Paragraph 6.1 from a Buyer the Supplier shall accept the Call-Off Contract by promptly signing and returning (including by electronic means) a copy of the order form to the Buyer concerned.</w:t>
      </w:r>
    </w:p>
    <w:p w:rsidR="00000000" w:rsidDel="00000000" w:rsidP="00000000" w:rsidRDefault="00000000" w:rsidRPr="00000000" w14:paraId="00000049">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receipt of the countersigned Order Form from the Supplier, the Buyer shall send (including by electronic means) a written notice of receipt to the Supplier within two (2) Working Days and the Call Off Contract shall be formed with effect from the Call Off Start Date stated in the Order Form.</w:t>
      </w:r>
    </w:p>
    <w:p w:rsidR="00000000" w:rsidDel="00000000" w:rsidP="00000000" w:rsidRDefault="00000000" w:rsidRPr="00000000" w14:paraId="0000004A">
      <w:pPr>
        <w:keepNext w:val="1"/>
        <w:widowControl w:val="1"/>
        <w:numPr>
          <w:ilvl w:val="0"/>
          <w:numId w:val="2"/>
        </w:numPr>
        <w:pBdr>
          <w:top w:space="0" w:sz="0" w:val="nil"/>
          <w:left w:space="0" w:sz="0" w:val="nil"/>
          <w:bottom w:space="0" w:sz="0" w:val="nil"/>
          <w:right w:space="0" w:sz="0" w:val="nil"/>
          <w:between w:space="0" w:sz="0" w:val="nil"/>
        </w:pBdr>
        <w:tabs>
          <w:tab w:val="left" w:pos="142"/>
        </w:tabs>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e-auctions work</w:t>
      </w:r>
      <w:r w:rsidDel="00000000" w:rsidR="00000000" w:rsidRPr="00000000">
        <w:rPr>
          <w:rtl w:val="0"/>
        </w:rPr>
      </w:r>
    </w:p>
    <w:p w:rsidR="00000000" w:rsidDel="00000000" w:rsidP="00000000" w:rsidRDefault="00000000" w:rsidRPr="00000000" w14:paraId="0000004B">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be entitled to include a reverse auction in the Further Competition Procedure in accordance with the rules laid down by the Buyer and the Regulations.</w:t>
      </w:r>
    </w:p>
    <w:p w:rsidR="00000000" w:rsidDel="00000000" w:rsidP="00000000" w:rsidRDefault="00000000" w:rsidRPr="00000000" w14:paraId="0000004C">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Where the Buyer wishes to undertake an electronic reverse auction, where Suppliers compete in real time by bidding as the auction unfolds (</w:t>
      </w:r>
      <w:r w:rsidDel="00000000" w:rsidR="00000000" w:rsidRPr="00000000">
        <w:rPr>
          <w:rFonts w:ascii="Arial" w:cs="Arial" w:eastAsia="Arial" w:hAnsi="Arial"/>
          <w:b w:val="1"/>
          <w:color w:val="000000"/>
          <w:sz w:val="24"/>
          <w:szCs w:val="24"/>
          <w:rtl w:val="0"/>
        </w:rPr>
        <w:t xml:space="preserve">"Electronic Reverse Auction"</w:t>
      </w:r>
      <w:r w:rsidDel="00000000" w:rsidR="00000000" w:rsidRPr="00000000">
        <w:rPr>
          <w:rFonts w:ascii="Arial" w:cs="Arial" w:eastAsia="Arial" w:hAnsi="Arial"/>
          <w:color w:val="000000"/>
          <w:sz w:val="24"/>
          <w:szCs w:val="24"/>
          <w:rtl w:val="0"/>
        </w:rPr>
        <w:t xml:space="preserve">) then before undertaking it, the Buyer will make an initial full evaluation of all tenders received in response to its Statement of Requirements. The Buyer will then invite to the Electronic Reverse Auction only those tenders that are admissible in accordance with the Regulations. The invitation shall be accompanied by the outcome of the full initial evaluation of the relevant tenders.</w:t>
      </w:r>
    </w:p>
    <w:p w:rsidR="00000000" w:rsidDel="00000000" w:rsidP="00000000" w:rsidRDefault="00000000" w:rsidRPr="00000000" w14:paraId="0000004D">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will inform the Suppliers of the specification for the Electronic Reverse Auction which shall include:</w:t>
      </w:r>
    </w:p>
    <w:p w:rsidR="00000000" w:rsidDel="00000000" w:rsidP="00000000" w:rsidRDefault="00000000" w:rsidRPr="00000000" w14:paraId="0000004E">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information to be provided at auction, which must be expressed in figures or percentages of the specified quantifiable features;</w:t>
      </w:r>
    </w:p>
    <w:p w:rsidR="00000000" w:rsidDel="00000000" w:rsidP="00000000" w:rsidRDefault="00000000" w:rsidRPr="00000000" w14:paraId="0000004F">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mathematical formula to be used to determine automatic ranking of bids on the basis of new prices and/or new values submitted;  </w:t>
      </w:r>
    </w:p>
    <w:p w:rsidR="00000000" w:rsidDel="00000000" w:rsidP="00000000" w:rsidRDefault="00000000" w:rsidRPr="00000000" w14:paraId="00000050">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limits on the values which may be submitted;</w:t>
      </w:r>
    </w:p>
    <w:p w:rsidR="00000000" w:rsidDel="00000000" w:rsidP="00000000" w:rsidRDefault="00000000" w:rsidRPr="00000000" w14:paraId="00000051">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description of any information which will be made available to Suppliers in the course of the Electronic Reverse Auction, and when it will be made available to them;</w:t>
      </w:r>
    </w:p>
    <w:p w:rsidR="00000000" w:rsidDel="00000000" w:rsidP="00000000" w:rsidRDefault="00000000" w:rsidRPr="00000000" w14:paraId="00000052">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the conditions under which Suppliers will be able to bid and, in particular, the minimum differences which will, where appropriate, be required when bidding;</w:t>
      </w:r>
    </w:p>
    <w:p w:rsidR="00000000" w:rsidDel="00000000" w:rsidP="00000000" w:rsidRDefault="00000000" w:rsidRPr="00000000" w14:paraId="00000053">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information concerning the electronic equipment used and the arrangements and technical specification for connection;</w:t>
      </w:r>
    </w:p>
    <w:p w:rsidR="00000000" w:rsidDel="00000000" w:rsidP="00000000" w:rsidRDefault="00000000" w:rsidRPr="00000000" w14:paraId="00000054">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7.4 the date and time of the start of the Electronic Reverse Auction; and</w:t>
      </w:r>
    </w:p>
    <w:p w:rsidR="00000000" w:rsidDel="00000000" w:rsidP="00000000" w:rsidRDefault="00000000" w:rsidRPr="00000000" w14:paraId="00000055">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when and how the Electronic Reverse Auction will close.</w:t>
      </w:r>
    </w:p>
    <w:p w:rsidR="00000000" w:rsidDel="00000000" w:rsidP="00000000" w:rsidRDefault="00000000" w:rsidRPr="00000000" w14:paraId="00000056">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The Electronic Reverse Auction may not start sooner than two (2) Working Days after the date on which the specification for the Electronic Reverse Auction has been issued.</w:t>
      </w:r>
    </w:p>
    <w:p w:rsidR="00000000" w:rsidDel="00000000" w:rsidP="00000000" w:rsidRDefault="00000000" w:rsidRPr="00000000" w14:paraId="00000057">
      <w:pPr>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each phase of the Electronic Reverse Auction the Buyer will communicate to all Suppliers sufficient information to enable them to ascertain their relative ranking.</w:t>
      </w:r>
    </w:p>
    <w:p w:rsidR="00000000" w:rsidDel="00000000" w:rsidP="00000000" w:rsidRDefault="00000000" w:rsidRPr="00000000" w14:paraId="00000058">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acknowledges and agrees that:</w:t>
      </w:r>
    </w:p>
    <w:p w:rsidR="00000000" w:rsidDel="00000000" w:rsidP="00000000" w:rsidRDefault="00000000" w:rsidRPr="00000000" w14:paraId="00000059">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its officers, servants, agents, group companies, assignees and customers (including CCS) do not guarantee that its access to the Electronic Reverse Auction will be uninterrupted or error-free;</w:t>
      </w:r>
    </w:p>
    <w:p w:rsidR="00000000" w:rsidDel="00000000" w:rsidP="00000000" w:rsidRDefault="00000000" w:rsidRPr="00000000" w14:paraId="0000005A">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access to the Electronic Reverse Auction may occasionally be restricted to allow for repairs or maintenance; and</w:t>
      </w:r>
    </w:p>
    <w:p w:rsidR="00000000" w:rsidDel="00000000" w:rsidP="00000000" w:rsidRDefault="00000000" w:rsidRPr="00000000" w14:paraId="0000005B">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will comply with all such rules that may be imposed by the Buyer in relation to the operation of the Electronic Reverse Auction.</w:t>
      </w:r>
    </w:p>
    <w:p w:rsidR="00000000" w:rsidDel="00000000" w:rsidP="00000000" w:rsidRDefault="00000000" w:rsidRPr="00000000" w14:paraId="0000005C">
      <w:pPr>
        <w:keepNext w:val="1"/>
        <w:widowControl w:val="1"/>
        <w:numPr>
          <w:ilvl w:val="1"/>
          <w:numId w:val="2"/>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will close the Electronic Reverse Auction on the basis of:</w:t>
      </w:r>
    </w:p>
    <w:p w:rsidR="00000000" w:rsidDel="00000000" w:rsidP="00000000" w:rsidRDefault="00000000" w:rsidRPr="00000000" w14:paraId="0000005D">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date and time fixed in advance;</w:t>
      </w:r>
    </w:p>
    <w:p w:rsidR="00000000" w:rsidDel="00000000" w:rsidP="00000000" w:rsidRDefault="00000000" w:rsidRPr="00000000" w14:paraId="0000005E">
      <w:pPr>
        <w:widowControl w:val="1"/>
        <w:numPr>
          <w:ilvl w:val="3"/>
          <w:numId w:val="2"/>
        </w:numPr>
        <w:pBdr>
          <w:top w:space="0" w:sz="0" w:val="nil"/>
          <w:left w:space="0" w:sz="0" w:val="nil"/>
          <w:bottom w:space="0" w:sz="0" w:val="nil"/>
          <w:right w:space="0" w:sz="0" w:val="nil"/>
          <w:between w:space="0" w:sz="0" w:val="nil"/>
        </w:pBdr>
        <w:tabs>
          <w:tab w:val="left" w:pos="3641"/>
        </w:tabs>
        <w:spacing w:after="120" w:before="12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no new prices or values meeting the minimum differences required pursuant to Paragraph 7.3 have been received within the prescribed elapsed time period; or</w:t>
      </w:r>
    </w:p>
    <w:p w:rsidR="00000000" w:rsidDel="00000000" w:rsidP="00000000" w:rsidRDefault="00000000" w:rsidRPr="00000000" w14:paraId="0000005F">
      <w:pPr>
        <w:widowControl w:val="1"/>
        <w:numPr>
          <w:ilvl w:val="2"/>
          <w:numId w:val="2"/>
        </w:numPr>
        <w:pBdr>
          <w:top w:space="0" w:sz="0" w:val="nil"/>
          <w:left w:space="0" w:sz="0" w:val="nil"/>
          <w:bottom w:space="0" w:sz="0" w:val="nil"/>
          <w:right w:space="0" w:sz="0" w:val="nil"/>
          <w:between w:space="0" w:sz="0" w:val="nil"/>
        </w:pBdr>
        <w:tabs>
          <w:tab w:val="left"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all the phases have been completed.</w:t>
      </w:r>
    </w:p>
    <w:p w:rsidR="00000000" w:rsidDel="00000000" w:rsidP="00000000" w:rsidRDefault="00000000" w:rsidRPr="00000000" w14:paraId="00000060">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1">
      <w:pPr>
        <w:widowControl w:val="1"/>
        <w:pBdr>
          <w:top w:space="0" w:sz="0" w:val="nil"/>
          <w:left w:space="0" w:sz="0" w:val="nil"/>
          <w:bottom w:space="0" w:sz="0" w:val="nil"/>
          <w:right w:space="0" w:sz="0" w:val="nil"/>
          <w:between w:space="0" w:sz="0" w:val="nil"/>
        </w:pBdr>
        <w:tabs>
          <w:tab w:val="left" w:pos="3054"/>
        </w:tabs>
        <w:spacing w:after="120" w:before="120" w:lineRule="auto"/>
        <w:ind w:left="936" w:hanging="576"/>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2">
      <w:pPr>
        <w:widowControl w:val="1"/>
        <w:pBdr>
          <w:top w:space="0" w:sz="0" w:val="nil"/>
          <w:left w:space="0" w:sz="0" w:val="nil"/>
          <w:bottom w:space="0" w:sz="0" w:val="nil"/>
          <w:right w:space="0" w:sz="0" w:val="nil"/>
          <w:between w:space="0" w:sz="0" w:val="nil"/>
        </w:pBdr>
        <w:tabs>
          <w:tab w:val="left" w:pos="3054"/>
        </w:tabs>
        <w:spacing w:after="120" w:before="120" w:lineRule="auto"/>
        <w:ind w:left="936" w:hanging="576"/>
        <w:rPr>
          <w:rFonts w:ascii="Arial" w:cs="Arial" w:eastAsia="Arial" w:hAnsi="Arial"/>
          <w:color w:val="000000"/>
          <w:sz w:val="36"/>
          <w:szCs w:val="36"/>
        </w:rPr>
      </w:pPr>
      <w:r w:rsidDel="00000000" w:rsidR="00000000" w:rsidRPr="00000000">
        <w:rPr>
          <w:rFonts w:ascii="Arial" w:cs="Arial" w:eastAsia="Arial" w:hAnsi="Arial"/>
          <w:b w:val="1"/>
          <w:color w:val="000000"/>
          <w:sz w:val="36"/>
          <w:szCs w:val="36"/>
          <w:rtl w:val="0"/>
        </w:rPr>
        <w:t xml:space="preserve">Part 2: Award Criteria</w:t>
      </w:r>
      <w:r w:rsidDel="00000000" w:rsidR="00000000" w:rsidRPr="00000000">
        <w:rPr>
          <w:rtl w:val="0"/>
        </w:rPr>
      </w:r>
    </w:p>
    <w:p w:rsidR="00000000" w:rsidDel="00000000" w:rsidP="00000000" w:rsidRDefault="00000000" w:rsidRPr="00000000" w14:paraId="00000063">
      <w:pPr>
        <w:widowControl w:val="1"/>
        <w:numPr>
          <w:ilvl w:val="0"/>
          <w:numId w:val="1"/>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Part 2 lays out award criteria for direct award (Annex A) and for further competition (Annex B) in accordance with the Call-Off Procedure.</w:t>
      </w:r>
    </w:p>
    <w:p w:rsidR="00000000" w:rsidDel="00000000" w:rsidP="00000000" w:rsidRDefault="00000000" w:rsidRPr="00000000" w14:paraId="00000064">
      <w:pPr>
        <w:widowControl w:val="1"/>
        <w:numPr>
          <w:ilvl w:val="0"/>
          <w:numId w:val="1"/>
        </w:numPr>
        <w:pBdr>
          <w:top w:space="0" w:sz="0" w:val="nil"/>
          <w:left w:space="0" w:sz="0" w:val="nil"/>
          <w:bottom w:space="0" w:sz="0" w:val="nil"/>
          <w:right w:space="0" w:sz="0" w:val="nil"/>
          <w:between w:space="0" w:sz="0" w:val="nil"/>
        </w:pBdr>
        <w:tabs>
          <w:tab w:val="left"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Call-Off Contract may be awarded on the basis of most economically advantageous tender ("MEAT").</w:t>
      </w:r>
    </w:p>
    <w:p w:rsidR="00000000" w:rsidDel="00000000" w:rsidP="00000000" w:rsidRDefault="00000000" w:rsidRPr="00000000" w14:paraId="00000065">
      <w:pPr>
        <w:rPr>
          <w:rFonts w:ascii="Arial" w:cs="Arial" w:eastAsia="Arial" w:hAnsi="Arial"/>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6">
      <w:pPr>
        <w:keepNext w:val="1"/>
        <w:widowControl w:val="1"/>
        <w:pBdr>
          <w:top w:space="0" w:sz="0" w:val="nil"/>
          <w:left w:space="0" w:sz="0" w:val="nil"/>
          <w:bottom w:space="0" w:sz="0" w:val="nil"/>
          <w:right w:space="0" w:sz="0" w:val="nil"/>
          <w:between w:space="0" w:sz="0" w:val="nil"/>
        </w:pBdr>
        <w:spacing w:after="240" w:before="240" w:lineRule="auto"/>
        <w:ind w:firstLine="426"/>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Annex A: Direct award criteria</w:t>
      </w:r>
    </w:p>
    <w:p w:rsidR="00000000" w:rsidDel="00000000" w:rsidP="00000000" w:rsidRDefault="00000000" w:rsidRPr="00000000" w14:paraId="00000067">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all Lots the</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 following criteria and weightings shall apply to the evaluation for direct award of each Call-Off.</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8">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Lots 1, 2 &amp; 4 (Direct Award not permitted for Lot 3)</w:t>
      </w:r>
      <w:r w:rsidDel="00000000" w:rsidR="00000000" w:rsidRPr="00000000">
        <w:rPr>
          <w:rtl w:val="0"/>
        </w:rPr>
        <w:t xml:space="preserve">     </w:t>
      </w:r>
      <w:r w:rsidDel="00000000" w:rsidR="00000000" w:rsidRPr="00000000">
        <w:rPr>
          <w:rtl w:val="0"/>
        </w:rPr>
      </w:r>
    </w:p>
    <w:tbl>
      <w:tblPr>
        <w:tblStyle w:val="Table1"/>
        <w:tblW w:w="921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5670"/>
        <w:tblGridChange w:id="0">
          <w:tblGrid>
            <w:gridCol w:w="3544"/>
            <w:gridCol w:w="5670"/>
          </w:tblGrid>
        </w:tblGridChange>
      </w:tblGrid>
      <w:tr>
        <w:trPr>
          <w:cantSplit w:val="0"/>
          <w:tblHeader w:val="0"/>
        </w:trPr>
        <w:tc>
          <w:tcPr>
            <w:shd w:fill="e7e6e6" w:val="clear"/>
          </w:tcPr>
          <w:p w:rsidR="00000000" w:rsidDel="00000000" w:rsidP="00000000" w:rsidRDefault="00000000" w:rsidRPr="00000000" w14:paraId="00000069">
            <w:pPr>
              <w:keepNext w:val="1"/>
              <w:widowControl w:val="1"/>
              <w:pBdr>
                <w:top w:space="0" w:sz="0" w:val="nil"/>
                <w:left w:space="0" w:sz="0" w:val="nil"/>
                <w:bottom w:space="0" w:sz="0" w:val="nil"/>
                <w:right w:space="0" w:sz="0" w:val="nil"/>
                <w:between w:space="0" w:sz="0" w:val="nil"/>
              </w:pBdr>
              <w:spacing w:after="120" w:before="120" w:lineRule="auto"/>
              <w:ind w:left="142"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Criteria </w:t>
            </w:r>
          </w:p>
        </w:tc>
        <w:tc>
          <w:tcPr>
            <w:shd w:fill="e7e6e6" w:val="clear"/>
          </w:tcPr>
          <w:p w:rsidR="00000000" w:rsidDel="00000000" w:rsidP="00000000" w:rsidRDefault="00000000" w:rsidRPr="00000000" w14:paraId="0000006A">
            <w:pPr>
              <w:widowControl w:val="1"/>
              <w:spacing w:after="200" w:before="12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Relative weighting percentage </w:t>
            </w:r>
          </w:p>
          <w:p w:rsidR="00000000" w:rsidDel="00000000" w:rsidP="00000000" w:rsidRDefault="00000000" w:rsidRPr="00000000" w14:paraId="0000006B">
            <w:pPr>
              <w:widowControl w:val="1"/>
              <w:spacing w:after="200" w:line="276"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highlight w:val="yellow"/>
                <w:rtl w:val="0"/>
              </w:rPr>
              <w:t xml:space="preserve">Guidance:</w:t>
            </w:r>
            <w:r w:rsidDel="00000000" w:rsidR="00000000" w:rsidRPr="00000000">
              <w:rPr>
                <w:rFonts w:ascii="Arial" w:cs="Arial" w:eastAsia="Arial" w:hAnsi="Arial"/>
                <w:sz w:val="24"/>
                <w:szCs w:val="24"/>
                <w:rtl w:val="0"/>
              </w:rPr>
              <w:t xml:space="preserve"> where weighting is not possible for objective reasons, list the criteria in decreasing order of importance, amend the column heading to read 'Rank order of importance where 1 = most important, 2 = second most important etc.'. The figure 1 must be in the top row, running down to the least important in the bottom row.]</w:t>
            </w:r>
            <w:r w:rsidDel="00000000" w:rsidR="00000000" w:rsidRPr="00000000">
              <w:rPr>
                <w:rtl w:val="0"/>
              </w:rPr>
            </w:r>
          </w:p>
        </w:tc>
      </w:tr>
      <w:tr>
        <w:trPr>
          <w:cantSplit w:val="0"/>
          <w:tblHeader w:val="0"/>
        </w:trPr>
        <w:tc>
          <w:tcPr>
            <w:gridSpan w:val="2"/>
          </w:tcPr>
          <w:p w:rsidR="00000000" w:rsidDel="00000000" w:rsidP="00000000" w:rsidRDefault="00000000" w:rsidRPr="00000000" w14:paraId="0000006C">
            <w:pPr>
              <w:keepNext w:val="1"/>
              <w:widowControl w:val="1"/>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D">
            <w:pPr>
              <w:widowControl w:val="1"/>
              <w:pBdr>
                <w:top w:space="0" w:sz="0" w:val="nil"/>
                <w:left w:space="0" w:sz="0" w:val="nil"/>
                <w:bottom w:space="0" w:sz="0" w:val="nil"/>
                <w:right w:space="0" w:sz="0" w:val="nil"/>
                <w:between w:space="0" w:sz="0" w:val="nil"/>
              </w:pBdr>
              <w:spacing w:after="280" w:before="120" w:line="259" w:lineRule="auto"/>
              <w:ind w:left="176" w:hanging="720"/>
              <w:jc w:val="cente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Value for money: e.g. </w:t>
            </w:r>
          </w:p>
          <w:p w:rsidR="00000000" w:rsidDel="00000000" w:rsidP="00000000" w:rsidRDefault="00000000" w:rsidRPr="00000000" w14:paraId="0000006E">
            <w:pPr>
              <w:widowControl w:val="1"/>
              <w:pBdr>
                <w:top w:space="0" w:sz="0" w:val="nil"/>
                <w:left w:space="0" w:sz="0" w:val="nil"/>
                <w:bottom w:space="0" w:sz="0" w:val="nil"/>
                <w:right w:space="0" w:sz="0" w:val="nil"/>
                <w:between w:space="0" w:sz="0" w:val="nil"/>
              </w:pBdr>
              <w:spacing w:after="280" w:before="120" w:line="259" w:lineRule="auto"/>
              <w:ind w:left="176" w:hanging="720"/>
              <w:jc w:val="cente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the Buyer believes that the Supplier provides</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highlight w:val="white"/>
                <w:rtl w:val="0"/>
              </w:rPr>
              <w:t xml:space="preserve">demonstrable value for money, </w:t>
            </w:r>
          </w:p>
          <w:p w:rsidR="00000000" w:rsidDel="00000000" w:rsidP="00000000" w:rsidRDefault="00000000" w:rsidRPr="00000000" w14:paraId="0000006F">
            <w:pPr>
              <w:widowControl w:val="1"/>
              <w:pBdr>
                <w:top w:space="0" w:sz="0" w:val="nil"/>
                <w:left w:space="0" w:sz="0" w:val="nil"/>
                <w:bottom w:space="0" w:sz="0" w:val="nil"/>
                <w:right w:space="0" w:sz="0" w:val="nil"/>
                <w:between w:space="0" w:sz="0" w:val="nil"/>
              </w:pBdr>
              <w:spacing w:after="280" w:before="120" w:line="259" w:lineRule="auto"/>
              <w:ind w:left="176" w:hanging="720"/>
              <w:jc w:val="cente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which may include but is not limited to:</w:t>
            </w:r>
          </w:p>
          <w:p w:rsidR="00000000" w:rsidDel="00000000" w:rsidP="00000000" w:rsidRDefault="00000000" w:rsidRPr="00000000" w14:paraId="00000070">
            <w:pPr>
              <w:widowControl w:val="1"/>
              <w:pBdr>
                <w:top w:space="0" w:sz="0" w:val="nil"/>
                <w:left w:space="0" w:sz="0" w:val="nil"/>
                <w:bottom w:space="0" w:sz="0" w:val="nil"/>
                <w:right w:space="0" w:sz="0" w:val="nil"/>
                <w:between w:space="0" w:sz="0" w:val="nil"/>
              </w:pBdr>
              <w:ind w:left="176" w:hanging="360"/>
              <w:jc w:val="cente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 Cost effectiveness;</w:t>
            </w:r>
          </w:p>
          <w:p w:rsidR="00000000" w:rsidDel="00000000" w:rsidP="00000000" w:rsidRDefault="00000000" w:rsidRPr="00000000" w14:paraId="00000071">
            <w:pPr>
              <w:widowControl w:val="1"/>
              <w:pBdr>
                <w:top w:space="0" w:sz="0" w:val="nil"/>
                <w:left w:space="0" w:sz="0" w:val="nil"/>
                <w:bottom w:space="0" w:sz="0" w:val="nil"/>
                <w:right w:space="0" w:sz="0" w:val="nil"/>
                <w:between w:space="0" w:sz="0" w:val="nil"/>
              </w:pBdr>
              <w:ind w:left="176" w:hanging="360"/>
              <w:jc w:val="cente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 Price; and</w:t>
            </w:r>
            <w:r w:rsidDel="00000000" w:rsidR="00000000" w:rsidRPr="00000000">
              <w:rPr>
                <w:rFonts w:ascii="Arial" w:cs="Arial" w:eastAsia="Arial" w:hAnsi="Arial"/>
                <w:color w:val="000000"/>
                <w:rtl w:val="0"/>
              </w:rPr>
              <w:br w:type="textWrapping"/>
            </w:r>
            <w:r w:rsidDel="00000000" w:rsidR="00000000" w:rsidRPr="00000000">
              <w:rPr>
                <w:rFonts w:ascii="Arial" w:cs="Arial" w:eastAsia="Arial" w:hAnsi="Arial"/>
                <w:color w:val="000000"/>
                <w:highlight w:val="white"/>
                <w:rtl w:val="0"/>
              </w:rPr>
              <w:t xml:space="preserve">● Quality.</w:t>
            </w:r>
          </w:p>
        </w:tc>
      </w:tr>
    </w:tbl>
    <w:p w:rsidR="00000000" w:rsidDel="00000000" w:rsidP="00000000" w:rsidRDefault="00000000" w:rsidRPr="00000000" w14:paraId="00000073">
      <w:pPr>
        <w:widowControl w:val="1"/>
        <w:pBdr>
          <w:top w:space="0" w:sz="0" w:val="nil"/>
          <w:left w:space="0" w:sz="0" w:val="nil"/>
          <w:bottom w:space="0" w:sz="0" w:val="nil"/>
          <w:right w:space="0" w:sz="0" w:val="nil"/>
          <w:between w:space="0" w:sz="0" w:val="nil"/>
        </w:pBdr>
        <w:ind w:left="1080" w:firstLine="0"/>
        <w:jc w:val="both"/>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74">
      <w:pPr>
        <w:widowControl w:val="1"/>
        <w:pBdr>
          <w:top w:space="0" w:sz="0" w:val="nil"/>
          <w:left w:space="0" w:sz="0" w:val="nil"/>
          <w:bottom w:space="0" w:sz="0" w:val="nil"/>
          <w:right w:space="0" w:sz="0" w:val="nil"/>
          <w:between w:space="0" w:sz="0" w:val="nil"/>
        </w:pBdr>
        <w:spacing w:after="240" w:lineRule="auto"/>
        <w:jc w:val="both"/>
        <w:rPr>
          <w:color w:val="000000"/>
        </w:rPr>
      </w:pPr>
      <w:bookmarkStart w:colFirst="0" w:colLast="0" w:name="_heading=h.gjdgxs" w:id="11"/>
      <w:bookmarkEnd w:id="11"/>
      <w:r w:rsidDel="00000000" w:rsidR="00000000" w:rsidRPr="00000000">
        <w:rPr>
          <w:rFonts w:ascii="Arial" w:cs="Arial" w:eastAsia="Arial" w:hAnsi="Arial"/>
          <w:color w:val="000000"/>
          <w:sz w:val="24"/>
          <w:szCs w:val="24"/>
          <w:rtl w:val="0"/>
        </w:rPr>
        <w:t xml:space="preserve">Direct award - In keeping with PPN 06/20, the Buyer should agree with the Supplier what they can and will do to help work towards the social value priorities set out in the Framework Schedule 1(Specification).  Rather than setting targets for the Supplier, Buyers should discuss with them what would be an appropriate and proportionate commitment, and this commitment will form part of the Call-off Contract.  Buyers would then evaluate the supplier’s performance against this commitment as part of ongoing contract management.</w:t>
      </w:r>
      <w:r w:rsidDel="00000000" w:rsidR="00000000" w:rsidRPr="00000000">
        <w:rPr>
          <w:rtl w:val="0"/>
        </w:rPr>
      </w:r>
    </w:p>
    <w:p w:rsidR="00000000" w:rsidDel="00000000" w:rsidP="00000000" w:rsidRDefault="00000000" w:rsidRPr="00000000" w14:paraId="00000075">
      <w:pPr>
        <w:keepNext w:val="1"/>
        <w:widowControl w:val="1"/>
        <w:pBdr>
          <w:top w:space="0" w:sz="0" w:val="nil"/>
          <w:left w:space="0" w:sz="0" w:val="nil"/>
          <w:bottom w:space="0" w:sz="0" w:val="nil"/>
          <w:right w:space="0" w:sz="0" w:val="nil"/>
          <w:between w:space="0" w:sz="0" w:val="nil"/>
        </w:pBdr>
        <w:spacing w:after="240" w:before="240" w:lineRule="auto"/>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B: Further Competition Award Criteria</w:t>
      </w:r>
    </w:p>
    <w:p w:rsidR="00000000" w:rsidDel="00000000" w:rsidP="00000000" w:rsidRDefault="00000000" w:rsidRPr="00000000" w14:paraId="00000076">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Lot 2 &amp; 4 the</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 following criteria and weightings shall apply to the evaluation of tenders received through the Further Competition Procedure:</w:t>
      </w:r>
    </w:p>
    <w:p w:rsidR="00000000" w:rsidDel="00000000" w:rsidP="00000000" w:rsidRDefault="00000000" w:rsidRPr="00000000" w14:paraId="00000077">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Lots 2 &amp; 4</w:t>
      </w:r>
      <w:r w:rsidDel="00000000" w:rsidR="00000000" w:rsidRPr="00000000">
        <w:rPr>
          <w:rtl w:val="0"/>
        </w:rPr>
        <w:t xml:space="preserve">     </w:t>
      </w:r>
      <w:r w:rsidDel="00000000" w:rsidR="00000000" w:rsidRPr="00000000">
        <w:rPr>
          <w:rtl w:val="0"/>
        </w:rPr>
      </w:r>
    </w:p>
    <w:tbl>
      <w:tblPr>
        <w:tblStyle w:val="Table2"/>
        <w:tblW w:w="8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1"/>
        <w:gridCol w:w="4154"/>
        <w:gridCol w:w="3051"/>
        <w:tblGridChange w:id="0">
          <w:tblGrid>
            <w:gridCol w:w="1271"/>
            <w:gridCol w:w="4154"/>
            <w:gridCol w:w="3051"/>
          </w:tblGrid>
        </w:tblGridChange>
      </w:tblGrid>
      <w:tr>
        <w:trPr>
          <w:cantSplit w:val="0"/>
          <w:tblHeader w:val="0"/>
        </w:trPr>
        <w:tc>
          <w:tcPr>
            <w:shd w:fill="e7e6e6" w:val="clear"/>
          </w:tcPr>
          <w:p w:rsidR="00000000" w:rsidDel="00000000" w:rsidP="00000000" w:rsidRDefault="00000000" w:rsidRPr="00000000" w14:paraId="00000078">
            <w:pPr>
              <w:widowControl w:val="1"/>
              <w:pBdr>
                <w:top w:space="0" w:sz="0" w:val="nil"/>
                <w:left w:space="0" w:sz="0" w:val="nil"/>
                <w:bottom w:space="0" w:sz="0" w:val="nil"/>
                <w:right w:space="0" w:sz="0" w:val="nil"/>
                <w:between w:space="0" w:sz="0" w:val="nil"/>
              </w:pBdr>
              <w:tabs>
                <w:tab w:val="left" w:pos="851"/>
              </w:tabs>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Criteria</w:t>
            </w:r>
            <w:r w:rsidDel="00000000" w:rsidR="00000000" w:rsidRPr="00000000">
              <w:rPr>
                <w:rtl w:val="0"/>
              </w:rPr>
            </w:r>
          </w:p>
        </w:tc>
        <w:tc>
          <w:tcPr>
            <w:shd w:fill="e7e6e6" w:val="clear"/>
          </w:tcPr>
          <w:p w:rsidR="00000000" w:rsidDel="00000000" w:rsidP="00000000" w:rsidRDefault="00000000" w:rsidRPr="00000000" w14:paraId="00000079">
            <w:pPr>
              <w:widowControl w:val="1"/>
              <w:pBdr>
                <w:top w:space="0" w:sz="0" w:val="nil"/>
                <w:left w:space="0" w:sz="0" w:val="nil"/>
                <w:bottom w:space="0" w:sz="0" w:val="nil"/>
                <w:right w:space="0" w:sz="0" w:val="nil"/>
                <w:between w:space="0" w:sz="0" w:val="nil"/>
              </w:pBdr>
              <w:tabs>
                <w:tab w:val="left" w:pos="851"/>
              </w:tabs>
              <w:spacing w:after="120" w:before="12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Percentage Weightings (or rank order of importance where applicable) - to be set by the Customer conducting the Further Competition Procedure</w:t>
            </w:r>
          </w:p>
        </w:tc>
        <w:tc>
          <w:tcPr>
            <w:shd w:fill="e7e6e6" w:val="clear"/>
          </w:tcPr>
          <w:p w:rsidR="00000000" w:rsidDel="00000000" w:rsidP="00000000" w:rsidRDefault="00000000" w:rsidRPr="00000000" w14:paraId="0000007A">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Allowable Variance </w:t>
            </w:r>
          </w:p>
          <w:p w:rsidR="00000000" w:rsidDel="00000000" w:rsidP="00000000" w:rsidRDefault="00000000" w:rsidRPr="00000000" w14:paraId="0000007B">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(This may be modified by the Customer within the range below)</w:t>
            </w:r>
            <w:r w:rsidDel="00000000" w:rsidR="00000000" w:rsidRPr="00000000">
              <w:rPr>
                <w:color w:val="000000"/>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C">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Quality </w:t>
            </w:r>
          </w:p>
        </w:tc>
        <w:tc>
          <w:tcPr/>
          <w:p w:rsidR="00000000" w:rsidDel="00000000" w:rsidP="00000000" w:rsidRDefault="00000000" w:rsidRPr="00000000" w14:paraId="0000007D">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50%</w:t>
            </w:r>
          </w:p>
        </w:tc>
        <w:tc>
          <w:tcPr/>
          <w:p w:rsidR="00000000" w:rsidDel="00000000" w:rsidP="00000000" w:rsidRDefault="00000000" w:rsidRPr="00000000" w14:paraId="0000007E">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Buyers can modify the percentage weighting to meet their requirements using a variance level of:</w:t>
            </w:r>
          </w:p>
          <w:p w:rsidR="00000000" w:rsidDel="00000000" w:rsidP="00000000" w:rsidRDefault="00000000" w:rsidRPr="00000000" w14:paraId="0000007F">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+ 40% (50% to 90%) </w:t>
            </w:r>
          </w:p>
        </w:tc>
      </w:tr>
      <w:tr>
        <w:trPr>
          <w:cantSplit w:val="0"/>
          <w:tblHeader w:val="0"/>
        </w:trPr>
        <w:tc>
          <w:tcPr/>
          <w:p w:rsidR="00000000" w:rsidDel="00000000" w:rsidP="00000000" w:rsidRDefault="00000000" w:rsidRPr="00000000" w14:paraId="00000080">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Price </w:t>
            </w:r>
          </w:p>
        </w:tc>
        <w:tc>
          <w:tcPr/>
          <w:p w:rsidR="00000000" w:rsidDel="00000000" w:rsidP="00000000" w:rsidRDefault="00000000" w:rsidRPr="00000000" w14:paraId="00000081">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50%</w:t>
            </w:r>
          </w:p>
        </w:tc>
        <w:tc>
          <w:tcPr/>
          <w:p w:rsidR="00000000" w:rsidDel="00000000" w:rsidP="00000000" w:rsidRDefault="00000000" w:rsidRPr="00000000" w14:paraId="00000082">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Buyers can modify the percentage weighting to meet their requirements using a variance level of:</w:t>
            </w:r>
          </w:p>
          <w:p w:rsidR="00000000" w:rsidDel="00000000" w:rsidP="00000000" w:rsidRDefault="00000000" w:rsidRPr="00000000" w14:paraId="00000083">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- 40% (10% to 50%) </w:t>
            </w:r>
          </w:p>
        </w:tc>
      </w:tr>
    </w:tbl>
    <w:p w:rsidR="00000000" w:rsidDel="00000000" w:rsidP="00000000" w:rsidRDefault="00000000" w:rsidRPr="00000000" w14:paraId="00000084">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5">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Lot 3 the following criteria and weightings shall apply to the evaluation of tenders received through the Further Competition Procedure:</w:t>
      </w:r>
    </w:p>
    <w:p w:rsidR="00000000" w:rsidDel="00000000" w:rsidP="00000000" w:rsidRDefault="00000000" w:rsidRPr="00000000" w14:paraId="00000086">
      <w:pPr>
        <w:widowControl w:val="1"/>
        <w:pBdr>
          <w:top w:space="0" w:sz="0" w:val="nil"/>
          <w:left w:space="0" w:sz="0" w:val="nil"/>
          <w:bottom w:space="0" w:sz="0" w:val="nil"/>
          <w:right w:space="0" w:sz="0" w:val="nil"/>
          <w:between w:space="0" w:sz="0" w:val="nil"/>
        </w:pBdr>
        <w:tabs>
          <w:tab w:val="left" w:pos="851"/>
          <w:tab w:val="left" w:pos="1283"/>
        </w:tabs>
        <w:spacing w:after="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Lots 3</w:t>
        <w:tab/>
      </w:r>
    </w:p>
    <w:tbl>
      <w:tblPr>
        <w:tblStyle w:val="Table3"/>
        <w:tblW w:w="8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1"/>
        <w:gridCol w:w="2693"/>
        <w:gridCol w:w="4512"/>
        <w:tblGridChange w:id="0">
          <w:tblGrid>
            <w:gridCol w:w="1271"/>
            <w:gridCol w:w="2693"/>
            <w:gridCol w:w="4512"/>
          </w:tblGrid>
        </w:tblGridChange>
      </w:tblGrid>
      <w:tr>
        <w:trPr>
          <w:cantSplit w:val="0"/>
          <w:tblHeader w:val="0"/>
        </w:trPr>
        <w:tc>
          <w:tcPr>
            <w:shd w:fill="e7e6e6" w:val="clear"/>
          </w:tcPr>
          <w:p w:rsidR="00000000" w:rsidDel="00000000" w:rsidP="00000000" w:rsidRDefault="00000000" w:rsidRPr="00000000" w14:paraId="00000087">
            <w:pPr>
              <w:widowControl w:val="1"/>
              <w:pBdr>
                <w:top w:space="0" w:sz="0" w:val="nil"/>
                <w:left w:space="0" w:sz="0" w:val="nil"/>
                <w:bottom w:space="0" w:sz="0" w:val="nil"/>
                <w:right w:space="0" w:sz="0" w:val="nil"/>
                <w:between w:space="0" w:sz="0" w:val="nil"/>
              </w:pBdr>
              <w:tabs>
                <w:tab w:val="left" w:pos="851"/>
              </w:tabs>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Criteria</w:t>
            </w:r>
            <w:r w:rsidDel="00000000" w:rsidR="00000000" w:rsidRPr="00000000">
              <w:rPr>
                <w:rtl w:val="0"/>
              </w:rPr>
            </w:r>
          </w:p>
        </w:tc>
        <w:tc>
          <w:tcPr>
            <w:shd w:fill="e7e6e6" w:val="clear"/>
          </w:tcPr>
          <w:p w:rsidR="00000000" w:rsidDel="00000000" w:rsidP="00000000" w:rsidRDefault="00000000" w:rsidRPr="00000000" w14:paraId="00000088">
            <w:pPr>
              <w:widowControl w:val="1"/>
              <w:pBdr>
                <w:top w:space="0" w:sz="0" w:val="nil"/>
                <w:left w:space="0" w:sz="0" w:val="nil"/>
                <w:bottom w:space="0" w:sz="0" w:val="nil"/>
                <w:right w:space="0" w:sz="0" w:val="nil"/>
                <w:between w:space="0" w:sz="0" w:val="nil"/>
              </w:pBdr>
              <w:tabs>
                <w:tab w:val="left" w:pos="851"/>
              </w:tabs>
              <w:spacing w:after="120" w:before="12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Percentage Weightings (or rank order of importance where applicable) - to be set by the Customer conducting the Further Competition Procedure</w:t>
            </w:r>
          </w:p>
        </w:tc>
        <w:tc>
          <w:tcPr>
            <w:shd w:fill="e7e6e6" w:val="clear"/>
          </w:tcPr>
          <w:p w:rsidR="00000000" w:rsidDel="00000000" w:rsidP="00000000" w:rsidRDefault="00000000" w:rsidRPr="00000000" w14:paraId="00000089">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Allowable Variance </w:t>
            </w:r>
          </w:p>
          <w:p w:rsidR="00000000" w:rsidDel="00000000" w:rsidP="00000000" w:rsidRDefault="00000000" w:rsidRPr="00000000" w14:paraId="0000008A">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(This may be modified by the Customer within the range below)</w:t>
            </w:r>
            <w:r w:rsidDel="00000000" w:rsidR="00000000" w:rsidRPr="00000000">
              <w:rPr>
                <w:color w:val="000000"/>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B">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Quality </w:t>
            </w:r>
          </w:p>
        </w:tc>
        <w:tc>
          <w:tcPr/>
          <w:p w:rsidR="00000000" w:rsidDel="00000000" w:rsidP="00000000" w:rsidRDefault="00000000" w:rsidRPr="00000000" w14:paraId="0000008C">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70%</w:t>
            </w:r>
          </w:p>
        </w:tc>
        <w:tc>
          <w:tcPr/>
          <w:p w:rsidR="00000000" w:rsidDel="00000000" w:rsidP="00000000" w:rsidRDefault="00000000" w:rsidRPr="00000000" w14:paraId="0000008D">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Buyers can modify the percentage weighting to meet their requirements using a variance level of:</w:t>
            </w:r>
          </w:p>
          <w:p w:rsidR="00000000" w:rsidDel="00000000" w:rsidP="00000000" w:rsidRDefault="00000000" w:rsidRPr="00000000" w14:paraId="0000008E">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+10% or - 50%  (80% to 20%) </w:t>
            </w:r>
          </w:p>
        </w:tc>
      </w:tr>
      <w:tr>
        <w:trPr>
          <w:cantSplit w:val="0"/>
          <w:tblHeader w:val="0"/>
        </w:trPr>
        <w:tc>
          <w:tcPr/>
          <w:p w:rsidR="00000000" w:rsidDel="00000000" w:rsidP="00000000" w:rsidRDefault="00000000" w:rsidRPr="00000000" w14:paraId="0000008F">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Price </w:t>
            </w:r>
          </w:p>
        </w:tc>
        <w:tc>
          <w:tcPr/>
          <w:p w:rsidR="00000000" w:rsidDel="00000000" w:rsidP="00000000" w:rsidRDefault="00000000" w:rsidRPr="00000000" w14:paraId="00000090">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30%</w:t>
            </w:r>
          </w:p>
        </w:tc>
        <w:tc>
          <w:tcPr/>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Buyers can modify the percentage weighting to meet their requirements using a variance level of:</w:t>
            </w:r>
          </w:p>
          <w:p w:rsidR="00000000" w:rsidDel="00000000" w:rsidP="00000000" w:rsidRDefault="00000000" w:rsidRPr="00000000" w14:paraId="00000092">
            <w:pPr>
              <w:widowControl w:val="1"/>
              <w:pBdr>
                <w:top w:space="0" w:sz="0" w:val="nil"/>
                <w:left w:space="0" w:sz="0" w:val="nil"/>
                <w:bottom w:space="0" w:sz="0" w:val="nil"/>
                <w:right w:space="0" w:sz="0" w:val="nil"/>
                <w:between w:space="0" w:sz="0" w:val="nil"/>
              </w:pBdr>
              <w:tabs>
                <w:tab w:val="left" w:pos="851"/>
              </w:tabs>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+ 50%  or -10%  (80% to 20%) </w:t>
            </w:r>
          </w:p>
        </w:tc>
      </w:tr>
    </w:tbl>
    <w:p w:rsidR="00000000" w:rsidDel="00000000" w:rsidP="00000000" w:rsidRDefault="00000000" w:rsidRPr="00000000" w14:paraId="00000093">
      <w:pPr>
        <w:widowControl w:val="1"/>
        <w:pBdr>
          <w:top w:space="0" w:sz="0" w:val="nil"/>
          <w:left w:space="0" w:sz="0" w:val="nil"/>
          <w:bottom w:space="0" w:sz="0" w:val="nil"/>
          <w:right w:space="0" w:sz="0" w:val="nil"/>
          <w:between w:space="0" w:sz="0" w:val="nil"/>
        </w:pBdr>
        <w:jc w:val="both"/>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94">
      <w:pPr>
        <w:widowControl w:val="1"/>
        <w:pBdr>
          <w:top w:space="0" w:sz="0" w:val="nil"/>
          <w:left w:space="0" w:sz="0" w:val="nil"/>
          <w:bottom w:space="0" w:sz="0" w:val="nil"/>
          <w:right w:space="0" w:sz="0" w:val="nil"/>
          <w:between w:space="0" w:sz="0" w:val="nil"/>
        </w:pBdr>
        <w:spacing w:after="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sz w:val="24"/>
          <w:szCs w:val="24"/>
          <w:rtl w:val="0"/>
        </w:rPr>
        <w:t xml:space="preserve">Example of Quality criteria may include but not limited to</w:t>
      </w:r>
      <w:r w:rsidDel="00000000" w:rsidR="00000000" w:rsidRPr="00000000">
        <w:rPr>
          <w:rtl w:val="0"/>
        </w:rPr>
      </w:r>
    </w:p>
    <w:p w:rsidR="00000000" w:rsidDel="00000000" w:rsidP="00000000" w:rsidRDefault="00000000" w:rsidRPr="00000000" w14:paraId="00000095">
      <w:pPr>
        <w:widowControl w:val="1"/>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Added Value / Innovation</w:t>
      </w:r>
    </w:p>
    <w:p w:rsidR="00000000" w:rsidDel="00000000" w:rsidP="00000000" w:rsidRDefault="00000000" w:rsidRPr="00000000" w14:paraId="00000096">
      <w:pPr>
        <w:widowControl w:val="1"/>
        <w:numPr>
          <w:ilvl w:val="0"/>
          <w:numId w:val="3"/>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sz w:val="24"/>
          <w:szCs w:val="24"/>
          <w:rtl w:val="0"/>
        </w:rPr>
        <w:t xml:space="preserve">Social Value - Buyers in scope of PPN 06/20 they may give social value a minimum weighting of 10%</w:t>
      </w:r>
      <w:r w:rsidDel="00000000" w:rsidR="00000000" w:rsidRPr="00000000">
        <w:rPr>
          <w:rtl w:val="0"/>
        </w:rPr>
      </w:r>
    </w:p>
    <w:p w:rsidR="00000000" w:rsidDel="00000000" w:rsidP="00000000" w:rsidRDefault="00000000" w:rsidRPr="00000000" w14:paraId="00000097">
      <w:pPr>
        <w:widowControl w:val="1"/>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Approach to delivery of the Services</w:t>
      </w:r>
    </w:p>
    <w:p w:rsidR="00000000" w:rsidDel="00000000" w:rsidP="00000000" w:rsidRDefault="00000000" w:rsidRPr="00000000" w14:paraId="00000098">
      <w:pPr>
        <w:widowControl w:val="1"/>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Implementation</w:t>
      </w:r>
    </w:p>
    <w:p w:rsidR="00000000" w:rsidDel="00000000" w:rsidP="00000000" w:rsidRDefault="00000000" w:rsidRPr="00000000" w14:paraId="00000099">
      <w:pPr>
        <w:widowControl w:val="1"/>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Use of Supply Chain / Partners</w:t>
      </w:r>
    </w:p>
    <w:p w:rsidR="00000000" w:rsidDel="00000000" w:rsidP="00000000" w:rsidRDefault="00000000" w:rsidRPr="00000000" w14:paraId="0000009A">
      <w:pPr>
        <w:widowControl w:val="1"/>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sz w:val="24"/>
          <w:szCs w:val="24"/>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Fonts w:ascii="Arial" w:cs="Arial" w:eastAsia="Arial" w:hAnsi="Arial"/>
          <w:color w:val="000000"/>
          <w:sz w:val="24"/>
          <w:szCs w:val="24"/>
          <w:rtl w:val="0"/>
        </w:rPr>
        <w:t xml:space="preserve">Environmental Characteristics </w:t>
      </w:r>
    </w:p>
    <w:p w:rsidR="00000000" w:rsidDel="00000000" w:rsidP="00000000" w:rsidRDefault="00000000" w:rsidRPr="00000000" w14:paraId="0000009B">
      <w:pPr>
        <w:widowControl w:val="1"/>
        <w:pBdr>
          <w:top w:space="0" w:sz="0" w:val="nil"/>
          <w:left w:space="0" w:sz="0" w:val="nil"/>
          <w:bottom w:space="0" w:sz="0" w:val="nil"/>
          <w:right w:space="0" w:sz="0" w:val="nil"/>
          <w:between w:space="0" w:sz="0" w:val="nil"/>
        </w:pBdr>
        <w:jc w:val="both"/>
        <w:rPr>
          <w:rFonts w:ascii="Arial" w:cs="Arial" w:eastAsia="Arial" w:hAnsi="Arial"/>
          <w:color w:val="ffffff"/>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Arial Bol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widowControl w:val="1"/>
      <w:pBdr>
        <w:top w:space="0" w:sz="0" w:val="nil"/>
        <w:left w:space="0" w:sz="0" w:val="nil"/>
        <w:bottom w:space="0" w:sz="0" w:val="nil"/>
        <w:right w:space="0" w:sz="0" w:val="nil"/>
        <w:between w:space="0" w:sz="0" w:val="nil"/>
      </w:pBdr>
      <w:tabs>
        <w:tab w:val="center" w:pos="4513"/>
        <w:tab w:val="right" w:pos="9026"/>
      </w:tabs>
      <w:jc w:val="both"/>
      <w:rPr>
        <w:color w:val="000000"/>
      </w:rPr>
    </w:pPr>
    <w:r w:rsidDel="00000000" w:rsidR="00000000" w:rsidRPr="00000000">
      <w:rPr>
        <w:rtl w:val="0"/>
      </w:rPr>
    </w:r>
  </w:p>
  <w:p w:rsidR="00000000" w:rsidDel="00000000" w:rsidP="00000000" w:rsidRDefault="00000000" w:rsidRPr="00000000" w14:paraId="000000A2">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r>
  </w:p>
  <w:p w:rsidR="00000000" w:rsidDel="00000000" w:rsidP="00000000" w:rsidRDefault="00000000" w:rsidRPr="00000000" w14:paraId="000000A3">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4">
    <w:pPr>
      <w:tabs>
        <w:tab w:val="left" w:pos="720"/>
        <w:tab w:val="left" w:pos="1440"/>
        <w:tab w:val="left" w:pos="2160"/>
        <w:tab w:val="left" w:pos="2880"/>
        <w:tab w:val="left" w:pos="3600"/>
        <w:tab w:val="center" w:pos="4513"/>
      </w:tabs>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A6">
    <w:pPr>
      <w:widowControl w:val="1"/>
      <w:pBdr>
        <w:top w:space="0" w:sz="0" w:val="nil"/>
        <w:left w:space="0" w:sz="0" w:val="nil"/>
        <w:bottom w:space="0" w:sz="0" w:val="nil"/>
        <w:right w:space="0" w:sz="0" w:val="nil"/>
        <w:between w:space="0" w:sz="0" w:val="nil"/>
      </w:pBdr>
      <w:tabs>
        <w:tab w:val="center" w:pos="4513"/>
        <w:tab w:val="right" w:pos="9026"/>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7">
    <w:pPr>
      <w:tabs>
        <w:tab w:val="left" w:pos="720"/>
        <w:tab w:val="left" w:pos="1440"/>
        <w:tab w:val="left" w:pos="2160"/>
        <w:tab w:val="left" w:pos="2880"/>
        <w:tab w:val="left" w:pos="3600"/>
        <w:tab w:val="center" w:pos="4513"/>
      </w:tabs>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v3.1</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widowControl w:val="1"/>
      <w:pBdr>
        <w:top w:space="0" w:sz="0" w:val="nil"/>
        <w:left w:space="0" w:sz="0" w:val="nil"/>
        <w:bottom w:space="0" w:sz="0" w:val="nil"/>
        <w:right w:space="0" w:sz="0" w:val="nil"/>
        <w:between w:space="0" w:sz="0" w:val="nil"/>
      </w:pBdr>
      <w:tabs>
        <w:tab w:val="center" w:pos="4513"/>
        <w:tab w:val="right" w:pos="9026"/>
      </w:tabs>
      <w:jc w:val="both"/>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Framework Schedule 7 (Call-Off Award Procedure)</w:t>
    </w:r>
  </w:p>
  <w:p w:rsidR="00000000" w:rsidDel="00000000" w:rsidP="00000000" w:rsidRDefault="00000000" w:rsidRPr="00000000" w14:paraId="0000009D">
    <w:pPr>
      <w:widowControl w:val="1"/>
      <w:pBdr>
        <w:top w:space="0" w:sz="0" w:val="nil"/>
        <w:left w:space="0" w:sz="0" w:val="nil"/>
        <w:bottom w:space="0" w:sz="0" w:val="nil"/>
        <w:right w:space="0" w:sz="0" w:val="nil"/>
        <w:between w:space="0" w:sz="0" w:val="nil"/>
      </w:pBdr>
      <w:tabs>
        <w:tab w:val="center" w:pos="4513"/>
        <w:tab w:val="right" w:pos="9026"/>
      </w:tabs>
      <w:jc w:val="both"/>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2018</w:t>
    </w:r>
  </w:p>
  <w:p w:rsidR="00000000" w:rsidDel="00000000" w:rsidP="00000000" w:rsidRDefault="00000000" w:rsidRPr="00000000" w14:paraId="0000009E">
    <w:pPr>
      <w:widowControl w:val="1"/>
      <w:pBdr>
        <w:top w:space="0" w:sz="0" w:val="nil"/>
        <w:left w:space="0" w:sz="0" w:val="nil"/>
        <w:bottom w:space="0" w:sz="0" w:val="nil"/>
        <w:right w:space="0" w:sz="0" w:val="nil"/>
        <w:between w:space="0" w:sz="0" w:val="nil"/>
      </w:pBdr>
      <w:tabs>
        <w:tab w:val="center" w:pos="4513"/>
        <w:tab w:val="right" w:pos="9026"/>
      </w:tabs>
      <w:jc w:val="both"/>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widowControl w:val="1"/>
      <w:pBdr>
        <w:top w:space="0" w:sz="0" w:val="nil"/>
        <w:left w:space="0" w:sz="0" w:val="nil"/>
        <w:bottom w:space="0" w:sz="0" w:val="nil"/>
        <w:right w:space="0" w:sz="0" w:val="nil"/>
        <w:between w:space="0" w:sz="0" w:val="nil"/>
      </w:pBdr>
      <w:tabs>
        <w:tab w:val="center" w:pos="4513"/>
        <w:tab w:val="right" w:pos="9026"/>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7 (Call-Off Award Procedure)</w:t>
    </w:r>
  </w:p>
  <w:p w:rsidR="00000000" w:rsidDel="00000000" w:rsidP="00000000" w:rsidRDefault="00000000" w:rsidRPr="00000000" w14:paraId="000000A0">
    <w:pPr>
      <w:widowControl w:val="1"/>
      <w:pBdr>
        <w:top w:space="0" w:sz="0" w:val="nil"/>
        <w:left w:space="0" w:sz="0" w:val="nil"/>
        <w:bottom w:space="0" w:sz="0" w:val="nil"/>
        <w:right w:space="0" w:sz="0" w:val="nil"/>
        <w:between w:space="0" w:sz="0" w:val="nil"/>
      </w:pBdr>
      <w:tabs>
        <w:tab w:val="center" w:pos="4513"/>
        <w:tab w:val="right" w:pos="9026"/>
      </w:tabs>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b w:val="0"/>
        <w:i w:val="0"/>
        <w:smallCaps w:val="0"/>
        <w:strike w:val="0"/>
        <w:color w:val="00000a"/>
        <w:sz w:val="24"/>
        <w:szCs w:val="24"/>
        <w:u w:val="none"/>
        <w:vertAlign w:val="baseline"/>
      </w:rPr>
    </w:lvl>
    <w:lvl w:ilvl="1">
      <w:start w:val="1"/>
      <w:numFmt w:val="decimal"/>
      <w:lvlText w:val="%1.%2"/>
      <w:lvlJc w:val="left"/>
      <w:pPr>
        <w:ind w:left="1800" w:hanging="360"/>
      </w:pPr>
      <w:rPr>
        <w:b w:val="0"/>
        <w:i w:val="0"/>
        <w:smallCaps w:val="0"/>
        <w:strike w:val="0"/>
        <w:color w:val="00000a"/>
        <w:sz w:val="22"/>
        <w:szCs w:val="22"/>
        <w:u w:val="none"/>
        <w:vertAlign w:val="baseline"/>
      </w:rPr>
    </w:lvl>
    <w:lvl w:ilvl="2">
      <w:start w:val="1"/>
      <w:numFmt w:val="decimal"/>
      <w:lvlText w:val="%1.%2.%3"/>
      <w:lvlJc w:val="left"/>
      <w:pPr>
        <w:ind w:left="3330" w:hanging="720"/>
      </w:pPr>
      <w:rPr>
        <w:b w:val="0"/>
        <w:i w:val="0"/>
        <w:smallCaps w:val="0"/>
        <w:strike w:val="0"/>
        <w:color w:val="00000a"/>
        <w:sz w:val="22"/>
        <w:szCs w:val="22"/>
        <w:u w:val="none"/>
        <w:vertAlign w:val="baseline"/>
      </w:rPr>
    </w:lvl>
    <w:lvl w:ilvl="3">
      <w:start w:val="1"/>
      <w:numFmt w:val="lowerLetter"/>
      <w:lvlText w:val="(%4)"/>
      <w:lvlJc w:val="left"/>
      <w:pPr>
        <w:ind w:left="3567" w:hanging="720"/>
      </w:pPr>
      <w:rPr>
        <w:b w:val="0"/>
        <w:i w:val="0"/>
        <w:smallCaps w:val="0"/>
        <w:strike w:val="0"/>
        <w:color w:val="00000a"/>
        <w:sz w:val="22"/>
        <w:szCs w:val="22"/>
        <w:u w:val="none"/>
        <w:vertAlign w:val="baseline"/>
      </w:rPr>
    </w:lvl>
    <w:lvl w:ilvl="4">
      <w:start w:val="1"/>
      <w:numFmt w:val="lowerRoman"/>
      <w:lvlText w:val="(%5)"/>
      <w:lvlJc w:val="left"/>
      <w:pPr>
        <w:ind w:left="2160" w:hanging="1080"/>
      </w:pPr>
      <w:rPr>
        <w:b w:val="0"/>
        <w:i w:val="0"/>
        <w:smallCaps w:val="0"/>
        <w:strike w:val="0"/>
        <w:color w:val="000000"/>
        <w:u w:val="none"/>
        <w:vertAlign w:val="baseline"/>
      </w:rPr>
    </w:lvl>
    <w:lvl w:ilvl="5">
      <w:start w:val="1"/>
      <w:numFmt w:val="upperLetter"/>
      <w:lvlText w:val="(%6)"/>
      <w:lvlJc w:val="left"/>
      <w:pPr>
        <w:ind w:left="2160" w:hanging="1080"/>
      </w:pPr>
      <w:rPr>
        <w:b w:val="0"/>
        <w:i w:val="0"/>
        <w:smallCaps w:val="0"/>
        <w:strike w:val="0"/>
        <w:color w:val="000000"/>
        <w:u w:val="none"/>
        <w:vertAlign w:val="baseline"/>
      </w:rPr>
    </w:lvl>
    <w:lvl w:ilvl="6">
      <w:start w:val="1"/>
      <w:numFmt w:val="decimal"/>
      <w:lvlText w:val="%1.%2.%3.%4.%5.%6.%7"/>
      <w:lvlJc w:val="left"/>
      <w:pPr>
        <w:ind w:left="2520" w:hanging="1440"/>
      </w:pPr>
      <w:rPr/>
    </w:lvl>
    <w:lvl w:ilvl="7">
      <w:start w:val="1"/>
      <w:numFmt w:val="decimal"/>
      <w:lvlText w:val="%1.%2.%3.%4.%5.%6.%7.%8"/>
      <w:lvlJc w:val="left"/>
      <w:pPr>
        <w:ind w:left="2520" w:hanging="1440"/>
      </w:pPr>
      <w:rPr/>
    </w:lvl>
    <w:lvl w:ilvl="8">
      <w:start w:val="1"/>
      <w:numFmt w:val="decimal"/>
      <w:lvlText w:val="%1.%2.%3.%4.%5.%6.%7.%8.%9"/>
      <w:lvlJc w:val="left"/>
      <w:pPr>
        <w:ind w:left="2880" w:hanging="1800"/>
      </w:pPr>
      <w:rPr/>
    </w:lvl>
  </w:abstractNum>
  <w:abstractNum w:abstractNumId="2">
    <w:lvl w:ilvl="0">
      <w:start w:val="1"/>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4"/>
        <w:szCs w:val="24"/>
        <w:u w:val="none"/>
        <w:vertAlign w:val="baseline"/>
      </w:rPr>
    </w:lvl>
    <w:lvl w:ilvl="2">
      <w:start w:val="1"/>
      <w:numFmt w:val="decimal"/>
      <w:lvlText w:val="%1.%2.%3"/>
      <w:lvlJc w:val="left"/>
      <w:pPr>
        <w:ind w:left="2610" w:hanging="720"/>
      </w:pPr>
      <w:rPr>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2"/>
        <w:szCs w:val="22"/>
        <w:u w:val="none"/>
        <w:vertAlign w:val="baseline"/>
      </w:rPr>
    </w:lvl>
    <w:lvl w:ilvl="2">
      <w:start w:val="1"/>
      <w:numFmt w:val="decimal"/>
      <w:lvlText w:val="%1.%2.%3"/>
      <w:lvlJc w:val="left"/>
      <w:pPr>
        <w:ind w:left="2610" w:hanging="720"/>
      </w:pPr>
      <w:rPr>
        <w:b w:val="0"/>
        <w:i w:val="0"/>
        <w:smallCaps w:val="0"/>
        <w:strike w:val="0"/>
        <w:color w:val="00000a"/>
        <w:sz w:val="22"/>
        <w:szCs w:val="22"/>
        <w:u w:val="none"/>
        <w:vertAlign w:val="baseline"/>
      </w:rPr>
    </w:lvl>
    <w:lvl w:ilvl="3">
      <w:start w:val="1"/>
      <w:numFmt w:val="lowerLetter"/>
      <w:lvlText w:val="(%4)"/>
      <w:lvlJc w:val="left"/>
      <w:pPr>
        <w:ind w:left="2847" w:hanging="720"/>
      </w:pPr>
      <w:rPr>
        <w:b w:val="0"/>
        <w:i w:val="0"/>
        <w:smallCaps w:val="0"/>
        <w:strike w:val="0"/>
        <w:color w:val="00000a"/>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32FDD"/>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tandard" w:customStyle="1">
    <w:name w:val="Standard"/>
    <w:pPr>
      <w:widowControl w:val="1"/>
      <w:spacing w:after="240"/>
      <w:jc w:val="both"/>
    </w:pPr>
    <w:rPr>
      <w:rFonts w:cs="Arial" w:eastAsia="Times New Roman"/>
    </w:rPr>
  </w:style>
  <w:style w:type="paragraph" w:styleId="Heading" w:customStyle="1">
    <w:name w:val="Heading"/>
    <w:basedOn w:val="Standard"/>
    <w:next w:val="Textbody"/>
    <w:pPr>
      <w:keepNext w:val="1"/>
      <w:spacing w:after="120" w:before="240"/>
    </w:pPr>
    <w:rPr>
      <w:rFonts w:ascii="Liberation Sans" w:cs="Arial Unicode MS" w:eastAsia="Arial Unicode MS" w:hAnsi="Liberation Sans"/>
      <w:sz w:val="28"/>
      <w:szCs w:val="28"/>
    </w:rPr>
  </w:style>
  <w:style w:type="paragraph" w:styleId="Textbody" w:customStyle="1">
    <w:name w:val="Text body"/>
    <w:basedOn w:val="Standard"/>
    <w:pPr>
      <w:spacing w:after="140" w:line="288" w:lineRule="auto"/>
    </w:pPr>
  </w:style>
  <w:style w:type="paragraph" w:styleId="List">
    <w:name w:val="List"/>
    <w:basedOn w:val="Textbody"/>
    <w:rPr>
      <w:sz w:val="24"/>
    </w:rPr>
  </w:style>
  <w:style w:type="paragraph" w:styleId="Caption">
    <w:name w:val="caption"/>
    <w:basedOn w:val="Standard"/>
    <w:pPr>
      <w:suppressLineNumbers w:val="1"/>
      <w:spacing w:after="120" w:before="120"/>
    </w:pPr>
    <w:rPr>
      <w:i w:val="1"/>
      <w:iCs w:val="1"/>
      <w:sz w:val="24"/>
      <w:szCs w:val="24"/>
    </w:rPr>
  </w:style>
  <w:style w:type="paragraph" w:styleId="Index" w:customStyle="1">
    <w:name w:val="Index"/>
    <w:basedOn w:val="Standard"/>
    <w:pPr>
      <w:suppressLineNumbers w:val="1"/>
    </w:pPr>
    <w:rPr>
      <w:sz w:val="24"/>
    </w:rPr>
  </w:style>
  <w:style w:type="paragraph" w:styleId="Header">
    <w:name w:val="header"/>
    <w:basedOn w:val="Standard"/>
    <w:pPr>
      <w:tabs>
        <w:tab w:val="center" w:pos="4513"/>
        <w:tab w:val="right" w:pos="9026"/>
      </w:tabs>
      <w:spacing w:after="0"/>
    </w:pPr>
  </w:style>
  <w:style w:type="paragraph" w:styleId="Footer">
    <w:name w:val="footer"/>
    <w:basedOn w:val="Standard"/>
    <w:uiPriority w:val="99"/>
    <w:pPr>
      <w:tabs>
        <w:tab w:val="center" w:pos="4513"/>
        <w:tab w:val="right" w:pos="9026"/>
      </w:tabs>
      <w:spacing w:after="0"/>
    </w:pPr>
  </w:style>
  <w:style w:type="paragraph" w:styleId="MarginText" w:customStyle="1">
    <w:name w:val="Margin Text"/>
    <w:basedOn w:val="Standard"/>
    <w:pPr>
      <w:keepNext w:val="1"/>
      <w:overflowPunct w:val="0"/>
      <w:spacing w:after="120" w:before="240"/>
      <w:ind w:left="142"/>
    </w:pPr>
    <w:rPr>
      <w:rFonts w:cs="Times New Roman" w:eastAsia="STZhongsong"/>
      <w:szCs w:val="18"/>
      <w:lang w:eastAsia="zh-CN"/>
    </w:rPr>
  </w:style>
  <w:style w:type="paragraph" w:styleId="GPSL1CLAUSEHEADING" w:customStyle="1">
    <w:name w:val="GPS L1 CLAUSE HEADING"/>
    <w:basedOn w:val="Standard"/>
    <w:next w:val="Standard"/>
    <w:pPr>
      <w:tabs>
        <w:tab w:val="left" w:pos="142"/>
      </w:tabs>
      <w:overflowPunct w:val="0"/>
      <w:spacing w:before="120"/>
      <w:outlineLvl w:val="1"/>
    </w:pPr>
    <w:rPr>
      <w:rFonts w:eastAsia="STZhongsong"/>
      <w:b w:val="1"/>
      <w:caps w:val="1"/>
      <w:lang w:eastAsia="zh-CN"/>
    </w:rPr>
  </w:style>
  <w:style w:type="paragraph" w:styleId="GPSL3numberedclause" w:customStyle="1">
    <w:name w:val="GPS L3 numbered clause"/>
    <w:basedOn w:val="Standard"/>
    <w:pPr>
      <w:tabs>
        <w:tab w:val="left" w:pos="3641"/>
      </w:tabs>
      <w:overflowPunct w:val="0"/>
      <w:spacing w:after="120" w:before="120"/>
      <w:ind w:left="1656"/>
    </w:pPr>
    <w:rPr>
      <w:lang w:eastAsia="zh-CN"/>
    </w:rPr>
  </w:style>
  <w:style w:type="paragraph" w:styleId="GPSL4numberedclause" w:customStyle="1">
    <w:name w:val="GPS L4 numbered clause"/>
    <w:basedOn w:val="GPSL3numberedclause"/>
    <w:pPr>
      <w:tabs>
        <w:tab w:val="clear" w:pos="3641"/>
      </w:tabs>
      <w:ind w:left="2592" w:hanging="936"/>
    </w:pPr>
  </w:style>
  <w:style w:type="paragraph" w:styleId="GPSL5numberedclause" w:customStyle="1">
    <w:name w:val="GPS L5 numbered clause"/>
    <w:basedOn w:val="GPSL4numberedclause"/>
    <w:pPr>
      <w:tabs>
        <w:tab w:val="left" w:pos="6238"/>
      </w:tabs>
      <w:ind w:left="3119" w:hanging="567"/>
    </w:pPr>
  </w:style>
  <w:style w:type="paragraph" w:styleId="GPSL2NumberedBoldHeading" w:customStyle="1">
    <w:name w:val="GPS L2 Numbered Bold Heading"/>
    <w:basedOn w:val="Standard"/>
    <w:pPr>
      <w:tabs>
        <w:tab w:val="left" w:pos="3054"/>
      </w:tabs>
      <w:overflowPunct w:val="0"/>
      <w:spacing w:after="120" w:before="120"/>
      <w:ind w:left="1920"/>
    </w:pPr>
    <w:rPr>
      <w:b w:val="1"/>
      <w:lang w:eastAsia="zh-CN"/>
    </w:rPr>
  </w:style>
  <w:style w:type="paragraph" w:styleId="GPSL6numbered" w:customStyle="1">
    <w:name w:val="GPS L6 numbered"/>
    <w:basedOn w:val="GPSL5numberedclause"/>
    <w:pPr>
      <w:tabs>
        <w:tab w:val="clear" w:pos="6238"/>
        <w:tab w:val="left" w:pos="4046"/>
        <w:tab w:val="left" w:pos="7372"/>
      </w:tabs>
      <w:ind w:left="3686"/>
    </w:pPr>
  </w:style>
  <w:style w:type="paragraph" w:styleId="GPSL1Guidance" w:customStyle="1">
    <w:name w:val="GPS L1 Guidance"/>
    <w:basedOn w:val="Standard"/>
    <w:pPr>
      <w:spacing w:after="120" w:before="240"/>
      <w:ind w:left="426"/>
    </w:pPr>
    <w:rPr>
      <w:b w:val="1"/>
      <w:i w:val="1"/>
    </w:rPr>
  </w:style>
  <w:style w:type="paragraph" w:styleId="GPSL1SCHEDULEHeading" w:customStyle="1">
    <w:name w:val="GPS L1 SCHEDULE Heading"/>
    <w:basedOn w:val="GPSL1CLAUSEHEADING"/>
    <w:pPr>
      <w:tabs>
        <w:tab w:val="clear" w:pos="142"/>
      </w:tabs>
    </w:pPr>
  </w:style>
  <w:style w:type="paragraph" w:styleId="GPSmacrorestart" w:customStyle="1">
    <w:name w:val="GPS macro restart"/>
    <w:basedOn w:val="Standard"/>
    <w:qFormat w:val="1"/>
    <w:pPr>
      <w:spacing w:after="0"/>
    </w:pPr>
    <w:rPr>
      <w:color w:val="ffffff"/>
      <w:sz w:val="16"/>
      <w:szCs w:val="16"/>
    </w:rPr>
  </w:style>
  <w:style w:type="paragraph" w:styleId="GPSSchTitleandNumber" w:customStyle="1">
    <w:name w:val="GPS Sch Title and Number"/>
    <w:basedOn w:val="Standard"/>
    <w:pPr>
      <w:keepNext w:val="1"/>
      <w:overflowPunct w:val="0"/>
      <w:ind w:firstLine="426"/>
      <w:jc w:val="center"/>
      <w:outlineLvl w:val="0"/>
    </w:pPr>
    <w:rPr>
      <w:rFonts w:ascii="Arial Bold" w:cs="Times New Roman" w:eastAsia="STZhongsong" w:hAnsi="Arial Bold"/>
      <w:b w:val="1"/>
      <w:caps w:val="1"/>
      <w:lang w:eastAsia="zh-CN"/>
    </w:rPr>
  </w:style>
  <w:style w:type="paragraph" w:styleId="GPSSchPart" w:customStyle="1">
    <w:name w:val="GPS Sch Part"/>
    <w:basedOn w:val="Standard"/>
    <w:qFormat w:val="1"/>
    <w:pPr>
      <w:keepNext w:val="1"/>
      <w:overflowPunct w:val="0"/>
      <w:spacing w:before="240"/>
      <w:ind w:firstLine="426"/>
      <w:jc w:val="center"/>
    </w:pPr>
    <w:rPr>
      <w:rFonts w:ascii="Arial Bold" w:cs="Times New Roman" w:eastAsia="STZhongsong" w:hAnsi="Arial Bold"/>
      <w:b w:val="1"/>
      <w:caps w:val="1"/>
      <w:lang w:eastAsia="zh-CN"/>
    </w:rPr>
  </w:style>
  <w:style w:type="paragraph" w:styleId="GPSL2Numbered" w:customStyle="1">
    <w:name w:val="GPS L2 Numbered"/>
    <w:basedOn w:val="GPSL2NumberedBoldHeading"/>
    <w:pPr>
      <w:tabs>
        <w:tab w:val="clear" w:pos="3054"/>
      </w:tabs>
      <w:ind w:left="936" w:hanging="576"/>
    </w:pPr>
    <w:rPr>
      <w:b w:val="0"/>
    </w:rPr>
  </w:style>
  <w:style w:type="paragraph" w:styleId="GPSL1Schedulenumbered" w:customStyle="1">
    <w:name w:val="GPS L1 Schedule numbered"/>
    <w:basedOn w:val="Standard"/>
    <w:qFormat w:val="1"/>
    <w:pPr>
      <w:tabs>
        <w:tab w:val="left" w:pos="851"/>
      </w:tabs>
    </w:pPr>
  </w:style>
  <w:style w:type="paragraph" w:styleId="BalloonText">
    <w:name w:val="Balloon Text"/>
    <w:basedOn w:val="Standard"/>
    <w:pPr>
      <w:spacing w:after="0"/>
    </w:pPr>
    <w:rPr>
      <w:rFonts w:ascii="Tahoma" w:cs="Tahoma" w:eastAsia="Tahoma" w:hAnsi="Tahoma"/>
      <w:sz w:val="16"/>
      <w:szCs w:val="16"/>
    </w:rPr>
  </w:style>
  <w:style w:type="paragraph" w:styleId="GPSL2Guidance" w:customStyle="1">
    <w:name w:val="GPS L2 Guidance"/>
    <w:basedOn w:val="Standard"/>
    <w:pPr>
      <w:tabs>
        <w:tab w:val="left" w:pos="2268"/>
      </w:tabs>
      <w:overflowPunct w:val="0"/>
      <w:spacing w:after="120" w:before="120"/>
      <w:ind w:left="1134"/>
    </w:pPr>
    <w:rPr>
      <w:b w:val="1"/>
      <w:i w:val="1"/>
      <w:lang w:eastAsia="zh-CN"/>
    </w:rPr>
  </w:style>
  <w:style w:type="paragraph" w:styleId="GPSL2Indent" w:customStyle="1">
    <w:name w:val="GPS L2 Indent"/>
    <w:basedOn w:val="Standard"/>
    <w:pPr>
      <w:tabs>
        <w:tab w:val="left" w:pos="4536"/>
      </w:tabs>
      <w:spacing w:after="220"/>
      <w:ind w:left="1134"/>
    </w:pPr>
    <w:rPr>
      <w:szCs w:val="24"/>
    </w:rPr>
  </w:style>
  <w:style w:type="paragraph" w:styleId="GPSL4Guidance" w:customStyle="1">
    <w:name w:val="GPS L4 Guidance"/>
    <w:basedOn w:val="Standard"/>
    <w:pPr>
      <w:tabs>
        <w:tab w:val="left" w:pos="3970"/>
      </w:tabs>
      <w:overflowPunct w:val="0"/>
      <w:spacing w:after="120" w:before="120"/>
      <w:ind w:left="1985"/>
    </w:pPr>
    <w:rPr>
      <w:b w:val="1"/>
      <w:i w:val="1"/>
      <w:lang w:eastAsia="zh-CN"/>
    </w:rPr>
  </w:style>
  <w:style w:type="paragraph" w:styleId="GPSL2non-numberboldheading" w:customStyle="1">
    <w:name w:val="GPS L2 non-number bold heading"/>
    <w:basedOn w:val="GPSL2NumberedBoldHeading"/>
    <w:pPr>
      <w:ind w:left="1134"/>
    </w:pPr>
  </w:style>
  <w:style w:type="paragraph" w:styleId="CommentText">
    <w:name w:val="annotation text"/>
    <w:basedOn w:val="Standard"/>
    <w:rPr>
      <w:sz w:val="20"/>
      <w:szCs w:val="20"/>
    </w:rPr>
  </w:style>
  <w:style w:type="paragraph" w:styleId="CommentSubject">
    <w:name w:val="annotation subject"/>
    <w:basedOn w:val="CommentText"/>
    <w:rPr>
      <w:b w:val="1"/>
      <w:bCs w:val="1"/>
    </w:rPr>
  </w:style>
  <w:style w:type="character" w:styleId="HeaderChar" w:customStyle="1">
    <w:name w:val="Header Char"/>
    <w:basedOn w:val="DefaultParagraphFont"/>
  </w:style>
  <w:style w:type="character" w:styleId="FooterChar" w:customStyle="1">
    <w:name w:val="Footer Char"/>
    <w:basedOn w:val="DefaultParagraphFont"/>
    <w:uiPriority w:val="99"/>
  </w:style>
  <w:style w:type="character" w:styleId="Emphasis">
    <w:name w:val="Emphasis"/>
    <w:basedOn w:val="DefaultParagraphFont"/>
    <w:rPr>
      <w:i w:val="1"/>
      <w:iCs w:val="1"/>
    </w:rPr>
  </w:style>
  <w:style w:type="character" w:styleId="MarginTextChar" w:customStyle="1">
    <w:name w:val="Margin Text Char"/>
    <w:rPr>
      <w:rFonts w:ascii="Calibri" w:cs="Times New Roman" w:eastAsia="STZhongsong" w:hAnsi="Calibri"/>
      <w:szCs w:val="18"/>
      <w:lang w:eastAsia="zh-CN"/>
    </w:rPr>
  </w:style>
  <w:style w:type="character" w:styleId="GPSL2NumberedChar" w:customStyle="1">
    <w:name w:val="GPS L2 Numbered Char"/>
    <w:rPr>
      <w:rFonts w:ascii="Calibri" w:cs="Arial" w:eastAsia="Times New Roman" w:hAnsi="Calibri"/>
      <w:lang w:eastAsia="zh-CN"/>
    </w:rPr>
  </w:style>
  <w:style w:type="character" w:styleId="GPSL1SCHEDULEHeadingChar" w:customStyle="1">
    <w:name w:val="GPS L1 SCHEDULE Heading Char"/>
    <w:rPr>
      <w:rFonts w:ascii="Calibri" w:cs="Arial" w:eastAsia="STZhongsong" w:hAnsi="Calibri"/>
      <w:b w:val="1"/>
      <w:caps w:val="1"/>
      <w:lang w:eastAsia="zh-CN"/>
    </w:rPr>
  </w:style>
  <w:style w:type="character" w:styleId="GPSL1SchedulenumberedChar1" w:customStyle="1">
    <w:name w:val="GPS L1 Schedule numbered Char1"/>
    <w:rPr>
      <w:rFonts w:ascii="Calibri" w:cs="Arial" w:eastAsia="Times New Roman" w:hAnsi="Calibri"/>
    </w:rPr>
  </w:style>
  <w:style w:type="character" w:styleId="GPSL1GuidanceChar" w:customStyle="1">
    <w:name w:val="GPS L1 Guidance Char"/>
    <w:rPr>
      <w:rFonts w:ascii="Calibri" w:cs="Arial" w:eastAsia="Times New Roman" w:hAnsi="Calibri"/>
      <w:b w:val="1"/>
      <w:i w:val="1"/>
    </w:rPr>
  </w:style>
  <w:style w:type="character" w:styleId="GPSSchTitleandNumberChar" w:customStyle="1">
    <w:name w:val="GPS Sch Title and Number Char"/>
    <w:rPr>
      <w:rFonts w:ascii="Arial Bold" w:cs="Times New Roman" w:eastAsia="STZhongsong" w:hAnsi="Arial Bold"/>
      <w:b w:val="1"/>
      <w:caps w:val="1"/>
      <w:lang w:eastAsia="zh-CN"/>
    </w:rPr>
  </w:style>
  <w:style w:type="character" w:styleId="GPSSchPartChar" w:customStyle="1">
    <w:name w:val="GPS Sch Part Char"/>
    <w:rPr>
      <w:rFonts w:ascii="Arial Bold" w:cs="Times New Roman" w:eastAsia="STZhongsong" w:hAnsi="Arial Bold"/>
      <w:b w:val="1"/>
      <w:caps w:val="1"/>
      <w:lang w:eastAsia="zh-CN"/>
    </w:rPr>
  </w:style>
  <w:style w:type="character" w:styleId="BalloonTextChar" w:customStyle="1">
    <w:name w:val="Balloon Text Char"/>
    <w:basedOn w:val="DefaultParagraphFont"/>
    <w:rPr>
      <w:rFonts w:ascii="Tahoma" w:cs="Tahoma" w:eastAsia="Times New Roman" w:hAnsi="Tahoma"/>
      <w:sz w:val="16"/>
      <w:szCs w:val="16"/>
    </w:rPr>
  </w:style>
  <w:style w:type="character" w:styleId="GPSL4numberedclauseChar" w:customStyle="1">
    <w:name w:val="GPS L4 numbered clause Char"/>
    <w:rPr>
      <w:rFonts w:ascii="Calibri" w:cs="Arial" w:eastAsia="Times New Roman" w:hAnsi="Calibri"/>
      <w:lang w:eastAsia="zh-CN"/>
    </w:rPr>
  </w:style>
  <w:style w:type="character" w:styleId="GPSL3numberedclauseChar" w:customStyle="1">
    <w:name w:val="GPS L3 numbered clause Char"/>
    <w:rPr>
      <w:rFonts w:ascii="Calibri" w:cs="Arial" w:eastAsia="Times New Roman" w:hAnsi="Calibri"/>
      <w:lang w:eastAsia="zh-CN"/>
    </w:rPr>
  </w:style>
  <w:style w:type="character" w:styleId="GPSL5numberedclauseChar" w:customStyle="1">
    <w:name w:val="GPS L5 numbered clause Char"/>
    <w:rPr>
      <w:rFonts w:ascii="Calibri" w:cs="Arial" w:eastAsia="Times New Roman" w:hAnsi="Calibri"/>
      <w:lang w:eastAsia="zh-CN"/>
    </w:rPr>
  </w:style>
  <w:style w:type="character" w:styleId="GPSL4GuidanceChar" w:customStyle="1">
    <w:name w:val="GPS L4 Guidance Char"/>
    <w:rPr>
      <w:rFonts w:ascii="Calibri" w:cs="Arial" w:eastAsia="Times New Roman" w:hAnsi="Calibri"/>
      <w:b w:val="1"/>
      <w:i w:val="1"/>
      <w:lang w:eastAsia="zh-CN"/>
    </w:rPr>
  </w:style>
  <w:style w:type="character" w:styleId="GPSL2non-numberboldheadingChar" w:customStyle="1">
    <w:name w:val="GPS L2 non-number bold heading Char"/>
    <w:rPr>
      <w:rFonts w:ascii="Calibri" w:cs="Arial" w:eastAsia="Times New Roman" w:hAnsi="Calibri"/>
      <w:b w:val="1"/>
      <w:lang w:eastAsia="zh-CN"/>
    </w:rPr>
  </w:style>
  <w:style w:type="character" w:styleId="GPSL2IndentChar" w:customStyle="1">
    <w:name w:val="GPS L2 Indent Char"/>
    <w:rPr>
      <w:rFonts w:ascii="Calibri" w:cs="Arial" w:eastAsia="Times New Roman" w:hAnsi="Calibri"/>
      <w:szCs w:val="24"/>
    </w:rPr>
  </w:style>
  <w:style w:type="character" w:styleId="GPSL2GuidanceChar" w:customStyle="1">
    <w:name w:val="GPS L2 Guidance Char"/>
    <w:rPr>
      <w:rFonts w:ascii="Calibri" w:cs="Arial" w:eastAsia="Times New Roman" w:hAnsi="Calibri"/>
      <w:b w:val="1"/>
      <w:i w:val="1"/>
      <w:lang w:eastAsia="zh-CN"/>
    </w:rPr>
  </w:style>
  <w:style w:type="character" w:styleId="CommentReference">
    <w:name w:val="annotation reference"/>
    <w:basedOn w:val="DefaultParagraphFont"/>
    <w:rPr>
      <w:sz w:val="16"/>
      <w:szCs w:val="16"/>
    </w:rPr>
  </w:style>
  <w:style w:type="character" w:styleId="CommentTextChar" w:customStyle="1">
    <w:name w:val="Comment Text Char"/>
    <w:basedOn w:val="DefaultParagraphFont"/>
    <w:rPr>
      <w:rFonts w:ascii="Calibri" w:cs="Arial" w:eastAsia="Times New Roman" w:hAnsi="Calibri"/>
      <w:sz w:val="20"/>
      <w:szCs w:val="20"/>
    </w:rPr>
  </w:style>
  <w:style w:type="character" w:styleId="CommentSubjectChar" w:customStyle="1">
    <w:name w:val="Comment Subject Char"/>
    <w:basedOn w:val="CommentTextChar"/>
    <w:rPr>
      <w:rFonts w:ascii="Calibri" w:cs="Arial" w:eastAsia="Times New Roman" w:hAnsi="Calibri"/>
      <w:b w:val="1"/>
      <w:bCs w:val="1"/>
      <w:sz w:val="20"/>
      <w:szCs w:val="20"/>
    </w:rPr>
  </w:style>
  <w:style w:type="character" w:styleId="ListLabel1" w:customStyle="1">
    <w:name w:val="ListLabel 1"/>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 w:customStyle="1">
    <w:name w:val="ListLabel 2"/>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 w:customStyle="1">
    <w:name w:val="ListLabel 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 w:customStyle="1">
    <w:name w:val="ListLabel 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 w:customStyle="1">
    <w:name w:val="ListLabel 5"/>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 w:customStyle="1">
    <w:name w:val="ListLabel 6"/>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 w:customStyle="1">
    <w:name w:val="ListLabel 7"/>
    <w:rPr>
      <w:rFonts w:cs="Times New Roman"/>
    </w:rPr>
  </w:style>
  <w:style w:type="character" w:styleId="ListLabel8" w:customStyle="1">
    <w:name w:val="ListLabel 8"/>
    <w:rPr>
      <w:rFonts w:cs="Times New Roman"/>
    </w:rPr>
  </w:style>
  <w:style w:type="character" w:styleId="ListLabel9" w:customStyle="1">
    <w:name w:val="ListLabel 9"/>
    <w:rPr>
      <w:rFonts w:cs="Times New Roman"/>
    </w:rPr>
  </w:style>
  <w:style w:type="character" w:styleId="ListLabel10" w:customStyle="1">
    <w:name w:val="ListLabel 1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11" w:customStyle="1">
    <w:name w:val="ListLabel 11"/>
    <w:rPr>
      <w:rFonts w:cs="Times New Roman"/>
    </w:rPr>
  </w:style>
  <w:style w:type="character" w:styleId="ListLabel12" w:customStyle="1">
    <w:name w:val="ListLabel 12"/>
    <w:rPr>
      <w:rFonts w:cs="Times New Roman"/>
    </w:rPr>
  </w:style>
  <w:style w:type="character" w:styleId="ListLabel13" w:customStyle="1">
    <w:name w:val="ListLabel 13"/>
    <w:rPr>
      <w:rFonts w:cs="Times New Roman"/>
    </w:rPr>
  </w:style>
  <w:style w:type="character" w:styleId="ListLabel14" w:customStyle="1">
    <w:name w:val="ListLabel 14"/>
    <w:rPr>
      <w:rFonts w:cs="Times New Roman"/>
    </w:rPr>
  </w:style>
  <w:style w:type="character" w:styleId="ListLabel15" w:customStyle="1">
    <w:name w:val="ListLabel 15"/>
    <w:rPr>
      <w:rFonts w:cs="Times New Roman"/>
    </w:rPr>
  </w:style>
  <w:style w:type="character" w:styleId="ListLabel16" w:customStyle="1">
    <w:name w:val="ListLabel 16"/>
    <w:rPr>
      <w:rFonts w:cs="Times New Roman"/>
    </w:rPr>
  </w:style>
  <w:style w:type="character" w:styleId="ListLabel17" w:customStyle="1">
    <w:name w:val="ListLabel 17"/>
    <w:rPr>
      <w:rFonts w:cs="Times New Roman"/>
    </w:rPr>
  </w:style>
  <w:style w:type="character" w:styleId="ListLabel18" w:customStyle="1">
    <w:name w:val="ListLabel 18"/>
    <w:rPr>
      <w:rFonts w:cs="Times New Roman"/>
    </w:rPr>
  </w:style>
  <w:style w:type="character" w:styleId="ListLabel19" w:customStyle="1">
    <w:name w:val="ListLabel 1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0" w:customStyle="1">
    <w:name w:val="ListLabel 20"/>
    <w:rPr>
      <w:rFonts w:cs="Times New Roman"/>
    </w:rPr>
  </w:style>
  <w:style w:type="character" w:styleId="ListLabel21" w:customStyle="1">
    <w:name w:val="ListLabel 21"/>
    <w:rPr>
      <w:rFonts w:cs="Times New Roman"/>
    </w:rPr>
  </w:style>
  <w:style w:type="character" w:styleId="ListLabel22" w:customStyle="1">
    <w:name w:val="ListLabel 22"/>
    <w:rPr>
      <w:rFonts w:cs="Times New Roman"/>
    </w:rPr>
  </w:style>
  <w:style w:type="character" w:styleId="ListLabel23" w:customStyle="1">
    <w:name w:val="ListLabel 23"/>
    <w:rPr>
      <w:rFonts w:cs="Times New Roman"/>
    </w:rPr>
  </w:style>
  <w:style w:type="character" w:styleId="ListLabel24" w:customStyle="1">
    <w:name w:val="ListLabel 24"/>
    <w:rPr>
      <w:rFonts w:cs="Times New Roman"/>
    </w:rPr>
  </w:style>
  <w:style w:type="character" w:styleId="ListLabel25" w:customStyle="1">
    <w:name w:val="ListLabel 25"/>
    <w:rPr>
      <w:rFonts w:cs="Times New Roman"/>
    </w:rPr>
  </w:style>
  <w:style w:type="character" w:styleId="ListLabel26" w:customStyle="1">
    <w:name w:val="ListLabel 26"/>
    <w:rPr>
      <w:rFonts w:cs="Times New Roman"/>
    </w:rPr>
  </w:style>
  <w:style w:type="character" w:styleId="ListLabel27" w:customStyle="1">
    <w:name w:val="ListLabel 27"/>
    <w:rPr>
      <w:rFonts w:cs="Times New Roman"/>
    </w:rPr>
  </w:style>
  <w:style w:type="character" w:styleId="ListLabel28" w:customStyle="1">
    <w:name w:val="ListLabel 28"/>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9" w:customStyle="1">
    <w:name w:val="ListLabel 2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0" w:customStyle="1">
    <w:name w:val="ListLabel 3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1" w:customStyle="1">
    <w:name w:val="ListLabel 31"/>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2" w:customStyle="1">
    <w:name w:val="ListLabel 32"/>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33" w:customStyle="1">
    <w:name w:val="ListLabel 33"/>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34" w:customStyle="1">
    <w:name w:val="ListLabel 34"/>
    <w:rPr>
      <w:rFonts w:cs="Times New Roman"/>
    </w:rPr>
  </w:style>
  <w:style w:type="character" w:styleId="ListLabel35" w:customStyle="1">
    <w:name w:val="ListLabel 35"/>
    <w:rPr>
      <w:rFonts w:cs="Times New Roman"/>
    </w:rPr>
  </w:style>
  <w:style w:type="character" w:styleId="ListLabel36" w:customStyle="1">
    <w:name w:val="ListLabel 36"/>
    <w:rPr>
      <w:rFonts w:cs="Times New Roman"/>
    </w:rPr>
  </w:style>
  <w:style w:type="character" w:styleId="ListLabel37" w:customStyle="1">
    <w:name w:val="ListLabel 37"/>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8" w:customStyle="1">
    <w:name w:val="ListLabel 3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9" w:customStyle="1">
    <w:name w:val="ListLabel 3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0" w:customStyle="1">
    <w:name w:val="ListLabel 4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1" w:customStyle="1">
    <w:name w:val="ListLabel 41"/>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42" w:customStyle="1">
    <w:name w:val="ListLabel 42"/>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43" w:customStyle="1">
    <w:name w:val="ListLabel 43"/>
    <w:rPr>
      <w:rFonts w:cs="Times New Roman"/>
    </w:rPr>
  </w:style>
  <w:style w:type="character" w:styleId="ListLabel44" w:customStyle="1">
    <w:name w:val="ListLabel 44"/>
    <w:rPr>
      <w:rFonts w:cs="Times New Roman"/>
    </w:rPr>
  </w:style>
  <w:style w:type="character" w:styleId="ListLabel45" w:customStyle="1">
    <w:name w:val="ListLabel 45"/>
    <w:rPr>
      <w:rFonts w:cs="Times New Roman"/>
    </w:rPr>
  </w:style>
  <w:style w:type="character" w:styleId="ListLabel46" w:customStyle="1">
    <w:name w:val="ListLabel 46"/>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7" w:customStyle="1">
    <w:name w:val="ListLabel 4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8" w:customStyle="1">
    <w:name w:val="ListLabel 4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9" w:customStyle="1">
    <w:name w:val="ListLabel 4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0" w:customStyle="1">
    <w:name w:val="ListLabel 50"/>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51" w:customStyle="1">
    <w:name w:val="ListLabel 51"/>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52" w:customStyle="1">
    <w:name w:val="ListLabel 52"/>
    <w:rPr>
      <w:rFonts w:cs="Times New Roman"/>
    </w:rPr>
  </w:style>
  <w:style w:type="character" w:styleId="ListLabel53" w:customStyle="1">
    <w:name w:val="ListLabel 53"/>
    <w:rPr>
      <w:rFonts w:cs="Times New Roman"/>
    </w:rPr>
  </w:style>
  <w:style w:type="character" w:styleId="ListLabel54" w:customStyle="1">
    <w:name w:val="ListLabel 54"/>
    <w:rPr>
      <w:rFonts w:cs="Times New Roman"/>
    </w:rPr>
  </w:style>
  <w:style w:type="character" w:styleId="ListLabel55" w:customStyle="1">
    <w:name w:val="ListLabel 55"/>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6" w:customStyle="1">
    <w:name w:val="ListLabel 5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7" w:customStyle="1">
    <w:name w:val="ListLabel 5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8" w:customStyle="1">
    <w:name w:val="ListLabel 5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9" w:customStyle="1">
    <w:name w:val="ListLabel 59"/>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0" w:customStyle="1">
    <w:name w:val="ListLabel 60"/>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1" w:customStyle="1">
    <w:name w:val="ListLabel 61"/>
    <w:rPr>
      <w:rFonts w:cs="Times New Roman"/>
    </w:rPr>
  </w:style>
  <w:style w:type="character" w:styleId="ListLabel62" w:customStyle="1">
    <w:name w:val="ListLabel 62"/>
    <w:rPr>
      <w:rFonts w:cs="Times New Roman"/>
    </w:rPr>
  </w:style>
  <w:style w:type="character" w:styleId="ListLabel63" w:customStyle="1">
    <w:name w:val="ListLabel 63"/>
    <w:rPr>
      <w:rFonts w:cs="Times New Roman"/>
    </w:rPr>
  </w:style>
  <w:style w:type="character" w:styleId="ListLabel64" w:customStyle="1">
    <w:name w:val="ListLabel 64"/>
    <w:rPr>
      <w:rFonts w:cs="Courier New"/>
      <w:b w:val="0"/>
    </w:rPr>
  </w:style>
  <w:style w:type="character" w:styleId="ListLabel65" w:customStyle="1">
    <w:name w:val="ListLabel 65"/>
    <w:rPr>
      <w:rFonts w:cs="Courier New"/>
    </w:rPr>
  </w:style>
  <w:style w:type="character" w:styleId="ListLabel66" w:customStyle="1">
    <w:name w:val="ListLabel 66"/>
    <w:rPr>
      <w:rFonts w:cs="Courier New"/>
    </w:rPr>
  </w:style>
  <w:style w:type="character" w:styleId="ListLabel67" w:customStyle="1">
    <w:name w:val="ListLabel 67"/>
    <w:rPr>
      <w:rFonts w:cs="Courier New"/>
    </w:rPr>
  </w:style>
  <w:style w:type="character" w:styleId="ListLabel68" w:customStyle="1">
    <w:name w:val="ListLabel 68"/>
    <w:rPr>
      <w:rFonts w:cs="Courier New"/>
    </w:rPr>
  </w:style>
  <w:style w:type="character" w:styleId="ListLabel69" w:customStyle="1">
    <w:name w:val="ListLabel 69"/>
    <w:rPr>
      <w:rFonts w:cs="Courier New"/>
    </w:rPr>
  </w:style>
  <w:style w:type="character" w:styleId="ListLabel70" w:customStyle="1">
    <w:name w:val="ListLabel 70"/>
    <w:rPr>
      <w:rFonts w:cs="Courier New"/>
    </w:rPr>
  </w:style>
  <w:style w:type="character" w:styleId="ListLabel71" w:customStyle="1">
    <w:name w:val="ListLabel 71"/>
    <w:rPr>
      <w:rFonts w:cs="Courier New"/>
    </w:rPr>
  </w:style>
  <w:style w:type="character" w:styleId="ListLabel72" w:customStyle="1">
    <w:name w:val="ListLabel 72"/>
    <w:rPr>
      <w:rFonts w:cs="Courier New"/>
    </w:rPr>
  </w:style>
  <w:style w:type="character" w:styleId="ListLabel73" w:customStyle="1">
    <w:name w:val="ListLabel 73"/>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4" w:customStyle="1">
    <w:name w:val="ListLabel 7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5" w:customStyle="1">
    <w:name w:val="ListLabel 7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6" w:customStyle="1">
    <w:name w:val="ListLabel 7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7" w:customStyle="1">
    <w:name w:val="ListLabel 77"/>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8" w:customStyle="1">
    <w:name w:val="ListLabel 78"/>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9" w:customStyle="1">
    <w:name w:val="ListLabel 79"/>
    <w:rPr>
      <w:rFonts w:cs="Times New Roman"/>
    </w:rPr>
  </w:style>
  <w:style w:type="character" w:styleId="ListLabel80" w:customStyle="1">
    <w:name w:val="ListLabel 80"/>
    <w:rPr>
      <w:rFonts w:cs="Times New Roman"/>
    </w:rPr>
  </w:style>
  <w:style w:type="character" w:styleId="ListLabel81" w:customStyle="1">
    <w:name w:val="ListLabel 81"/>
    <w:rPr>
      <w:rFonts w:cs="Times New Roman"/>
    </w:rPr>
  </w:style>
  <w:style w:type="character" w:styleId="ListLabel82" w:customStyle="1">
    <w:name w:val="ListLabel 82"/>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3" w:customStyle="1">
    <w:name w:val="ListLabel 8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4" w:customStyle="1">
    <w:name w:val="ListLabel 8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5" w:customStyle="1">
    <w:name w:val="ListLabel 8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6" w:customStyle="1">
    <w:name w:val="ListLabel 86"/>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87" w:customStyle="1">
    <w:name w:val="ListLabel 87"/>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88" w:customStyle="1">
    <w:name w:val="ListLabel 88"/>
    <w:rPr>
      <w:rFonts w:cs="Times New Roman"/>
    </w:rPr>
  </w:style>
  <w:style w:type="character" w:styleId="ListLabel89" w:customStyle="1">
    <w:name w:val="ListLabel 89"/>
    <w:rPr>
      <w:rFonts w:cs="Times New Roman"/>
    </w:rPr>
  </w:style>
  <w:style w:type="character" w:styleId="ListLabel90" w:customStyle="1">
    <w:name w:val="ListLabel 90"/>
    <w:rPr>
      <w:rFonts w:cs="Times New Roman"/>
    </w:rPr>
  </w:style>
  <w:style w:type="numbering" w:styleId="NoList1" w:customStyle="1">
    <w:name w:val="No List_1"/>
    <w:basedOn w:val="NoList"/>
  </w:style>
  <w:style w:type="numbering" w:styleId="WWNum1" w:customStyle="1">
    <w:name w:val="WWNum1"/>
    <w:basedOn w:val="NoList"/>
  </w:style>
  <w:style w:type="numbering" w:styleId="WWNum2" w:customStyle="1">
    <w:name w:val="WWNum2"/>
    <w:basedOn w:val="NoList"/>
  </w:style>
  <w:style w:type="numbering" w:styleId="WWNum3" w:customStyle="1">
    <w:name w:val="WWNum3"/>
    <w:basedOn w:val="NoList"/>
  </w:style>
  <w:style w:type="numbering" w:styleId="WWNum4" w:customStyle="1">
    <w:name w:val="WWNum4"/>
    <w:basedOn w:val="NoList"/>
  </w:style>
  <w:style w:type="numbering" w:styleId="WWNum5" w:customStyle="1">
    <w:name w:val="WWNum5"/>
    <w:basedOn w:val="NoList"/>
  </w:style>
  <w:style w:type="numbering" w:styleId="WWNum6" w:customStyle="1">
    <w:name w:val="WWNum6"/>
    <w:basedOn w:val="NoList"/>
  </w:style>
  <w:style w:type="numbering" w:styleId="WWNum7" w:customStyle="1">
    <w:name w:val="WWNum7"/>
    <w:basedOn w:val="NoList"/>
  </w:style>
  <w:style w:type="numbering" w:styleId="WWNum8" w:customStyle="1">
    <w:name w:val="WWNum8"/>
    <w:basedOn w:val="NoList"/>
  </w:style>
  <w:style w:type="numbering" w:styleId="WWNum9" w:customStyle="1">
    <w:name w:val="WWNum9"/>
    <w:basedOn w:val="NoList"/>
  </w:style>
  <w:style w:type="numbering" w:styleId="WWNum10" w:customStyle="1">
    <w:name w:val="WWNum10"/>
    <w:basedOn w:val="NoList"/>
  </w:style>
  <w:style w:type="numbering" w:styleId="WWNum11" w:customStyle="1">
    <w:name w:val="WWNum11"/>
    <w:basedOn w:val="NoList"/>
  </w:style>
  <w:style w:type="numbering" w:styleId="WWNum12" w:customStyle="1">
    <w:name w:val="WWNum12"/>
    <w:basedOn w:val="NoList"/>
  </w:style>
  <w:style w:type="numbering" w:styleId="WWNum13" w:customStyle="1">
    <w:name w:val="WWNum13"/>
    <w:basedOn w:val="NoList"/>
  </w:style>
  <w:style w:type="table" w:styleId="TableGrid">
    <w:name w:val="Table Grid"/>
    <w:basedOn w:val="TableNormal"/>
    <w:uiPriority w:val="59"/>
    <w:rsid w:val="007A5C9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AMainHeading" w:customStyle="1">
    <w:name w:val="FA: Main Heading"/>
    <w:basedOn w:val="Heading1"/>
    <w:qFormat w:val="1"/>
    <w:rsid w:val="00532FDD"/>
    <w:pPr>
      <w:numPr>
        <w:numId w:val="15"/>
      </w:numPr>
      <w:tabs>
        <w:tab w:val="num" w:pos="360"/>
      </w:tabs>
      <w:spacing w:after="20" w:before="20"/>
      <w:ind w:left="0" w:firstLine="0"/>
    </w:pPr>
    <w:rPr>
      <w:rFonts w:ascii="Arial" w:cs="Arial" w:eastAsia="Calibri" w:hAnsi="Arial"/>
      <w:b w:val="1"/>
      <w:color w:val="auto"/>
      <w:sz w:val="22"/>
      <w:szCs w:val="36"/>
    </w:rPr>
  </w:style>
  <w:style w:type="paragraph" w:styleId="FALevel1" w:customStyle="1">
    <w:name w:val="FA: Level 1"/>
    <w:basedOn w:val="Normal"/>
    <w:link w:val="FALevel1Char"/>
    <w:qFormat w:val="1"/>
    <w:rsid w:val="00532FDD"/>
    <w:pPr>
      <w:widowControl w:val="1"/>
      <w:numPr>
        <w:ilvl w:val="1"/>
        <w:numId w:val="15"/>
      </w:numPr>
      <w:spacing w:after="280" w:before="120" w:line="259" w:lineRule="auto"/>
    </w:pPr>
    <w:rPr>
      <w:rFonts w:ascii="Arial" w:cs="Arial" w:hAnsi="Arial" w:eastAsiaTheme="minorHAnsi"/>
    </w:rPr>
  </w:style>
  <w:style w:type="character" w:styleId="FALevel1Char" w:customStyle="1">
    <w:name w:val="FA: Level 1 Char"/>
    <w:basedOn w:val="DefaultParagraphFont"/>
    <w:link w:val="FALevel1"/>
    <w:rsid w:val="00532FDD"/>
    <w:rPr>
      <w:rFonts w:ascii="Arial" w:cs="Arial" w:hAnsi="Arial" w:eastAsiaTheme="minorHAnsi"/>
    </w:rPr>
  </w:style>
  <w:style w:type="paragraph" w:styleId="FALevel2" w:customStyle="1">
    <w:name w:val="FA: Level 2"/>
    <w:basedOn w:val="Normal"/>
    <w:link w:val="FALevel2Char"/>
    <w:qFormat w:val="1"/>
    <w:rsid w:val="00532FDD"/>
    <w:pPr>
      <w:widowControl w:val="1"/>
      <w:numPr>
        <w:ilvl w:val="2"/>
        <w:numId w:val="15"/>
      </w:numPr>
      <w:spacing w:after="280" w:before="120" w:line="259" w:lineRule="auto"/>
    </w:pPr>
    <w:rPr>
      <w:rFonts w:ascii="Arial" w:cs="Arial" w:hAnsi="Arial" w:eastAsiaTheme="minorHAnsi"/>
    </w:rPr>
  </w:style>
  <w:style w:type="character" w:styleId="FALevel2Char" w:customStyle="1">
    <w:name w:val="FA: Level 2 Char"/>
    <w:basedOn w:val="DefaultParagraphFont"/>
    <w:link w:val="FALevel2"/>
    <w:rsid w:val="00532FDD"/>
    <w:rPr>
      <w:rFonts w:ascii="Arial" w:cs="Arial" w:hAnsi="Arial" w:eastAsiaTheme="minorHAnsi"/>
    </w:rPr>
  </w:style>
  <w:style w:type="character" w:styleId="Heading1Char" w:customStyle="1">
    <w:name w:val="Heading 1 Char"/>
    <w:basedOn w:val="DefaultParagraphFont"/>
    <w:link w:val="Heading1"/>
    <w:uiPriority w:val="9"/>
    <w:rsid w:val="00532FDD"/>
    <w:rPr>
      <w:rFonts w:asciiTheme="majorHAnsi" w:cstheme="majorBidi" w:eastAsiaTheme="majorEastAsia" w:hAnsiTheme="majorHAnsi"/>
      <w:color w:val="2f5496" w:themeColor="accent1" w:themeShade="0000BF"/>
      <w:sz w:val="32"/>
      <w:szCs w:val="32"/>
    </w:rPr>
  </w:style>
  <w:style w:type="paragraph" w:styleId="FABulletPoints" w:customStyle="1">
    <w:name w:val="FA: Bullet Points"/>
    <w:basedOn w:val="Normal"/>
    <w:link w:val="FABulletPointsChar"/>
    <w:qFormat w:val="1"/>
    <w:rsid w:val="00532FDD"/>
    <w:pPr>
      <w:widowControl w:val="1"/>
      <w:tabs>
        <w:tab w:val="num" w:pos="720"/>
      </w:tabs>
      <w:ind w:left="720" w:hanging="720"/>
    </w:pPr>
    <w:rPr>
      <w:rFonts w:ascii="Arial" w:cs="Arial" w:hAnsi="Arial" w:eastAsiaTheme="minorHAnsi"/>
    </w:rPr>
  </w:style>
  <w:style w:type="character" w:styleId="FABulletPointsChar" w:customStyle="1">
    <w:name w:val="FA: Bullet Points Char"/>
    <w:basedOn w:val="DefaultParagraphFont"/>
    <w:link w:val="FABulletPoints"/>
    <w:rsid w:val="00532FDD"/>
    <w:rPr>
      <w:rFonts w:ascii="Arial" w:cs="Arial" w:hAnsi="Arial" w:eastAsiaTheme="minorHAnsi"/>
    </w:rPr>
  </w:style>
  <w:style w:type="paragraph" w:styleId="Revision">
    <w:name w:val="Revision"/>
    <w:hidden w:val="1"/>
    <w:uiPriority w:val="99"/>
    <w:semiHidden w:val="1"/>
    <w:rsid w:val="00CE0EDB"/>
    <w:pPr>
      <w:widowControl w:val="1"/>
    </w:pPr>
  </w:style>
  <w:style w:type="paragraph" w:styleId="NormalWeb">
    <w:name w:val="Normal (Web)"/>
    <w:basedOn w:val="Normal"/>
    <w:uiPriority w:val="99"/>
    <w:unhideWhenUsed w:val="1"/>
    <w:rsid w:val="00DD2C67"/>
    <w:pPr>
      <w:widowControl w:val="1"/>
      <w:spacing w:after="100" w:afterAutospacing="1" w:before="100" w:beforeAutospacing="1"/>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AouW+rE7nDr7JhrA6u2niQ+oZA==">AMUW2mVG/xMVY6+ScSXQ1bMP+usb6F2X/6IKBRPF1yePw1eO/qZrYiZpNjETHFdVwmY51Id/oupg6wVmxQQfL6oLPo9goxtwVDu/oIIMYSiFH4yECDGmxMPQdNmACn0rbJu9Xys7YOVptTkOwPl1dfxa2zvCuace/JCYkyYxAoFmB8tLzRt4aN6QJ/7ND+rVhHqjcvlGdpG+uzXRqpYXfVQzOEABbB2qFt1Iuq1G/w+IvfmMl47ZqdjlZzbMUzvj7PG+4AHFihJ0QANKFtKQDqvn5rgHbDKr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2021-01-14T12:08:00Z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CurrentVersion">
    <vt:lpwstr>15 November 2017 D1V4</vt:lpwstr>
  </property>
</Properties>
</file>