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D59FF0" w14:textId="28E0B78B" w:rsidR="009939FF" w:rsidRPr="004158F9" w:rsidRDefault="009939FF" w:rsidP="00280F75">
      <w:pPr>
        <w:jc w:val="both"/>
        <w:rPr>
          <w:rFonts w:ascii="Arial" w:hAnsi="Arial" w:cs="Arial"/>
          <w:b/>
          <w:sz w:val="24"/>
          <w:szCs w:val="24"/>
        </w:rPr>
      </w:pPr>
      <w:r w:rsidRPr="004158F9">
        <w:rPr>
          <w:rFonts w:ascii="Arial" w:hAnsi="Arial" w:cs="Arial"/>
          <w:b/>
          <w:sz w:val="24"/>
          <w:szCs w:val="24"/>
        </w:rPr>
        <w:t>Document No. 0</w:t>
      </w:r>
      <w:r>
        <w:rPr>
          <w:rFonts w:ascii="Arial" w:hAnsi="Arial" w:cs="Arial"/>
          <w:b/>
          <w:sz w:val="24"/>
          <w:szCs w:val="24"/>
        </w:rPr>
        <w:t>4b</w:t>
      </w:r>
    </w:p>
    <w:p w14:paraId="27658E69" w14:textId="77777777" w:rsidR="009939FF" w:rsidRPr="00667472" w:rsidRDefault="009939FF" w:rsidP="00280F75">
      <w:pPr>
        <w:jc w:val="both"/>
        <w:rPr>
          <w:rFonts w:ascii="Arial" w:hAnsi="Arial" w:cs="Arial"/>
          <w:sz w:val="28"/>
          <w:szCs w:val="28"/>
        </w:rPr>
      </w:pPr>
    </w:p>
    <w:p w14:paraId="7E150BE9" w14:textId="77777777" w:rsidR="009939FF" w:rsidRPr="007E0361" w:rsidRDefault="009939FF" w:rsidP="00280F75">
      <w:pPr>
        <w:jc w:val="both"/>
        <w:rPr>
          <w:rFonts w:ascii="Arial" w:hAnsi="Arial" w:cs="Arial"/>
          <w:sz w:val="24"/>
          <w:szCs w:val="24"/>
        </w:rPr>
      </w:pPr>
    </w:p>
    <w:p w14:paraId="0876EB93" w14:textId="77777777" w:rsidR="009939FF" w:rsidRPr="007E0361" w:rsidRDefault="009939FF" w:rsidP="00280F75">
      <w:pPr>
        <w:jc w:val="both"/>
        <w:rPr>
          <w:rFonts w:ascii="Arial" w:hAnsi="Arial" w:cs="Arial"/>
          <w:b/>
          <w:sz w:val="24"/>
          <w:szCs w:val="24"/>
        </w:rPr>
      </w:pPr>
      <w:r w:rsidRPr="007E0361">
        <w:rPr>
          <w:rFonts w:ascii="Arial" w:hAnsi="Arial" w:cs="Arial"/>
          <w:b/>
          <w:sz w:val="24"/>
          <w:szCs w:val="24"/>
        </w:rPr>
        <w:t>Project title:</w:t>
      </w:r>
      <w:bookmarkStart w:id="0" w:name="_Hlk106284004"/>
      <w:r w:rsidRPr="007E0361">
        <w:rPr>
          <w:rFonts w:ascii="Arial" w:hAnsi="Arial" w:cs="Arial"/>
          <w:b/>
          <w:sz w:val="24"/>
          <w:szCs w:val="24"/>
        </w:rPr>
        <w:t xml:space="preserve"> NHS National Generic Pharmaceuticals Wave 14a</w:t>
      </w:r>
      <w:bookmarkEnd w:id="0"/>
      <w:r w:rsidRPr="007E0361">
        <w:rPr>
          <w:rFonts w:ascii="Arial" w:hAnsi="Arial" w:cs="Arial"/>
          <w:b/>
          <w:sz w:val="24"/>
          <w:szCs w:val="24"/>
        </w:rPr>
        <w:t xml:space="preserve"> </w:t>
      </w:r>
    </w:p>
    <w:p w14:paraId="553818AE" w14:textId="77777777" w:rsidR="009939FF" w:rsidRPr="007E0361" w:rsidRDefault="009939FF" w:rsidP="00280F75">
      <w:pPr>
        <w:pStyle w:val="NoSpacing"/>
        <w:jc w:val="both"/>
        <w:rPr>
          <w:rFonts w:ascii="Arial" w:hAnsi="Arial" w:cs="Arial"/>
          <w:b/>
          <w:sz w:val="24"/>
          <w:szCs w:val="24"/>
        </w:rPr>
      </w:pPr>
      <w:r w:rsidRPr="007E0361">
        <w:rPr>
          <w:rFonts w:ascii="Arial" w:hAnsi="Arial" w:cs="Arial"/>
          <w:b/>
          <w:sz w:val="24"/>
          <w:szCs w:val="24"/>
        </w:rPr>
        <w:t xml:space="preserve">Offer reference number: </w:t>
      </w:r>
      <w:bookmarkStart w:id="1" w:name="_Hlk106282060"/>
      <w:r w:rsidRPr="007E0361">
        <w:rPr>
          <w:rFonts w:ascii="Arial" w:hAnsi="Arial" w:cs="Arial"/>
          <w:b/>
          <w:sz w:val="24"/>
          <w:szCs w:val="24"/>
        </w:rPr>
        <w:t>CM/PHG/22/5657</w:t>
      </w:r>
    </w:p>
    <w:bookmarkEnd w:id="1"/>
    <w:p w14:paraId="6417A07A" w14:textId="77777777" w:rsidR="009939FF" w:rsidRPr="007E0361" w:rsidRDefault="009939FF" w:rsidP="00280F75">
      <w:pPr>
        <w:jc w:val="both"/>
        <w:rPr>
          <w:rFonts w:ascii="Arial" w:hAnsi="Arial" w:cs="Arial"/>
          <w:sz w:val="24"/>
          <w:szCs w:val="24"/>
        </w:rPr>
      </w:pPr>
      <w:r w:rsidRPr="007E0361">
        <w:rPr>
          <w:rFonts w:ascii="Arial" w:hAnsi="Arial" w:cs="Arial"/>
          <w:b/>
          <w:sz w:val="24"/>
          <w:szCs w:val="24"/>
        </w:rPr>
        <w:t xml:space="preserve">Period of framework agreement: The total maximum duration of the framework agreement to be no more than 24 months </w:t>
      </w:r>
      <w:r w:rsidRPr="007E0361">
        <w:rPr>
          <w:rFonts w:ascii="Arial" w:hAnsi="Arial" w:cs="Arial"/>
          <w:bCs/>
          <w:sz w:val="24"/>
          <w:szCs w:val="24"/>
        </w:rPr>
        <w:t>w</w:t>
      </w:r>
      <w:r w:rsidRPr="007E0361">
        <w:rPr>
          <w:rFonts w:ascii="Arial" w:hAnsi="Arial" w:cs="Arial"/>
          <w:sz w:val="24"/>
          <w:szCs w:val="24"/>
        </w:rPr>
        <w:t xml:space="preserve">ith an option or options to extend (at the Authority’s discretion) for a period or periods up to a total of 48 months. </w:t>
      </w:r>
    </w:p>
    <w:p w14:paraId="79745D48" w14:textId="77777777" w:rsidR="009939FF" w:rsidRPr="007E0361" w:rsidRDefault="009939FF" w:rsidP="00280F75">
      <w:pPr>
        <w:jc w:val="both"/>
        <w:rPr>
          <w:rFonts w:ascii="Arial" w:hAnsi="Arial" w:cs="Arial"/>
          <w:sz w:val="24"/>
          <w:szCs w:val="24"/>
        </w:rPr>
      </w:pPr>
    </w:p>
    <w:p w14:paraId="002B81C1" w14:textId="77777777" w:rsidR="009939FF" w:rsidRPr="007E0361" w:rsidRDefault="009939FF" w:rsidP="00280F75">
      <w:pPr>
        <w:pStyle w:val="NoSpacing"/>
        <w:jc w:val="both"/>
        <w:rPr>
          <w:rFonts w:ascii="Arial" w:hAnsi="Arial" w:cs="Arial"/>
          <w:b/>
          <w:sz w:val="24"/>
          <w:szCs w:val="24"/>
        </w:rPr>
      </w:pPr>
      <w:r w:rsidRPr="007E0361">
        <w:rPr>
          <w:rFonts w:ascii="Arial" w:hAnsi="Arial" w:cs="Arial"/>
          <w:b/>
          <w:sz w:val="24"/>
          <w:szCs w:val="24"/>
        </w:rPr>
        <w:t>Potential periods of call-offs under the framework agreement:</w:t>
      </w:r>
    </w:p>
    <w:p w14:paraId="201D807D" w14:textId="77777777" w:rsidR="009939FF" w:rsidRPr="007E0361" w:rsidRDefault="009939FF" w:rsidP="00280F75">
      <w:pPr>
        <w:pStyle w:val="NoSpacing"/>
        <w:jc w:val="both"/>
        <w:rPr>
          <w:rFonts w:ascii="Arial" w:hAnsi="Arial" w:cs="Arial"/>
          <w:b/>
          <w:sz w:val="24"/>
          <w:szCs w:val="24"/>
        </w:rPr>
      </w:pPr>
      <w:r w:rsidRPr="007E0361">
        <w:rPr>
          <w:rFonts w:ascii="Arial" w:hAnsi="Arial" w:cs="Arial"/>
          <w:b/>
          <w:sz w:val="24"/>
          <w:szCs w:val="24"/>
        </w:rPr>
        <w:t xml:space="preserve">Hospital Only Products: </w:t>
      </w:r>
      <w:r w:rsidRPr="007E0361">
        <w:rPr>
          <w:rFonts w:ascii="Arial" w:hAnsi="Arial" w:cs="Arial"/>
          <w:b/>
          <w:sz w:val="24"/>
          <w:szCs w:val="24"/>
        </w:rPr>
        <w:tab/>
        <w:t xml:space="preserve">      DLN &amp; DNW: 01/02/2023 - 31/01/2025 (24 Months)</w:t>
      </w:r>
    </w:p>
    <w:p w14:paraId="26D6F7CE" w14:textId="77777777" w:rsidR="009939FF" w:rsidRPr="007E0361" w:rsidRDefault="009939FF" w:rsidP="00280F75">
      <w:pPr>
        <w:pStyle w:val="NoSpacing"/>
        <w:jc w:val="both"/>
        <w:rPr>
          <w:rFonts w:ascii="Arial" w:hAnsi="Arial" w:cs="Arial"/>
          <w:b/>
          <w:sz w:val="24"/>
          <w:szCs w:val="24"/>
        </w:rPr>
      </w:pPr>
      <w:r w:rsidRPr="007E0361">
        <w:rPr>
          <w:rFonts w:ascii="Arial" w:hAnsi="Arial" w:cs="Arial"/>
          <w:b/>
          <w:sz w:val="24"/>
          <w:szCs w:val="24"/>
        </w:rPr>
        <w:t xml:space="preserve">Housekeeping Products (Hospital Only):      </w:t>
      </w:r>
    </w:p>
    <w:p w14:paraId="1FED6B23" w14:textId="2998E98B" w:rsidR="009939FF" w:rsidRPr="007E0361" w:rsidRDefault="009939FF" w:rsidP="00280F75">
      <w:pPr>
        <w:pStyle w:val="NoSpacing"/>
        <w:ind w:left="2880"/>
        <w:jc w:val="both"/>
        <w:rPr>
          <w:rFonts w:ascii="Arial" w:hAnsi="Arial" w:cs="Arial"/>
          <w:b/>
          <w:sz w:val="24"/>
          <w:szCs w:val="24"/>
        </w:rPr>
      </w:pPr>
      <w:r w:rsidRPr="007E0361">
        <w:rPr>
          <w:rFonts w:ascii="Arial" w:hAnsi="Arial" w:cs="Arial"/>
          <w:b/>
          <w:sz w:val="24"/>
          <w:szCs w:val="24"/>
        </w:rPr>
        <w:t xml:space="preserve">            CESW:</w:t>
      </w:r>
      <w:r>
        <w:rPr>
          <w:rFonts w:ascii="Arial" w:hAnsi="Arial" w:cs="Arial"/>
          <w:b/>
          <w:sz w:val="24"/>
          <w:szCs w:val="24"/>
        </w:rPr>
        <w:t xml:space="preserve">    </w:t>
      </w:r>
      <w:r w:rsidRPr="007E0361">
        <w:rPr>
          <w:rFonts w:ascii="Arial" w:hAnsi="Arial" w:cs="Arial"/>
          <w:b/>
          <w:sz w:val="24"/>
          <w:szCs w:val="24"/>
        </w:rPr>
        <w:t>01/02/2023 - 30/09/2023 (8 Months)</w:t>
      </w:r>
      <w:r w:rsidRPr="007E0361">
        <w:rPr>
          <w:rFonts w:ascii="Arial" w:hAnsi="Arial" w:cs="Arial"/>
          <w:b/>
          <w:sz w:val="24"/>
          <w:szCs w:val="24"/>
        </w:rPr>
        <w:tab/>
        <w:t xml:space="preserve"> LSNE:</w:t>
      </w:r>
      <w:r>
        <w:rPr>
          <w:rFonts w:ascii="Arial" w:hAnsi="Arial" w:cs="Arial"/>
          <w:b/>
          <w:sz w:val="24"/>
          <w:szCs w:val="24"/>
        </w:rPr>
        <w:t xml:space="preserve">     </w:t>
      </w:r>
      <w:r w:rsidRPr="007E0361">
        <w:rPr>
          <w:rFonts w:ascii="Arial" w:hAnsi="Arial" w:cs="Arial"/>
          <w:b/>
          <w:sz w:val="24"/>
          <w:szCs w:val="24"/>
        </w:rPr>
        <w:t>01/02/2023 - 31/05/2024 (16 Months)</w:t>
      </w:r>
      <w:r w:rsidRPr="007E0361">
        <w:rPr>
          <w:rFonts w:ascii="Arial" w:hAnsi="Arial" w:cs="Arial"/>
          <w:b/>
          <w:sz w:val="24"/>
          <w:szCs w:val="24"/>
          <w:highlight w:val="yellow"/>
        </w:rPr>
        <w:t xml:space="preserve"> </w:t>
      </w:r>
    </w:p>
    <w:p w14:paraId="7233D443" w14:textId="77777777" w:rsidR="009939FF" w:rsidRPr="007E0361" w:rsidRDefault="009939FF" w:rsidP="00280F75">
      <w:pPr>
        <w:jc w:val="both"/>
        <w:rPr>
          <w:rFonts w:ascii="Arial" w:hAnsi="Arial" w:cs="Arial"/>
          <w:b/>
          <w:sz w:val="24"/>
          <w:szCs w:val="24"/>
        </w:rPr>
      </w:pPr>
    </w:p>
    <w:p w14:paraId="4962F12C" w14:textId="77777777" w:rsidR="009939FF" w:rsidRDefault="009939FF" w:rsidP="00280F75">
      <w:pPr>
        <w:jc w:val="both"/>
        <w:rPr>
          <w:rFonts w:ascii="Arial" w:hAnsi="Arial" w:cs="Arial"/>
          <w:sz w:val="28"/>
          <w:szCs w:val="28"/>
        </w:rPr>
      </w:pPr>
    </w:p>
    <w:p w14:paraId="4B3D51BE" w14:textId="77777777" w:rsidR="009939FF" w:rsidRDefault="009939FF" w:rsidP="00280F75">
      <w:pPr>
        <w:jc w:val="both"/>
        <w:rPr>
          <w:rFonts w:ascii="Arial" w:hAnsi="Arial" w:cs="Arial"/>
          <w:sz w:val="28"/>
          <w:szCs w:val="28"/>
        </w:rPr>
      </w:pPr>
    </w:p>
    <w:p w14:paraId="0A75B6E0" w14:textId="6B2D7D2A" w:rsidR="009939FF" w:rsidRPr="0085083F" w:rsidRDefault="006173AA" w:rsidP="00280F75">
      <w:pPr>
        <w:jc w:val="both"/>
        <w:rPr>
          <w:rFonts w:ascii="Arial" w:hAnsi="Arial" w:cs="Arial"/>
          <w:b/>
          <w:sz w:val="28"/>
          <w:szCs w:val="28"/>
        </w:rPr>
      </w:pPr>
      <w:r>
        <w:rPr>
          <w:rFonts w:ascii="Arial" w:hAnsi="Arial" w:cs="Arial"/>
          <w:b/>
          <w:sz w:val="28"/>
          <w:szCs w:val="28"/>
        </w:rPr>
        <w:t xml:space="preserve">Assessment Criteria, Stability Protocol and Additional Specification Requirements </w:t>
      </w:r>
    </w:p>
    <w:p w14:paraId="60F56279" w14:textId="77777777" w:rsidR="009939FF" w:rsidRDefault="009939FF" w:rsidP="00280F75">
      <w:pPr>
        <w:jc w:val="both"/>
        <w:rPr>
          <w:rFonts w:ascii="Arial" w:hAnsi="Arial" w:cs="Arial"/>
          <w:sz w:val="28"/>
          <w:szCs w:val="28"/>
        </w:rPr>
      </w:pPr>
    </w:p>
    <w:p w14:paraId="40CFB784" w14:textId="77777777" w:rsidR="009939FF" w:rsidRDefault="009939FF" w:rsidP="00280F75">
      <w:pPr>
        <w:jc w:val="both"/>
        <w:rPr>
          <w:rFonts w:ascii="Arial" w:hAnsi="Arial" w:cs="Arial"/>
          <w:sz w:val="28"/>
          <w:szCs w:val="28"/>
        </w:rPr>
      </w:pPr>
    </w:p>
    <w:p w14:paraId="7BC00A95" w14:textId="77777777" w:rsidR="009939FF" w:rsidRDefault="009939FF" w:rsidP="00280F75">
      <w:pPr>
        <w:jc w:val="both"/>
        <w:rPr>
          <w:rFonts w:ascii="Arial" w:hAnsi="Arial" w:cs="Arial"/>
          <w:sz w:val="28"/>
          <w:szCs w:val="28"/>
        </w:rPr>
      </w:pPr>
    </w:p>
    <w:p w14:paraId="1162E8D9" w14:textId="77777777" w:rsidR="009939FF" w:rsidRDefault="009939FF" w:rsidP="00280F75">
      <w:pPr>
        <w:jc w:val="both"/>
        <w:rPr>
          <w:rFonts w:ascii="Arial" w:hAnsi="Arial" w:cs="Arial"/>
          <w:sz w:val="28"/>
          <w:szCs w:val="28"/>
        </w:rPr>
      </w:pPr>
    </w:p>
    <w:p w14:paraId="7C0B5890" w14:textId="77777777" w:rsidR="009939FF" w:rsidRDefault="009939FF" w:rsidP="00280F75">
      <w:pPr>
        <w:jc w:val="both"/>
        <w:rPr>
          <w:rFonts w:ascii="Arial" w:hAnsi="Arial" w:cs="Arial"/>
          <w:b/>
          <w:sz w:val="28"/>
          <w:szCs w:val="28"/>
        </w:rPr>
      </w:pPr>
    </w:p>
    <w:p w14:paraId="025AFA3A" w14:textId="77777777" w:rsidR="009939FF" w:rsidRDefault="009939FF" w:rsidP="00280F75">
      <w:pPr>
        <w:jc w:val="both"/>
        <w:rPr>
          <w:rFonts w:ascii="Arial" w:hAnsi="Arial" w:cs="Arial"/>
          <w:b/>
          <w:sz w:val="28"/>
          <w:szCs w:val="28"/>
        </w:rPr>
      </w:pPr>
    </w:p>
    <w:p w14:paraId="2AFB70CD" w14:textId="77777777" w:rsidR="009939FF" w:rsidRDefault="009939FF" w:rsidP="00280F75">
      <w:pPr>
        <w:jc w:val="both"/>
        <w:rPr>
          <w:rFonts w:ascii="Arial" w:hAnsi="Arial" w:cs="Arial"/>
          <w:b/>
          <w:sz w:val="28"/>
          <w:szCs w:val="28"/>
        </w:rPr>
      </w:pPr>
    </w:p>
    <w:p w14:paraId="5E2A7CFB" w14:textId="77777777" w:rsidR="009939FF" w:rsidRDefault="009939FF" w:rsidP="00280F75">
      <w:pPr>
        <w:jc w:val="both"/>
        <w:rPr>
          <w:rFonts w:ascii="Arial" w:hAnsi="Arial" w:cs="Arial"/>
          <w:b/>
          <w:sz w:val="28"/>
          <w:szCs w:val="28"/>
        </w:rPr>
      </w:pPr>
    </w:p>
    <w:p w14:paraId="4D2D753F" w14:textId="77777777" w:rsidR="009939FF" w:rsidRDefault="009939FF" w:rsidP="00280F75">
      <w:pPr>
        <w:jc w:val="both"/>
        <w:rPr>
          <w:rFonts w:ascii="Arial" w:hAnsi="Arial" w:cs="Arial"/>
          <w:b/>
          <w:sz w:val="28"/>
          <w:szCs w:val="28"/>
        </w:rPr>
      </w:pPr>
    </w:p>
    <w:p w14:paraId="32B182DE" w14:textId="77777777" w:rsidR="009939FF" w:rsidRDefault="009939FF" w:rsidP="00280F75">
      <w:pPr>
        <w:jc w:val="both"/>
        <w:rPr>
          <w:rFonts w:ascii="Arial" w:hAnsi="Arial" w:cs="Arial"/>
          <w:b/>
          <w:sz w:val="28"/>
          <w:szCs w:val="28"/>
        </w:rPr>
      </w:pPr>
    </w:p>
    <w:p w14:paraId="288E6909" w14:textId="77777777" w:rsidR="009939FF" w:rsidRDefault="009939FF" w:rsidP="00280F75">
      <w:pPr>
        <w:jc w:val="both"/>
        <w:rPr>
          <w:rFonts w:ascii="Arial" w:hAnsi="Arial" w:cs="Arial"/>
          <w:b/>
          <w:sz w:val="28"/>
          <w:szCs w:val="28"/>
        </w:rPr>
      </w:pPr>
    </w:p>
    <w:p w14:paraId="5C4685AC" w14:textId="77777777" w:rsidR="009939FF" w:rsidRDefault="009939FF" w:rsidP="00280F75">
      <w:pPr>
        <w:jc w:val="both"/>
        <w:rPr>
          <w:rFonts w:ascii="Arial" w:hAnsi="Arial" w:cs="Arial"/>
          <w:b/>
          <w:sz w:val="28"/>
          <w:szCs w:val="28"/>
        </w:rPr>
      </w:pPr>
    </w:p>
    <w:p w14:paraId="7356C47A" w14:textId="77777777" w:rsidR="009939FF" w:rsidRDefault="009939FF" w:rsidP="00280F75">
      <w:pPr>
        <w:jc w:val="both"/>
        <w:rPr>
          <w:rFonts w:ascii="Arial" w:hAnsi="Arial" w:cs="Arial"/>
          <w:b/>
          <w:sz w:val="28"/>
          <w:szCs w:val="28"/>
        </w:rPr>
      </w:pPr>
    </w:p>
    <w:p w14:paraId="7086DA84" w14:textId="77777777" w:rsidR="009939FF" w:rsidRDefault="009939FF" w:rsidP="00280F75">
      <w:pPr>
        <w:jc w:val="both"/>
        <w:rPr>
          <w:rFonts w:ascii="Arial" w:hAnsi="Arial" w:cs="Arial"/>
          <w:b/>
          <w:sz w:val="28"/>
          <w:szCs w:val="28"/>
        </w:rPr>
      </w:pPr>
    </w:p>
    <w:p w14:paraId="5F73A540" w14:textId="77777777" w:rsidR="009939FF" w:rsidRDefault="009939FF" w:rsidP="00280F75">
      <w:pPr>
        <w:jc w:val="both"/>
        <w:rPr>
          <w:rFonts w:ascii="Arial" w:hAnsi="Arial" w:cs="Arial"/>
          <w:b/>
          <w:sz w:val="28"/>
          <w:szCs w:val="28"/>
        </w:rPr>
      </w:pPr>
    </w:p>
    <w:p w14:paraId="352D82E6" w14:textId="77777777" w:rsidR="009939FF" w:rsidRDefault="009939FF" w:rsidP="00280F75">
      <w:pPr>
        <w:jc w:val="both"/>
        <w:rPr>
          <w:rFonts w:ascii="Arial" w:hAnsi="Arial" w:cs="Arial"/>
          <w:b/>
          <w:sz w:val="28"/>
          <w:szCs w:val="28"/>
        </w:rPr>
      </w:pPr>
    </w:p>
    <w:p w14:paraId="55082167" w14:textId="77777777" w:rsidR="009939FF" w:rsidRDefault="009939FF" w:rsidP="00280F75">
      <w:pPr>
        <w:jc w:val="both"/>
        <w:rPr>
          <w:rFonts w:ascii="Arial" w:hAnsi="Arial" w:cs="Arial"/>
          <w:b/>
          <w:sz w:val="28"/>
          <w:szCs w:val="28"/>
        </w:rPr>
      </w:pPr>
    </w:p>
    <w:p w14:paraId="0B455464" w14:textId="77777777" w:rsidR="009939FF" w:rsidRDefault="009939FF" w:rsidP="00280F75">
      <w:pPr>
        <w:jc w:val="both"/>
        <w:rPr>
          <w:rFonts w:ascii="Arial" w:hAnsi="Arial" w:cs="Arial"/>
          <w:b/>
          <w:sz w:val="28"/>
          <w:szCs w:val="28"/>
        </w:rPr>
      </w:pPr>
    </w:p>
    <w:p w14:paraId="467322D1" w14:textId="77777777" w:rsidR="009939FF" w:rsidRDefault="009939FF" w:rsidP="00280F75">
      <w:pPr>
        <w:jc w:val="both"/>
        <w:rPr>
          <w:rFonts w:ascii="Arial" w:hAnsi="Arial" w:cs="Arial"/>
          <w:b/>
          <w:sz w:val="28"/>
          <w:szCs w:val="28"/>
        </w:rPr>
      </w:pPr>
    </w:p>
    <w:p w14:paraId="35F80ECF" w14:textId="77777777" w:rsidR="009939FF" w:rsidRDefault="009939FF" w:rsidP="00280F75">
      <w:pPr>
        <w:jc w:val="both"/>
        <w:rPr>
          <w:rFonts w:ascii="Arial" w:hAnsi="Arial" w:cs="Arial"/>
          <w:b/>
          <w:sz w:val="28"/>
          <w:szCs w:val="28"/>
        </w:rPr>
      </w:pPr>
    </w:p>
    <w:p w14:paraId="6FA4A426" w14:textId="77777777" w:rsidR="009939FF" w:rsidRDefault="009939FF" w:rsidP="00280F75">
      <w:pPr>
        <w:jc w:val="both"/>
        <w:rPr>
          <w:rFonts w:ascii="Arial" w:hAnsi="Arial" w:cs="Arial"/>
          <w:b/>
          <w:sz w:val="28"/>
          <w:szCs w:val="28"/>
        </w:rPr>
      </w:pPr>
    </w:p>
    <w:p w14:paraId="478898E3" w14:textId="77777777" w:rsidR="009939FF" w:rsidRDefault="009939FF" w:rsidP="00280F75">
      <w:pPr>
        <w:jc w:val="both"/>
        <w:rPr>
          <w:rFonts w:ascii="Arial" w:hAnsi="Arial" w:cs="Arial"/>
          <w:b/>
          <w:sz w:val="28"/>
          <w:szCs w:val="28"/>
        </w:rPr>
      </w:pPr>
    </w:p>
    <w:p w14:paraId="5D508010" w14:textId="77777777" w:rsidR="009939FF" w:rsidRDefault="009939FF" w:rsidP="00280F75">
      <w:pPr>
        <w:jc w:val="both"/>
        <w:rPr>
          <w:rFonts w:ascii="Arial" w:hAnsi="Arial" w:cs="Arial"/>
          <w:b/>
          <w:sz w:val="28"/>
          <w:szCs w:val="28"/>
        </w:rPr>
      </w:pPr>
    </w:p>
    <w:p w14:paraId="685BFD34" w14:textId="77777777" w:rsidR="009939FF" w:rsidRDefault="009939FF" w:rsidP="00280F75">
      <w:pPr>
        <w:jc w:val="both"/>
        <w:rPr>
          <w:rFonts w:ascii="Arial" w:hAnsi="Arial" w:cs="Arial"/>
          <w:b/>
          <w:sz w:val="28"/>
          <w:szCs w:val="28"/>
        </w:rPr>
      </w:pPr>
    </w:p>
    <w:p w14:paraId="49ACB000" w14:textId="77777777" w:rsidR="009939FF" w:rsidRDefault="009939FF" w:rsidP="00280F75">
      <w:pPr>
        <w:pStyle w:val="BodyText2"/>
        <w:jc w:val="both"/>
        <w:rPr>
          <w:rFonts w:cs="Arial"/>
          <w:b/>
          <w:color w:val="auto"/>
          <w:szCs w:val="22"/>
        </w:rPr>
        <w:sectPr w:rsidR="009939FF" w:rsidSect="009939FF">
          <w:headerReference w:type="default" r:id="rId9"/>
          <w:footerReference w:type="even" r:id="rId10"/>
          <w:footerReference w:type="default" r:id="rId11"/>
          <w:headerReference w:type="first" r:id="rId12"/>
          <w:footerReference w:type="first" r:id="rId13"/>
          <w:pgSz w:w="11906" w:h="16838"/>
          <w:pgMar w:top="1440" w:right="1133" w:bottom="1600" w:left="1701" w:header="240" w:footer="240" w:gutter="0"/>
          <w:cols w:space="720"/>
          <w:docGrid w:linePitch="272"/>
        </w:sectPr>
      </w:pPr>
    </w:p>
    <w:p w14:paraId="4F15D626" w14:textId="77777777" w:rsidR="00280F75" w:rsidRPr="00280F75" w:rsidRDefault="00280F75" w:rsidP="00280F75">
      <w:pPr>
        <w:jc w:val="both"/>
        <w:rPr>
          <w:rFonts w:ascii="Arial" w:hAnsi="Arial" w:cs="Arial"/>
          <w:b/>
          <w:bCs/>
          <w:sz w:val="24"/>
          <w:szCs w:val="24"/>
        </w:rPr>
      </w:pPr>
      <w:r w:rsidRPr="00280F75">
        <w:rPr>
          <w:rFonts w:ascii="Arial" w:hAnsi="Arial" w:cs="Arial"/>
          <w:b/>
          <w:bCs/>
          <w:sz w:val="24"/>
          <w:szCs w:val="24"/>
        </w:rPr>
        <w:lastRenderedPageBreak/>
        <w:t>Assessment criteria</w:t>
      </w:r>
    </w:p>
    <w:p w14:paraId="13C54932" w14:textId="77777777" w:rsidR="00280F75" w:rsidRPr="00280F75" w:rsidRDefault="00280F75" w:rsidP="00280F75">
      <w:pPr>
        <w:pStyle w:val="ListParagraph"/>
        <w:ind w:left="792"/>
        <w:jc w:val="both"/>
        <w:rPr>
          <w:rFonts w:ascii="Arial" w:hAnsi="Arial" w:cs="Arial"/>
        </w:rPr>
      </w:pPr>
    </w:p>
    <w:p w14:paraId="1295D164" w14:textId="77777777" w:rsidR="00280F75" w:rsidRPr="00280F75" w:rsidRDefault="00280F75" w:rsidP="00280F75">
      <w:pPr>
        <w:pStyle w:val="ListParagraph"/>
        <w:numPr>
          <w:ilvl w:val="0"/>
          <w:numId w:val="31"/>
        </w:numPr>
        <w:jc w:val="both"/>
        <w:rPr>
          <w:rFonts w:ascii="Arial" w:hAnsi="Arial" w:cs="Arial"/>
        </w:rPr>
      </w:pPr>
      <w:r w:rsidRPr="00280F75">
        <w:rPr>
          <w:rFonts w:ascii="Arial" w:hAnsi="Arial" w:cs="Arial"/>
        </w:rPr>
        <w:t xml:space="preserve">All medicines must </w:t>
      </w:r>
    </w:p>
    <w:p w14:paraId="188EB515" w14:textId="77777777" w:rsidR="00280F75" w:rsidRPr="00280F75" w:rsidRDefault="00280F75" w:rsidP="00280F75">
      <w:pPr>
        <w:jc w:val="both"/>
        <w:rPr>
          <w:rFonts w:ascii="Arial" w:eastAsiaTheme="minorHAnsi" w:hAnsi="Arial" w:cs="Arial"/>
          <w:sz w:val="24"/>
          <w:szCs w:val="24"/>
        </w:rPr>
      </w:pPr>
    </w:p>
    <w:p w14:paraId="35C5B29B" w14:textId="77777777" w:rsidR="00280F75" w:rsidRPr="00280F75" w:rsidRDefault="00280F75" w:rsidP="00280F75">
      <w:pPr>
        <w:pStyle w:val="ListParagraph"/>
        <w:numPr>
          <w:ilvl w:val="0"/>
          <w:numId w:val="32"/>
        </w:numPr>
        <w:jc w:val="both"/>
        <w:rPr>
          <w:rFonts w:ascii="Arial" w:hAnsi="Arial" w:cs="Arial"/>
        </w:rPr>
      </w:pPr>
      <w:r w:rsidRPr="00280F75">
        <w:rPr>
          <w:rFonts w:ascii="Arial" w:hAnsi="Arial" w:cs="Arial"/>
        </w:rPr>
        <w:t>fully match the NPC descriptor against which they are offered (e.g. co-name medicines must be labelled with the co-name, not individual drug names); medicines requiring specific features (e.g. licensed route; prohibited excipients; scored tablets; container type) must have that feature.</w:t>
      </w:r>
    </w:p>
    <w:p w14:paraId="155BAA74" w14:textId="6B5F3AEB" w:rsidR="006849E3" w:rsidRPr="006849E3" w:rsidRDefault="00280F75" w:rsidP="006849E3">
      <w:pPr>
        <w:pStyle w:val="ListParagraph"/>
        <w:numPr>
          <w:ilvl w:val="0"/>
          <w:numId w:val="32"/>
        </w:numPr>
        <w:jc w:val="both"/>
        <w:rPr>
          <w:rFonts w:ascii="Arial" w:hAnsi="Arial" w:cs="Arial"/>
        </w:rPr>
      </w:pPr>
      <w:r w:rsidRPr="00280F75">
        <w:rPr>
          <w:rFonts w:ascii="Arial" w:hAnsi="Arial" w:cs="Arial"/>
        </w:rPr>
        <w:t xml:space="preserve">conform to the </w:t>
      </w:r>
      <w:bookmarkStart w:id="2" w:name="_Hlk109816662"/>
      <w:r w:rsidRPr="00280F75">
        <w:rPr>
          <w:rFonts w:ascii="Arial" w:hAnsi="Arial" w:cs="Arial"/>
        </w:rPr>
        <w:t xml:space="preserve">fixed gateway criteria listed in Appendix 2 </w:t>
      </w:r>
      <w:r w:rsidRPr="007F2EAC">
        <w:rPr>
          <w:rFonts w:ascii="Arial" w:hAnsi="Arial" w:cs="Arial"/>
        </w:rPr>
        <w:t xml:space="preserve">of Document </w:t>
      </w:r>
      <w:r w:rsidR="007F2EAC" w:rsidRPr="007F2EAC">
        <w:rPr>
          <w:rFonts w:ascii="Arial" w:hAnsi="Arial" w:cs="Arial"/>
        </w:rPr>
        <w:t xml:space="preserve">No. </w:t>
      </w:r>
      <w:r w:rsidRPr="007F2EAC">
        <w:rPr>
          <w:rFonts w:ascii="Arial" w:hAnsi="Arial" w:cs="Arial"/>
        </w:rPr>
        <w:t>7b</w:t>
      </w:r>
      <w:r w:rsidR="007F2EAC" w:rsidRPr="007F2EAC">
        <w:rPr>
          <w:rFonts w:ascii="Arial" w:hAnsi="Arial" w:cs="Arial"/>
        </w:rPr>
        <w:t xml:space="preserve"> Quality Assuranc</w:t>
      </w:r>
      <w:r w:rsidR="006849E3">
        <w:rPr>
          <w:rFonts w:ascii="Arial" w:hAnsi="Arial" w:cs="Arial"/>
        </w:rPr>
        <w:t>e Policy to Support the National Contract Procurement of Licensed Medicines.</w:t>
      </w:r>
    </w:p>
    <w:p w14:paraId="4DD6BD52" w14:textId="77777777" w:rsidR="00280F75" w:rsidRPr="00280F75" w:rsidRDefault="00280F75" w:rsidP="00280F75">
      <w:pPr>
        <w:pStyle w:val="ListParagraph"/>
        <w:ind w:left="1843"/>
        <w:jc w:val="both"/>
        <w:rPr>
          <w:rFonts w:ascii="Arial" w:eastAsiaTheme="minorHAnsi" w:hAnsi="Arial" w:cs="Arial"/>
        </w:rPr>
      </w:pPr>
    </w:p>
    <w:p w14:paraId="4229C86F" w14:textId="77777777" w:rsidR="00280F75" w:rsidRPr="00280F75" w:rsidRDefault="00280F75" w:rsidP="00280F75">
      <w:pPr>
        <w:pStyle w:val="ListParagraph"/>
        <w:numPr>
          <w:ilvl w:val="0"/>
          <w:numId w:val="31"/>
        </w:numPr>
        <w:jc w:val="both"/>
        <w:rPr>
          <w:rFonts w:ascii="Arial" w:hAnsi="Arial" w:cs="Arial"/>
        </w:rPr>
      </w:pPr>
      <w:r w:rsidRPr="00280F75">
        <w:rPr>
          <w:rFonts w:ascii="Arial" w:hAnsi="Arial" w:cs="Arial"/>
        </w:rPr>
        <w:t xml:space="preserve">In addition, the medicines must </w:t>
      </w:r>
    </w:p>
    <w:bookmarkEnd w:id="2"/>
    <w:p w14:paraId="57FB1567" w14:textId="77777777" w:rsidR="00280F75" w:rsidRPr="00280F75" w:rsidRDefault="00280F75" w:rsidP="00280F75">
      <w:pPr>
        <w:pStyle w:val="ListParagraph"/>
        <w:jc w:val="both"/>
        <w:rPr>
          <w:rFonts w:ascii="Arial" w:eastAsiaTheme="minorHAnsi" w:hAnsi="Arial" w:cs="Arial"/>
        </w:rPr>
      </w:pPr>
    </w:p>
    <w:p w14:paraId="33480474" w14:textId="0A9863C3" w:rsidR="007F2EAC" w:rsidRPr="00056E5D" w:rsidRDefault="007F2EAC" w:rsidP="007F2EAC">
      <w:pPr>
        <w:pStyle w:val="ListParagraph"/>
        <w:numPr>
          <w:ilvl w:val="0"/>
          <w:numId w:val="33"/>
        </w:numPr>
        <w:ind w:left="720"/>
        <w:contextualSpacing w:val="0"/>
        <w:jc w:val="both"/>
        <w:rPr>
          <w:rFonts w:ascii="Arial" w:hAnsi="Arial" w:cs="Arial"/>
        </w:rPr>
      </w:pPr>
      <w:r w:rsidRPr="00056E5D">
        <w:rPr>
          <w:rFonts w:ascii="Arial" w:hAnsi="Arial" w:cs="Arial"/>
        </w:rPr>
        <w:t xml:space="preserve">be clearly labelled, with the critical information prominent and readable. </w:t>
      </w:r>
      <w:r w:rsidR="00AB7823">
        <w:rPr>
          <w:rFonts w:ascii="Arial" w:hAnsi="Arial" w:cs="Arial"/>
        </w:rPr>
        <w:t>The critical information is the generic name (NPCode name) of the medicine, the strength of the medicine, the form of the medicine, the route of administration and posology and warnings.</w:t>
      </w:r>
    </w:p>
    <w:p w14:paraId="44DD7764" w14:textId="77777777" w:rsidR="00280F75" w:rsidRPr="00280F75" w:rsidRDefault="00280F75" w:rsidP="00280F75">
      <w:pPr>
        <w:pStyle w:val="ListParagraph"/>
        <w:numPr>
          <w:ilvl w:val="0"/>
          <w:numId w:val="33"/>
        </w:numPr>
        <w:ind w:left="720"/>
        <w:contextualSpacing w:val="0"/>
        <w:jc w:val="both"/>
        <w:rPr>
          <w:rFonts w:ascii="Arial" w:hAnsi="Arial" w:cs="Arial"/>
        </w:rPr>
      </w:pPr>
      <w:r w:rsidRPr="00280F75">
        <w:rPr>
          <w:rFonts w:ascii="Arial" w:hAnsi="Arial" w:cs="Arial"/>
        </w:rPr>
        <w:t xml:space="preserve">be adequately differentiated from other medicines in the range (same molecule) and other Look Alike/Sound Alike medicines from the same manufacturer. Packaging and labelling (primary and secondary) will be considered poorly differentiated if there is no judicious use of colour or differentiation in text size or layout to emphasise the key differences in critical information. This applies to all primary and secondary packaging, and any printed overwraps </w:t>
      </w:r>
    </w:p>
    <w:p w14:paraId="7F3A0879" w14:textId="77777777" w:rsidR="00280F75" w:rsidRPr="00280F75" w:rsidRDefault="00280F75" w:rsidP="00280F75">
      <w:pPr>
        <w:pStyle w:val="ListParagraph"/>
        <w:numPr>
          <w:ilvl w:val="0"/>
          <w:numId w:val="33"/>
        </w:numPr>
        <w:ind w:left="720"/>
        <w:contextualSpacing w:val="0"/>
        <w:jc w:val="both"/>
        <w:rPr>
          <w:rFonts w:ascii="Arial" w:hAnsi="Arial" w:cs="Arial"/>
        </w:rPr>
      </w:pPr>
      <w:r w:rsidRPr="00280F75">
        <w:rPr>
          <w:rFonts w:ascii="Arial" w:hAnsi="Arial" w:cs="Arial"/>
        </w:rPr>
        <w:t>include sufficient, clearly presented technical information on the packaging or in the PIL to direct the intended user to prepare and administer the medicine safely</w:t>
      </w:r>
    </w:p>
    <w:p w14:paraId="7063FF4B" w14:textId="77777777" w:rsidR="00280F75" w:rsidRPr="00280F75" w:rsidRDefault="00280F75" w:rsidP="00280F75">
      <w:pPr>
        <w:pStyle w:val="ListParagraph"/>
        <w:ind w:left="1778"/>
        <w:jc w:val="both"/>
        <w:rPr>
          <w:rFonts w:ascii="Arial" w:hAnsi="Arial" w:cs="Arial"/>
        </w:rPr>
      </w:pPr>
    </w:p>
    <w:p w14:paraId="4745CB78" w14:textId="41C4D7BB" w:rsidR="00280F75" w:rsidRPr="00280F75" w:rsidRDefault="00280F75" w:rsidP="00280F75">
      <w:pPr>
        <w:pStyle w:val="ListParagraph"/>
        <w:numPr>
          <w:ilvl w:val="0"/>
          <w:numId w:val="31"/>
        </w:numPr>
        <w:jc w:val="both"/>
        <w:rPr>
          <w:rFonts w:ascii="Arial" w:hAnsi="Arial" w:cs="Arial"/>
        </w:rPr>
      </w:pPr>
      <w:r w:rsidRPr="00280F75">
        <w:rPr>
          <w:rFonts w:ascii="Arial" w:hAnsi="Arial" w:cs="Arial"/>
        </w:rPr>
        <w:t xml:space="preserve">For pre-labelled packs, the pre-label element must be incorporated into the carton artwork. </w:t>
      </w:r>
      <w:r>
        <w:rPr>
          <w:rFonts w:ascii="Arial" w:hAnsi="Arial" w:cs="Arial"/>
        </w:rPr>
        <w:t xml:space="preserve"> </w:t>
      </w:r>
      <w:r w:rsidRPr="00280F75">
        <w:rPr>
          <w:rFonts w:ascii="Arial" w:hAnsi="Arial" w:cs="Arial"/>
        </w:rPr>
        <w:t xml:space="preserve">Packs overlabelled with a separate label will be given No Score. </w:t>
      </w:r>
      <w:r>
        <w:rPr>
          <w:rFonts w:ascii="Arial" w:hAnsi="Arial" w:cs="Arial"/>
        </w:rPr>
        <w:t xml:space="preserve"> </w:t>
      </w:r>
      <w:r w:rsidRPr="00280F75">
        <w:rPr>
          <w:rFonts w:ascii="Arial" w:hAnsi="Arial" w:cs="Arial"/>
        </w:rPr>
        <w:t xml:space="preserve">The pre-label wording should either be in accordance with the pre-label specifications for each pre-labelled line, if included in the tender specification, or in accordance with the PIL and BNF warnings if there is no specified pre-label. </w:t>
      </w:r>
    </w:p>
    <w:p w14:paraId="5B9B91BC" w14:textId="77777777" w:rsidR="00280F75" w:rsidRPr="00280F75" w:rsidRDefault="00280F75" w:rsidP="00280F75">
      <w:pPr>
        <w:pStyle w:val="ListParagraph"/>
        <w:ind w:left="504"/>
        <w:jc w:val="both"/>
        <w:rPr>
          <w:rFonts w:ascii="Arial" w:eastAsiaTheme="minorHAnsi" w:hAnsi="Arial" w:cs="Arial"/>
        </w:rPr>
      </w:pPr>
    </w:p>
    <w:p w14:paraId="7A32BCA6" w14:textId="77777777" w:rsidR="00280F75" w:rsidRPr="00280F75" w:rsidRDefault="00280F75" w:rsidP="00280F75">
      <w:pPr>
        <w:pStyle w:val="ListParagraph"/>
        <w:numPr>
          <w:ilvl w:val="0"/>
          <w:numId w:val="31"/>
        </w:numPr>
        <w:jc w:val="both"/>
        <w:rPr>
          <w:rFonts w:ascii="Arial" w:hAnsi="Arial" w:cs="Arial"/>
        </w:rPr>
      </w:pPr>
      <w:r w:rsidRPr="00280F75">
        <w:rPr>
          <w:rFonts w:ascii="Arial" w:hAnsi="Arial" w:cs="Arial"/>
        </w:rPr>
        <w:t>Medicines should also comply with the general good practice principles set out in</w:t>
      </w:r>
    </w:p>
    <w:p w14:paraId="077C26F7" w14:textId="77777777" w:rsidR="00280F75" w:rsidRPr="00280F75" w:rsidRDefault="00280F75" w:rsidP="00280F75">
      <w:pPr>
        <w:pStyle w:val="ListParagraph"/>
        <w:ind w:left="504"/>
        <w:jc w:val="both"/>
        <w:rPr>
          <w:rFonts w:ascii="Arial" w:eastAsiaTheme="minorHAnsi" w:hAnsi="Arial" w:cs="Arial"/>
        </w:rPr>
      </w:pPr>
    </w:p>
    <w:p w14:paraId="40EF928B" w14:textId="77777777" w:rsidR="00280F75" w:rsidRPr="00280F75" w:rsidRDefault="00280F75" w:rsidP="00280F75">
      <w:pPr>
        <w:pStyle w:val="ListParagraph"/>
        <w:numPr>
          <w:ilvl w:val="1"/>
          <w:numId w:val="34"/>
        </w:numPr>
        <w:jc w:val="both"/>
        <w:rPr>
          <w:rFonts w:ascii="Arial" w:hAnsi="Arial" w:cs="Arial"/>
        </w:rPr>
      </w:pPr>
      <w:bookmarkStart w:id="3" w:name="_Hlk109889188"/>
      <w:r w:rsidRPr="00280F75">
        <w:rPr>
          <w:rFonts w:ascii="Arial" w:hAnsi="Arial" w:cs="Arial"/>
        </w:rPr>
        <w:t xml:space="preserve">Promoting safer use of injectable medicines (NPSA Alert 20, March 2007) </w:t>
      </w:r>
    </w:p>
    <w:p w14:paraId="41D5BCE8" w14:textId="77777777" w:rsidR="00280F75" w:rsidRPr="00280F75" w:rsidRDefault="00280F75" w:rsidP="00280F75">
      <w:pPr>
        <w:pStyle w:val="ListParagraph"/>
        <w:numPr>
          <w:ilvl w:val="1"/>
          <w:numId w:val="34"/>
        </w:numPr>
        <w:jc w:val="both"/>
        <w:rPr>
          <w:rFonts w:ascii="Arial" w:hAnsi="Arial" w:cs="Arial"/>
        </w:rPr>
      </w:pPr>
      <w:r w:rsidRPr="00280F75">
        <w:rPr>
          <w:rFonts w:ascii="Arial" w:hAnsi="Arial" w:cs="Arial"/>
        </w:rPr>
        <w:t>Design for patient safety: A guide to the graphic design of medication packaging (NPSA 0463A 2008)</w:t>
      </w:r>
    </w:p>
    <w:p w14:paraId="3FBCE507" w14:textId="77777777" w:rsidR="00280F75" w:rsidRPr="00280F75" w:rsidRDefault="00280F75" w:rsidP="00280F75">
      <w:pPr>
        <w:pStyle w:val="ListParagraph"/>
        <w:numPr>
          <w:ilvl w:val="1"/>
          <w:numId w:val="34"/>
        </w:numPr>
        <w:jc w:val="both"/>
        <w:rPr>
          <w:rFonts w:ascii="Arial" w:hAnsi="Arial" w:cs="Arial"/>
        </w:rPr>
      </w:pPr>
      <w:r w:rsidRPr="00280F75">
        <w:rPr>
          <w:rFonts w:ascii="Arial" w:hAnsi="Arial" w:cs="Arial"/>
        </w:rPr>
        <w:t xml:space="preserve">Design for patient safety: A guide to labelling and packaging of injectable medicines (NPSA 2008) ISBN: 978-1-906624-02-6 </w:t>
      </w:r>
    </w:p>
    <w:bookmarkEnd w:id="3"/>
    <w:p w14:paraId="4CAB01BA" w14:textId="77777777" w:rsidR="00280F75" w:rsidRPr="00280F75" w:rsidRDefault="00280F75" w:rsidP="00280F75">
      <w:pPr>
        <w:pStyle w:val="ListParagraph"/>
        <w:numPr>
          <w:ilvl w:val="1"/>
          <w:numId w:val="34"/>
        </w:numPr>
        <w:jc w:val="both"/>
        <w:rPr>
          <w:rFonts w:ascii="Arial" w:hAnsi="Arial" w:cs="Arial"/>
        </w:rPr>
      </w:pPr>
      <w:r w:rsidRPr="00280F75">
        <w:rPr>
          <w:rFonts w:ascii="Arial" w:hAnsi="Arial" w:cs="Arial"/>
        </w:rPr>
        <w:t xml:space="preserve">Best practice guidance on the labelling and packaging of medicines (MHRA December 2020) </w:t>
      </w:r>
    </w:p>
    <w:p w14:paraId="576E21A6" w14:textId="77777777" w:rsidR="00280F75" w:rsidRPr="00280F75" w:rsidRDefault="00280F75" w:rsidP="00280F75">
      <w:pPr>
        <w:jc w:val="both"/>
        <w:rPr>
          <w:rFonts w:ascii="Arial" w:hAnsi="Arial" w:cs="Arial"/>
          <w:sz w:val="24"/>
          <w:szCs w:val="24"/>
        </w:rPr>
      </w:pPr>
    </w:p>
    <w:p w14:paraId="370DB86B" w14:textId="77777777" w:rsidR="00280F75" w:rsidRPr="00280F75" w:rsidRDefault="00280F75" w:rsidP="00280F75">
      <w:pPr>
        <w:jc w:val="both"/>
        <w:rPr>
          <w:rFonts w:ascii="Arial" w:hAnsi="Arial" w:cs="Arial"/>
          <w:sz w:val="24"/>
          <w:szCs w:val="24"/>
        </w:rPr>
      </w:pPr>
    </w:p>
    <w:p w14:paraId="64E5955F" w14:textId="56A04416" w:rsidR="00DF5748" w:rsidRPr="00280F75" w:rsidRDefault="00DF5748" w:rsidP="00280F75">
      <w:pPr>
        <w:jc w:val="both"/>
        <w:rPr>
          <w:rFonts w:ascii="Arial" w:hAnsi="Arial" w:cs="Arial"/>
          <w:sz w:val="24"/>
          <w:szCs w:val="24"/>
        </w:rPr>
      </w:pPr>
    </w:p>
    <w:p w14:paraId="5D60F361" w14:textId="6B65C5F3" w:rsidR="00DF5748" w:rsidRPr="00280F75" w:rsidRDefault="00DF5748" w:rsidP="00280F75">
      <w:pPr>
        <w:jc w:val="both"/>
        <w:rPr>
          <w:rFonts w:ascii="Arial" w:hAnsi="Arial" w:cs="Arial"/>
          <w:sz w:val="24"/>
          <w:szCs w:val="24"/>
        </w:rPr>
      </w:pPr>
    </w:p>
    <w:p w14:paraId="145B9EA6" w14:textId="19E204A6" w:rsidR="00DF5748" w:rsidRPr="00280F75" w:rsidRDefault="00DF5748" w:rsidP="00280F75">
      <w:pPr>
        <w:jc w:val="both"/>
        <w:rPr>
          <w:rFonts w:ascii="Arial" w:hAnsi="Arial" w:cs="Arial"/>
          <w:sz w:val="24"/>
          <w:szCs w:val="24"/>
        </w:rPr>
      </w:pPr>
    </w:p>
    <w:p w14:paraId="0ED90C94" w14:textId="37C44D0D" w:rsidR="00DF5748" w:rsidRPr="00280F75" w:rsidRDefault="00DF5748" w:rsidP="00280F75">
      <w:pPr>
        <w:jc w:val="both"/>
        <w:rPr>
          <w:rFonts w:ascii="Arial" w:hAnsi="Arial" w:cs="Arial"/>
          <w:sz w:val="24"/>
          <w:szCs w:val="24"/>
        </w:rPr>
      </w:pPr>
    </w:p>
    <w:p w14:paraId="5F76CB4A" w14:textId="6B61B736" w:rsidR="00DF5748" w:rsidRPr="00280F75" w:rsidRDefault="00DF5748" w:rsidP="00280F75">
      <w:pPr>
        <w:jc w:val="both"/>
        <w:rPr>
          <w:rFonts w:ascii="Arial" w:hAnsi="Arial" w:cs="Arial"/>
          <w:sz w:val="24"/>
          <w:szCs w:val="24"/>
        </w:rPr>
      </w:pPr>
    </w:p>
    <w:p w14:paraId="1EBE90F3" w14:textId="41BD3F6D" w:rsidR="00DF5748" w:rsidRDefault="00DF5748" w:rsidP="00280F75">
      <w:pPr>
        <w:jc w:val="both"/>
        <w:rPr>
          <w:noProof/>
        </w:rPr>
      </w:pPr>
      <w:r>
        <w:rPr>
          <w:noProof/>
        </w:rPr>
        <w:drawing>
          <wp:inline distT="0" distB="0" distL="0" distR="0" wp14:anchorId="63530C86" wp14:editId="4312FB58">
            <wp:extent cx="5295900" cy="7200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95900" cy="7200900"/>
                    </a:xfrm>
                    <a:prstGeom prst="rect">
                      <a:avLst/>
                    </a:prstGeom>
                    <a:noFill/>
                    <a:ln>
                      <a:noFill/>
                    </a:ln>
                  </pic:spPr>
                </pic:pic>
              </a:graphicData>
            </a:graphic>
          </wp:inline>
        </w:drawing>
      </w:r>
    </w:p>
    <w:p w14:paraId="14370866" w14:textId="5784B0B0" w:rsidR="00DF5748" w:rsidRPr="00DF5748" w:rsidRDefault="00DF5748" w:rsidP="00280F75">
      <w:pPr>
        <w:jc w:val="both"/>
      </w:pPr>
    </w:p>
    <w:p w14:paraId="187B414F" w14:textId="1615E9E2" w:rsidR="00DF5748" w:rsidRDefault="00DF5748" w:rsidP="00280F75">
      <w:pPr>
        <w:jc w:val="both"/>
        <w:rPr>
          <w:noProof/>
        </w:rPr>
      </w:pPr>
    </w:p>
    <w:p w14:paraId="61BA3FF1" w14:textId="4133ED46" w:rsidR="00CE1D87" w:rsidRDefault="00CE1D87" w:rsidP="00280F75">
      <w:pPr>
        <w:jc w:val="both"/>
        <w:rPr>
          <w:noProof/>
        </w:rPr>
      </w:pPr>
    </w:p>
    <w:p w14:paraId="00225F6A" w14:textId="41B315D6" w:rsidR="00CE1D87" w:rsidRDefault="00CE1D87" w:rsidP="00280F75">
      <w:pPr>
        <w:jc w:val="both"/>
        <w:rPr>
          <w:noProof/>
        </w:rPr>
      </w:pPr>
    </w:p>
    <w:p w14:paraId="0E5992A8" w14:textId="1D5BE5B7" w:rsidR="00CE1D87" w:rsidRDefault="00CE1D87" w:rsidP="00280F75">
      <w:pPr>
        <w:jc w:val="both"/>
        <w:rPr>
          <w:noProof/>
        </w:rPr>
      </w:pPr>
    </w:p>
    <w:p w14:paraId="6988572C" w14:textId="77777777" w:rsidR="00CE1D87" w:rsidRDefault="00CE1D87" w:rsidP="00280F75">
      <w:pPr>
        <w:jc w:val="both"/>
        <w:rPr>
          <w:noProof/>
        </w:rPr>
      </w:pPr>
    </w:p>
    <w:p w14:paraId="4D3726CA" w14:textId="1058A508" w:rsidR="00DF5748" w:rsidRDefault="00DF5748" w:rsidP="00280F75">
      <w:pPr>
        <w:tabs>
          <w:tab w:val="left" w:pos="2028"/>
        </w:tabs>
        <w:jc w:val="both"/>
      </w:pPr>
      <w:r>
        <w:tab/>
      </w:r>
    </w:p>
    <w:p w14:paraId="33BFD6DC" w14:textId="61A27D2D" w:rsidR="00DF5748" w:rsidRDefault="00DF5748" w:rsidP="00280F75">
      <w:pPr>
        <w:tabs>
          <w:tab w:val="left" w:pos="2028"/>
        </w:tabs>
        <w:jc w:val="both"/>
      </w:pPr>
    </w:p>
    <w:p w14:paraId="31A91D96" w14:textId="3FE0CF18" w:rsidR="00DF5748" w:rsidRDefault="00DF5748" w:rsidP="00280F75">
      <w:pPr>
        <w:tabs>
          <w:tab w:val="left" w:pos="2028"/>
        </w:tabs>
        <w:jc w:val="both"/>
      </w:pPr>
    </w:p>
    <w:p w14:paraId="52BD7206" w14:textId="5BD3B585" w:rsidR="00DF5748" w:rsidRDefault="00DF5748" w:rsidP="00280F75">
      <w:pPr>
        <w:autoSpaceDE w:val="0"/>
        <w:autoSpaceDN w:val="0"/>
        <w:adjustRightInd w:val="0"/>
        <w:jc w:val="both"/>
        <w:rPr>
          <w:rFonts w:ascii="Arial" w:eastAsiaTheme="minorHAnsi" w:hAnsi="Arial" w:cs="Arial"/>
          <w:color w:val="000000"/>
          <w:sz w:val="23"/>
          <w:szCs w:val="23"/>
        </w:rPr>
      </w:pPr>
      <w:r w:rsidRPr="00DF5748">
        <w:rPr>
          <w:rFonts w:ascii="Arial" w:eastAsiaTheme="minorHAnsi" w:hAnsi="Arial" w:cs="Arial"/>
          <w:color w:val="000000"/>
          <w:sz w:val="23"/>
          <w:szCs w:val="23"/>
        </w:rPr>
        <w:lastRenderedPageBreak/>
        <w:t xml:space="preserve">This document has been produced on behalf of the NHS Pharmaceutical Quality Assurance Committee, the NHS Pharmaceutical Production Committee and the NHS Pharmaceutical Aseptic Services Group by the NHS Pharmaceutical Research and Development Working Group. Membership of the NHS Pharmaceutical Research and Development Working Group is shown below. </w:t>
      </w:r>
    </w:p>
    <w:p w14:paraId="63E7A148" w14:textId="77777777" w:rsidR="00525B7F" w:rsidRPr="00DF5748" w:rsidRDefault="00525B7F" w:rsidP="00280F75">
      <w:pPr>
        <w:autoSpaceDE w:val="0"/>
        <w:autoSpaceDN w:val="0"/>
        <w:adjustRightInd w:val="0"/>
        <w:jc w:val="both"/>
        <w:rPr>
          <w:rFonts w:ascii="Arial" w:eastAsiaTheme="minorHAnsi" w:hAnsi="Arial" w:cs="Arial"/>
          <w:color w:val="000000"/>
          <w:sz w:val="23"/>
          <w:szCs w:val="23"/>
        </w:rPr>
      </w:pPr>
    </w:p>
    <w:p w14:paraId="48CC448B" w14:textId="48232B8F" w:rsidR="00DF5748" w:rsidRDefault="00DF5748" w:rsidP="00280F75">
      <w:pPr>
        <w:autoSpaceDE w:val="0"/>
        <w:autoSpaceDN w:val="0"/>
        <w:adjustRightInd w:val="0"/>
        <w:jc w:val="both"/>
        <w:rPr>
          <w:rFonts w:ascii="Arial" w:eastAsiaTheme="minorHAnsi" w:hAnsi="Arial" w:cs="Arial"/>
          <w:color w:val="000000"/>
          <w:sz w:val="23"/>
          <w:szCs w:val="23"/>
        </w:rPr>
      </w:pPr>
      <w:r w:rsidRPr="00DF5748">
        <w:rPr>
          <w:rFonts w:ascii="Arial" w:eastAsiaTheme="minorHAnsi" w:hAnsi="Arial" w:cs="Arial"/>
          <w:color w:val="000000"/>
          <w:sz w:val="23"/>
          <w:szCs w:val="23"/>
        </w:rPr>
        <w:t xml:space="preserve">Mark Santillo (Chair), Regional Quality Assurance Officer, Torbay &amp; South Devon NHS Foundation Trust. </w:t>
      </w:r>
    </w:p>
    <w:p w14:paraId="084AF614" w14:textId="77777777" w:rsidR="00525B7F" w:rsidRPr="00DF5748" w:rsidRDefault="00525B7F" w:rsidP="00280F75">
      <w:pPr>
        <w:autoSpaceDE w:val="0"/>
        <w:autoSpaceDN w:val="0"/>
        <w:adjustRightInd w:val="0"/>
        <w:jc w:val="both"/>
        <w:rPr>
          <w:rFonts w:ascii="Arial" w:eastAsiaTheme="minorHAnsi" w:hAnsi="Arial" w:cs="Arial"/>
          <w:color w:val="000000"/>
          <w:sz w:val="23"/>
          <w:szCs w:val="23"/>
        </w:rPr>
      </w:pPr>
    </w:p>
    <w:p w14:paraId="5F6E65B5" w14:textId="3ECF0AAC" w:rsidR="00DF5748" w:rsidRDefault="00DF5748" w:rsidP="00280F75">
      <w:pPr>
        <w:autoSpaceDE w:val="0"/>
        <w:autoSpaceDN w:val="0"/>
        <w:adjustRightInd w:val="0"/>
        <w:jc w:val="both"/>
        <w:rPr>
          <w:rFonts w:ascii="Arial" w:eastAsiaTheme="minorHAnsi" w:hAnsi="Arial" w:cs="Arial"/>
          <w:color w:val="000000"/>
          <w:sz w:val="23"/>
          <w:szCs w:val="23"/>
        </w:rPr>
      </w:pPr>
      <w:r w:rsidRPr="00DF5748">
        <w:rPr>
          <w:rFonts w:ascii="Arial" w:eastAsiaTheme="minorHAnsi" w:hAnsi="Arial" w:cs="Arial"/>
          <w:color w:val="000000"/>
          <w:sz w:val="23"/>
          <w:szCs w:val="23"/>
        </w:rPr>
        <w:t xml:space="preserve">Peter Austin, Consultant Pharmacist and Team Pharmacist Lead, Oxford University Hospitals NHS Foundation Trust. </w:t>
      </w:r>
    </w:p>
    <w:p w14:paraId="27D9452C" w14:textId="77777777" w:rsidR="00525B7F" w:rsidRPr="00DF5748" w:rsidRDefault="00525B7F" w:rsidP="00280F75">
      <w:pPr>
        <w:autoSpaceDE w:val="0"/>
        <w:autoSpaceDN w:val="0"/>
        <w:adjustRightInd w:val="0"/>
        <w:jc w:val="both"/>
        <w:rPr>
          <w:rFonts w:ascii="Arial" w:eastAsiaTheme="minorHAnsi" w:hAnsi="Arial" w:cs="Arial"/>
          <w:color w:val="000000"/>
          <w:sz w:val="23"/>
          <w:szCs w:val="23"/>
        </w:rPr>
      </w:pPr>
    </w:p>
    <w:p w14:paraId="2940A919" w14:textId="553F76E9" w:rsidR="00DF5748" w:rsidRDefault="00DF5748" w:rsidP="00280F75">
      <w:pPr>
        <w:autoSpaceDE w:val="0"/>
        <w:autoSpaceDN w:val="0"/>
        <w:adjustRightInd w:val="0"/>
        <w:jc w:val="both"/>
        <w:rPr>
          <w:rFonts w:ascii="Arial" w:eastAsiaTheme="minorHAnsi" w:hAnsi="Arial" w:cs="Arial"/>
          <w:color w:val="000000"/>
          <w:sz w:val="23"/>
          <w:szCs w:val="23"/>
        </w:rPr>
      </w:pPr>
      <w:r w:rsidRPr="00DF5748">
        <w:rPr>
          <w:rFonts w:ascii="Arial" w:eastAsiaTheme="minorHAnsi" w:hAnsi="Arial" w:cs="Arial"/>
          <w:color w:val="000000"/>
          <w:sz w:val="23"/>
          <w:szCs w:val="23"/>
        </w:rPr>
        <w:t xml:space="preserve">Caroline Campbell, Laboratory Manager, Quality Control Laboratory, Newcastle upon Tyne Hospitals NHS Foundation Trust. </w:t>
      </w:r>
    </w:p>
    <w:p w14:paraId="7EC19EE2" w14:textId="77777777" w:rsidR="00525B7F" w:rsidRPr="00DF5748" w:rsidRDefault="00525B7F" w:rsidP="00280F75">
      <w:pPr>
        <w:autoSpaceDE w:val="0"/>
        <w:autoSpaceDN w:val="0"/>
        <w:adjustRightInd w:val="0"/>
        <w:jc w:val="both"/>
        <w:rPr>
          <w:rFonts w:ascii="Arial" w:eastAsiaTheme="minorHAnsi" w:hAnsi="Arial" w:cs="Arial"/>
          <w:color w:val="000000"/>
          <w:sz w:val="23"/>
          <w:szCs w:val="23"/>
        </w:rPr>
      </w:pPr>
    </w:p>
    <w:p w14:paraId="30A3DD7A" w14:textId="64F946ED" w:rsidR="00DF5748" w:rsidRDefault="00DF5748" w:rsidP="00280F75">
      <w:pPr>
        <w:autoSpaceDE w:val="0"/>
        <w:autoSpaceDN w:val="0"/>
        <w:adjustRightInd w:val="0"/>
        <w:jc w:val="both"/>
        <w:rPr>
          <w:rFonts w:ascii="Arial" w:eastAsiaTheme="minorHAnsi" w:hAnsi="Arial" w:cs="Arial"/>
          <w:color w:val="000000"/>
          <w:sz w:val="23"/>
          <w:szCs w:val="23"/>
        </w:rPr>
      </w:pPr>
      <w:r w:rsidRPr="00DF5748">
        <w:rPr>
          <w:rFonts w:ascii="Arial" w:eastAsiaTheme="minorHAnsi" w:hAnsi="Arial" w:cs="Arial"/>
          <w:color w:val="000000"/>
          <w:sz w:val="23"/>
          <w:szCs w:val="23"/>
        </w:rPr>
        <w:t xml:space="preserve">Lyndsay Davies Senior Pharmaceutical Biochemistry Analyst, Quality Control North West (Liverpool). </w:t>
      </w:r>
    </w:p>
    <w:p w14:paraId="4A22D1A2" w14:textId="77777777" w:rsidR="00525B7F" w:rsidRPr="00DF5748" w:rsidRDefault="00525B7F" w:rsidP="00280F75">
      <w:pPr>
        <w:autoSpaceDE w:val="0"/>
        <w:autoSpaceDN w:val="0"/>
        <w:adjustRightInd w:val="0"/>
        <w:jc w:val="both"/>
        <w:rPr>
          <w:rFonts w:ascii="Arial" w:eastAsiaTheme="minorHAnsi" w:hAnsi="Arial" w:cs="Arial"/>
          <w:color w:val="000000"/>
          <w:sz w:val="23"/>
          <w:szCs w:val="23"/>
        </w:rPr>
      </w:pPr>
    </w:p>
    <w:p w14:paraId="50AE4C00" w14:textId="77777777" w:rsidR="00525B7F" w:rsidRDefault="00DF5748" w:rsidP="00280F75">
      <w:pPr>
        <w:autoSpaceDE w:val="0"/>
        <w:autoSpaceDN w:val="0"/>
        <w:adjustRightInd w:val="0"/>
        <w:jc w:val="both"/>
        <w:rPr>
          <w:rFonts w:ascii="Arial" w:eastAsiaTheme="minorHAnsi" w:hAnsi="Arial" w:cs="Arial"/>
          <w:color w:val="000000"/>
          <w:sz w:val="23"/>
          <w:szCs w:val="23"/>
        </w:rPr>
      </w:pPr>
      <w:r w:rsidRPr="00DF5748">
        <w:rPr>
          <w:rFonts w:ascii="Arial" w:eastAsiaTheme="minorHAnsi" w:hAnsi="Arial" w:cs="Arial"/>
          <w:color w:val="000000"/>
          <w:sz w:val="23"/>
          <w:szCs w:val="23"/>
        </w:rPr>
        <w:t>Chris Marks, Scientific Officer, Regional Quality Control, North Bristol NHS Trust.</w:t>
      </w:r>
    </w:p>
    <w:p w14:paraId="19747068" w14:textId="34D0FE08" w:rsidR="00DF5748" w:rsidRPr="00DF5748" w:rsidRDefault="00DF5748" w:rsidP="00280F75">
      <w:pPr>
        <w:autoSpaceDE w:val="0"/>
        <w:autoSpaceDN w:val="0"/>
        <w:adjustRightInd w:val="0"/>
        <w:jc w:val="both"/>
        <w:rPr>
          <w:rFonts w:ascii="Arial" w:eastAsiaTheme="minorHAnsi" w:hAnsi="Arial" w:cs="Arial"/>
          <w:color w:val="000000"/>
          <w:sz w:val="23"/>
          <w:szCs w:val="23"/>
        </w:rPr>
      </w:pPr>
      <w:r w:rsidRPr="00DF5748">
        <w:rPr>
          <w:rFonts w:ascii="Arial" w:eastAsiaTheme="minorHAnsi" w:hAnsi="Arial" w:cs="Arial"/>
          <w:color w:val="000000"/>
          <w:sz w:val="23"/>
          <w:szCs w:val="23"/>
        </w:rPr>
        <w:t xml:space="preserve"> </w:t>
      </w:r>
    </w:p>
    <w:p w14:paraId="23090C84" w14:textId="49A686B3" w:rsidR="00DF5748" w:rsidRDefault="00DF5748" w:rsidP="00280F75">
      <w:pPr>
        <w:autoSpaceDE w:val="0"/>
        <w:autoSpaceDN w:val="0"/>
        <w:adjustRightInd w:val="0"/>
        <w:jc w:val="both"/>
        <w:rPr>
          <w:rFonts w:ascii="Arial" w:eastAsiaTheme="minorHAnsi" w:hAnsi="Arial" w:cs="Arial"/>
          <w:color w:val="000000"/>
          <w:sz w:val="23"/>
          <w:szCs w:val="23"/>
        </w:rPr>
      </w:pPr>
      <w:r w:rsidRPr="00DF5748">
        <w:rPr>
          <w:rFonts w:ascii="Arial" w:eastAsiaTheme="minorHAnsi" w:hAnsi="Arial" w:cs="Arial"/>
          <w:color w:val="000000"/>
          <w:sz w:val="23"/>
          <w:szCs w:val="23"/>
        </w:rPr>
        <w:t xml:space="preserve">Andrew Merriman, Lead Quality Assurance and Technical Services Pharmacist, Betsi Cadwaladr University Health Board. </w:t>
      </w:r>
    </w:p>
    <w:p w14:paraId="148A4DAF" w14:textId="77777777" w:rsidR="00525B7F" w:rsidRPr="00DF5748" w:rsidRDefault="00525B7F" w:rsidP="00280F75">
      <w:pPr>
        <w:autoSpaceDE w:val="0"/>
        <w:autoSpaceDN w:val="0"/>
        <w:adjustRightInd w:val="0"/>
        <w:jc w:val="both"/>
        <w:rPr>
          <w:rFonts w:ascii="Arial" w:eastAsiaTheme="minorHAnsi" w:hAnsi="Arial" w:cs="Arial"/>
          <w:color w:val="000000"/>
          <w:sz w:val="23"/>
          <w:szCs w:val="23"/>
        </w:rPr>
      </w:pPr>
    </w:p>
    <w:p w14:paraId="2D31E96A" w14:textId="18D2DF16" w:rsidR="00DF5748" w:rsidRDefault="00DF5748" w:rsidP="00280F75">
      <w:pPr>
        <w:autoSpaceDE w:val="0"/>
        <w:autoSpaceDN w:val="0"/>
        <w:adjustRightInd w:val="0"/>
        <w:jc w:val="both"/>
        <w:rPr>
          <w:rFonts w:ascii="Arial" w:eastAsiaTheme="minorHAnsi" w:hAnsi="Arial" w:cs="Arial"/>
          <w:color w:val="000000"/>
          <w:sz w:val="23"/>
          <w:szCs w:val="23"/>
        </w:rPr>
      </w:pPr>
      <w:r w:rsidRPr="00DF5748">
        <w:rPr>
          <w:rFonts w:ascii="Arial" w:eastAsiaTheme="minorHAnsi" w:hAnsi="Arial" w:cs="Arial"/>
          <w:color w:val="000000"/>
          <w:sz w:val="23"/>
          <w:szCs w:val="23"/>
        </w:rPr>
        <w:t xml:space="preserve">Adam Millington, Specialist Pharmacist - Production Services and Clinical Trials, Nottingham University Hospitals NHS Trust. </w:t>
      </w:r>
    </w:p>
    <w:p w14:paraId="6CC4FE6B" w14:textId="77777777" w:rsidR="00525B7F" w:rsidRPr="00DF5748" w:rsidRDefault="00525B7F" w:rsidP="00280F75">
      <w:pPr>
        <w:autoSpaceDE w:val="0"/>
        <w:autoSpaceDN w:val="0"/>
        <w:adjustRightInd w:val="0"/>
        <w:jc w:val="both"/>
        <w:rPr>
          <w:rFonts w:ascii="Arial" w:eastAsiaTheme="minorHAnsi" w:hAnsi="Arial" w:cs="Arial"/>
          <w:color w:val="000000"/>
          <w:sz w:val="23"/>
          <w:szCs w:val="23"/>
        </w:rPr>
      </w:pPr>
    </w:p>
    <w:p w14:paraId="1C03BF00" w14:textId="77777777" w:rsidR="00525B7F" w:rsidRDefault="00DF5748" w:rsidP="00280F75">
      <w:pPr>
        <w:autoSpaceDE w:val="0"/>
        <w:autoSpaceDN w:val="0"/>
        <w:adjustRightInd w:val="0"/>
        <w:jc w:val="both"/>
        <w:rPr>
          <w:rFonts w:ascii="Arial" w:eastAsiaTheme="minorHAnsi" w:hAnsi="Arial" w:cs="Arial"/>
          <w:color w:val="000000"/>
          <w:sz w:val="23"/>
          <w:szCs w:val="23"/>
        </w:rPr>
      </w:pPr>
      <w:r w:rsidRPr="00DF5748">
        <w:rPr>
          <w:rFonts w:ascii="Arial" w:eastAsiaTheme="minorHAnsi" w:hAnsi="Arial" w:cs="Arial"/>
          <w:color w:val="000000"/>
          <w:sz w:val="23"/>
          <w:szCs w:val="23"/>
        </w:rPr>
        <w:t>Phil Weir, Principal Scientist – Head of Scientific Services, Quality Control North West (Stockport).</w:t>
      </w:r>
    </w:p>
    <w:p w14:paraId="6ED44998" w14:textId="5C614E3F" w:rsidR="00DF5748" w:rsidRPr="00DF5748" w:rsidRDefault="00DF5748" w:rsidP="00280F75">
      <w:pPr>
        <w:autoSpaceDE w:val="0"/>
        <w:autoSpaceDN w:val="0"/>
        <w:adjustRightInd w:val="0"/>
        <w:jc w:val="both"/>
        <w:rPr>
          <w:rFonts w:ascii="Arial" w:eastAsiaTheme="minorHAnsi" w:hAnsi="Arial" w:cs="Arial"/>
          <w:color w:val="000000"/>
          <w:sz w:val="23"/>
          <w:szCs w:val="23"/>
        </w:rPr>
      </w:pPr>
      <w:r w:rsidRPr="00DF5748">
        <w:rPr>
          <w:rFonts w:ascii="Arial" w:eastAsiaTheme="minorHAnsi" w:hAnsi="Arial" w:cs="Arial"/>
          <w:color w:val="000000"/>
          <w:sz w:val="23"/>
          <w:szCs w:val="23"/>
        </w:rPr>
        <w:t xml:space="preserve"> </w:t>
      </w:r>
    </w:p>
    <w:p w14:paraId="2E75B020" w14:textId="27DA2D72" w:rsidR="00DF5748" w:rsidRDefault="00525B7F" w:rsidP="00280F75">
      <w:pPr>
        <w:tabs>
          <w:tab w:val="left" w:pos="2028"/>
        </w:tabs>
        <w:jc w:val="both"/>
        <w:rPr>
          <w:rFonts w:ascii="Arial" w:hAnsi="Arial" w:cs="Arial"/>
          <w:sz w:val="23"/>
          <w:szCs w:val="23"/>
        </w:rPr>
      </w:pPr>
      <w:r w:rsidRPr="00525B7F">
        <w:rPr>
          <w:rFonts w:ascii="Arial" w:hAnsi="Arial" w:cs="Arial"/>
          <w:sz w:val="23"/>
          <w:szCs w:val="23"/>
        </w:rPr>
        <w:t>Industrial, academic and regulatory experts have been consulted in the preparation of this protocol.</w:t>
      </w:r>
    </w:p>
    <w:p w14:paraId="780E45A1" w14:textId="56921BCF" w:rsidR="00525B7F" w:rsidRDefault="00525B7F" w:rsidP="00280F75">
      <w:pPr>
        <w:tabs>
          <w:tab w:val="left" w:pos="2028"/>
        </w:tabs>
        <w:jc w:val="both"/>
        <w:rPr>
          <w:rFonts w:ascii="Arial" w:hAnsi="Arial" w:cs="Arial"/>
          <w:sz w:val="23"/>
          <w:szCs w:val="23"/>
        </w:rPr>
      </w:pPr>
    </w:p>
    <w:p w14:paraId="3E41CAD0" w14:textId="36E1E01D" w:rsidR="00525B7F" w:rsidRDefault="00525B7F" w:rsidP="00280F75">
      <w:pPr>
        <w:tabs>
          <w:tab w:val="left" w:pos="2028"/>
        </w:tabs>
        <w:jc w:val="both"/>
        <w:rPr>
          <w:rFonts w:ascii="Arial" w:hAnsi="Arial" w:cs="Arial"/>
        </w:rPr>
      </w:pPr>
      <w:r>
        <w:rPr>
          <w:noProof/>
        </w:rPr>
        <w:drawing>
          <wp:inline distT="0" distB="0" distL="0" distR="0" wp14:anchorId="082A4B46" wp14:editId="59967F6A">
            <wp:extent cx="5657850" cy="31432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657850" cy="3143250"/>
                    </a:xfrm>
                    <a:prstGeom prst="rect">
                      <a:avLst/>
                    </a:prstGeom>
                  </pic:spPr>
                </pic:pic>
              </a:graphicData>
            </a:graphic>
          </wp:inline>
        </w:drawing>
      </w:r>
    </w:p>
    <w:p w14:paraId="429760BD" w14:textId="77777777" w:rsidR="00280F75" w:rsidRDefault="00280F75" w:rsidP="00280F75">
      <w:pPr>
        <w:jc w:val="both"/>
        <w:rPr>
          <w:rFonts w:ascii="Arial" w:hAnsi="Arial" w:cs="Arial"/>
        </w:rPr>
      </w:pPr>
    </w:p>
    <w:p w14:paraId="64AC9B63" w14:textId="51ECD80A" w:rsidR="00525B7F" w:rsidRPr="00525B7F" w:rsidRDefault="00525B7F" w:rsidP="00280F75">
      <w:pPr>
        <w:autoSpaceDE w:val="0"/>
        <w:autoSpaceDN w:val="0"/>
        <w:adjustRightInd w:val="0"/>
        <w:jc w:val="both"/>
        <w:rPr>
          <w:rFonts w:ascii="Arial" w:eastAsiaTheme="minorHAnsi" w:hAnsi="Arial" w:cs="Arial"/>
          <w:b/>
          <w:bCs/>
          <w:color w:val="000000"/>
          <w:sz w:val="23"/>
          <w:szCs w:val="23"/>
        </w:rPr>
      </w:pPr>
      <w:r>
        <w:rPr>
          <w:rFonts w:ascii="Arial" w:eastAsiaTheme="minorHAnsi" w:hAnsi="Arial" w:cs="Arial"/>
          <w:b/>
          <w:bCs/>
          <w:color w:val="000000"/>
          <w:sz w:val="23"/>
          <w:szCs w:val="23"/>
        </w:rPr>
        <w:lastRenderedPageBreak/>
        <w:t xml:space="preserve">1. </w:t>
      </w:r>
      <w:r w:rsidRPr="00525B7F">
        <w:rPr>
          <w:rFonts w:ascii="Arial" w:eastAsiaTheme="minorHAnsi" w:hAnsi="Arial" w:cs="Arial"/>
          <w:b/>
          <w:bCs/>
          <w:color w:val="000000"/>
          <w:sz w:val="23"/>
          <w:szCs w:val="23"/>
          <w:u w:val="single"/>
        </w:rPr>
        <w:t>Scope</w:t>
      </w:r>
    </w:p>
    <w:p w14:paraId="2D31F3BE" w14:textId="28B28BDE" w:rsidR="00525B7F" w:rsidRPr="00525B7F" w:rsidRDefault="00525B7F" w:rsidP="00280F75">
      <w:pPr>
        <w:autoSpaceDE w:val="0"/>
        <w:autoSpaceDN w:val="0"/>
        <w:adjustRightInd w:val="0"/>
        <w:ind w:left="360"/>
        <w:jc w:val="both"/>
        <w:rPr>
          <w:rFonts w:ascii="Arial" w:eastAsiaTheme="minorHAnsi" w:hAnsi="Arial" w:cs="Arial"/>
          <w:b/>
          <w:bCs/>
          <w:color w:val="000000"/>
          <w:sz w:val="23"/>
          <w:szCs w:val="23"/>
        </w:rPr>
      </w:pPr>
      <w:r w:rsidRPr="00525B7F">
        <w:rPr>
          <w:rFonts w:ascii="Arial" w:eastAsiaTheme="minorHAnsi" w:hAnsi="Arial" w:cs="Arial"/>
          <w:b/>
          <w:bCs/>
          <w:color w:val="000000"/>
          <w:sz w:val="23"/>
          <w:szCs w:val="23"/>
        </w:rPr>
        <w:t xml:space="preserve"> </w:t>
      </w:r>
    </w:p>
    <w:p w14:paraId="706086E7" w14:textId="4BBD5EA8" w:rsidR="00525B7F" w:rsidRDefault="00525B7F" w:rsidP="00280F75">
      <w:pPr>
        <w:autoSpaceDE w:val="0"/>
        <w:autoSpaceDN w:val="0"/>
        <w:adjustRightInd w:val="0"/>
        <w:jc w:val="both"/>
        <w:rPr>
          <w:rFonts w:ascii="Arial" w:eastAsiaTheme="minorHAnsi" w:hAnsi="Arial" w:cs="Arial"/>
          <w:color w:val="000000"/>
          <w:sz w:val="23"/>
          <w:szCs w:val="23"/>
        </w:rPr>
      </w:pPr>
      <w:r w:rsidRPr="00525B7F">
        <w:rPr>
          <w:rFonts w:ascii="Arial" w:eastAsiaTheme="minorHAnsi" w:hAnsi="Arial" w:cs="Arial"/>
          <w:color w:val="000000"/>
          <w:sz w:val="23"/>
          <w:szCs w:val="23"/>
        </w:rPr>
        <w:t xml:space="preserve">Standards produced by the NHS Pharmaceutical Quality Assurance Committee and its sub-committees are produced with a distinctive yellow cover and are therefore known as Yellow Cover Documents (YCDs). This document, produced by the Pharmaceutical Research and Development Group, is the first in a series looking at stability of pharmaceuticals. </w:t>
      </w:r>
    </w:p>
    <w:p w14:paraId="3AE538EF" w14:textId="77777777" w:rsidR="00525B7F" w:rsidRPr="00525B7F" w:rsidRDefault="00525B7F" w:rsidP="00280F75">
      <w:pPr>
        <w:autoSpaceDE w:val="0"/>
        <w:autoSpaceDN w:val="0"/>
        <w:adjustRightInd w:val="0"/>
        <w:jc w:val="both"/>
        <w:rPr>
          <w:rFonts w:ascii="Arial" w:eastAsiaTheme="minorHAnsi" w:hAnsi="Arial" w:cs="Arial"/>
          <w:color w:val="000000"/>
          <w:sz w:val="23"/>
          <w:szCs w:val="23"/>
        </w:rPr>
      </w:pPr>
    </w:p>
    <w:p w14:paraId="422445AD" w14:textId="2AC8D6F1" w:rsidR="00525B7F" w:rsidRDefault="00525B7F" w:rsidP="00280F75">
      <w:pPr>
        <w:autoSpaceDE w:val="0"/>
        <w:autoSpaceDN w:val="0"/>
        <w:adjustRightInd w:val="0"/>
        <w:jc w:val="both"/>
        <w:rPr>
          <w:rFonts w:ascii="Arial" w:eastAsiaTheme="minorHAnsi" w:hAnsi="Arial" w:cs="Arial"/>
          <w:color w:val="000000"/>
          <w:sz w:val="23"/>
          <w:szCs w:val="23"/>
        </w:rPr>
      </w:pPr>
      <w:r w:rsidRPr="00525B7F">
        <w:rPr>
          <w:rFonts w:ascii="Arial" w:eastAsiaTheme="minorHAnsi" w:hAnsi="Arial" w:cs="Arial"/>
          <w:color w:val="000000"/>
          <w:sz w:val="23"/>
          <w:szCs w:val="23"/>
        </w:rPr>
        <w:t>This YCD applies to small molecule products of all presentations prepared by aseptic manipulation of sterile pharmaceutical products. In this context, a small molecule is defined as a medicinal drug compound having a molecular weight of less than 2000 Daltons, with two main exceptions. The first exception is any medicinal drug compound comprised of peptide sequences and the second exception are small molecule products produced using sterilisation by filtration that is followed by aseptic filling. For Biopharmaceuticals please refer to A Standard Protocol for Deriving and Assessment of Stability: Part 2 - Aseptic Preparations (Biopharmaceuticals)</w:t>
      </w:r>
      <w:r w:rsidRPr="00525B7F">
        <w:rPr>
          <w:rFonts w:ascii="Arial" w:eastAsiaTheme="minorHAnsi" w:hAnsi="Arial" w:cs="Arial"/>
          <w:color w:val="000000"/>
          <w:sz w:val="16"/>
          <w:szCs w:val="16"/>
        </w:rPr>
        <w:t>1</w:t>
      </w:r>
      <w:r w:rsidRPr="00525B7F">
        <w:rPr>
          <w:rFonts w:ascii="Arial" w:eastAsiaTheme="minorHAnsi" w:hAnsi="Arial" w:cs="Arial"/>
          <w:color w:val="000000"/>
          <w:sz w:val="23"/>
          <w:szCs w:val="23"/>
        </w:rPr>
        <w:t xml:space="preserve">. </w:t>
      </w:r>
    </w:p>
    <w:p w14:paraId="75EAA128" w14:textId="77777777" w:rsidR="00525B7F" w:rsidRPr="00525B7F" w:rsidRDefault="00525B7F" w:rsidP="00280F75">
      <w:pPr>
        <w:autoSpaceDE w:val="0"/>
        <w:autoSpaceDN w:val="0"/>
        <w:adjustRightInd w:val="0"/>
        <w:jc w:val="both"/>
        <w:rPr>
          <w:rFonts w:ascii="Arial" w:eastAsiaTheme="minorHAnsi" w:hAnsi="Arial" w:cs="Arial"/>
          <w:color w:val="000000"/>
          <w:sz w:val="23"/>
          <w:szCs w:val="23"/>
        </w:rPr>
      </w:pPr>
    </w:p>
    <w:p w14:paraId="0491DE22" w14:textId="77777777" w:rsidR="00525B7F" w:rsidRPr="00525B7F" w:rsidRDefault="00525B7F" w:rsidP="00280F75">
      <w:pPr>
        <w:autoSpaceDE w:val="0"/>
        <w:autoSpaceDN w:val="0"/>
        <w:adjustRightInd w:val="0"/>
        <w:jc w:val="both"/>
        <w:rPr>
          <w:rFonts w:ascii="Arial" w:eastAsiaTheme="minorHAnsi" w:hAnsi="Arial" w:cs="Arial"/>
          <w:color w:val="000000"/>
          <w:sz w:val="23"/>
          <w:szCs w:val="23"/>
        </w:rPr>
      </w:pPr>
      <w:r w:rsidRPr="00525B7F">
        <w:rPr>
          <w:rFonts w:ascii="Arial" w:eastAsiaTheme="minorHAnsi" w:hAnsi="Arial" w:cs="Arial"/>
          <w:b/>
          <w:bCs/>
          <w:color w:val="000000"/>
          <w:sz w:val="23"/>
          <w:szCs w:val="23"/>
        </w:rPr>
        <w:t xml:space="preserve">2. </w:t>
      </w:r>
      <w:r w:rsidRPr="00525B7F">
        <w:rPr>
          <w:rFonts w:ascii="Arial" w:eastAsiaTheme="minorHAnsi" w:hAnsi="Arial" w:cs="Arial"/>
          <w:b/>
          <w:bCs/>
          <w:color w:val="000000"/>
          <w:sz w:val="23"/>
          <w:szCs w:val="23"/>
          <w:u w:val="single"/>
        </w:rPr>
        <w:t xml:space="preserve">Introduction </w:t>
      </w:r>
    </w:p>
    <w:p w14:paraId="2E601DE9" w14:textId="77777777" w:rsidR="00525B7F" w:rsidRDefault="00525B7F" w:rsidP="00280F75">
      <w:pPr>
        <w:autoSpaceDE w:val="0"/>
        <w:autoSpaceDN w:val="0"/>
        <w:adjustRightInd w:val="0"/>
        <w:jc w:val="both"/>
        <w:rPr>
          <w:rFonts w:ascii="Arial" w:eastAsiaTheme="minorHAnsi" w:hAnsi="Arial" w:cs="Arial"/>
          <w:color w:val="000000"/>
          <w:sz w:val="23"/>
          <w:szCs w:val="23"/>
        </w:rPr>
      </w:pPr>
    </w:p>
    <w:p w14:paraId="6B03817C" w14:textId="7FA2895E" w:rsidR="00525B7F" w:rsidRDefault="00525B7F" w:rsidP="00280F75">
      <w:pPr>
        <w:autoSpaceDE w:val="0"/>
        <w:autoSpaceDN w:val="0"/>
        <w:adjustRightInd w:val="0"/>
        <w:jc w:val="both"/>
        <w:rPr>
          <w:rFonts w:ascii="Arial" w:eastAsiaTheme="minorHAnsi" w:hAnsi="Arial" w:cs="Arial"/>
          <w:color w:val="000000"/>
          <w:sz w:val="23"/>
          <w:szCs w:val="23"/>
        </w:rPr>
      </w:pPr>
      <w:r w:rsidRPr="00525B7F">
        <w:rPr>
          <w:rFonts w:ascii="Arial" w:eastAsiaTheme="minorHAnsi" w:hAnsi="Arial" w:cs="Arial"/>
          <w:color w:val="000000"/>
          <w:sz w:val="23"/>
          <w:szCs w:val="23"/>
        </w:rPr>
        <w:t>The 2007 NPSA (National Patient Safety Agency) alert 20</w:t>
      </w:r>
      <w:r w:rsidRPr="00525B7F">
        <w:rPr>
          <w:rFonts w:ascii="Arial" w:eastAsiaTheme="minorHAnsi" w:hAnsi="Arial" w:cs="Arial"/>
          <w:color w:val="000000"/>
          <w:sz w:val="16"/>
          <w:szCs w:val="16"/>
        </w:rPr>
        <w:t xml:space="preserve">2 </w:t>
      </w:r>
      <w:r w:rsidRPr="00525B7F">
        <w:rPr>
          <w:rFonts w:ascii="Arial" w:eastAsiaTheme="minorHAnsi" w:hAnsi="Arial" w:cs="Arial"/>
          <w:color w:val="000000"/>
          <w:sz w:val="23"/>
          <w:szCs w:val="23"/>
        </w:rPr>
        <w:t xml:space="preserve">recommended the supply of ready-to-administer products, at least for high risk injectables, rather than aseptic preparation in clinical areas. The practicality of this is in part reliant on the availability of valid and robust stability data. </w:t>
      </w:r>
    </w:p>
    <w:p w14:paraId="197CDAE8" w14:textId="65E6AC9A" w:rsidR="00525B7F" w:rsidRDefault="00525B7F" w:rsidP="00280F75">
      <w:pPr>
        <w:autoSpaceDE w:val="0"/>
        <w:autoSpaceDN w:val="0"/>
        <w:adjustRightInd w:val="0"/>
        <w:jc w:val="both"/>
        <w:rPr>
          <w:rFonts w:ascii="Arial" w:eastAsiaTheme="minorHAnsi" w:hAnsi="Arial" w:cs="Arial"/>
          <w:color w:val="000000"/>
          <w:sz w:val="23"/>
          <w:szCs w:val="23"/>
        </w:rPr>
      </w:pPr>
    </w:p>
    <w:p w14:paraId="008B68AA" w14:textId="7375C809" w:rsidR="00525B7F" w:rsidRDefault="00525B7F" w:rsidP="00280F75">
      <w:pPr>
        <w:autoSpaceDE w:val="0"/>
        <w:autoSpaceDN w:val="0"/>
        <w:adjustRightInd w:val="0"/>
        <w:jc w:val="both"/>
        <w:rPr>
          <w:rFonts w:ascii="Arial" w:eastAsiaTheme="minorHAnsi" w:hAnsi="Arial" w:cs="Arial"/>
          <w:color w:val="000000"/>
          <w:sz w:val="23"/>
          <w:szCs w:val="23"/>
        </w:rPr>
      </w:pPr>
      <w:r w:rsidRPr="00525B7F">
        <w:rPr>
          <w:rFonts w:ascii="Arial" w:eastAsiaTheme="minorHAnsi" w:hAnsi="Arial" w:cs="Arial"/>
          <w:color w:val="000000"/>
          <w:sz w:val="23"/>
          <w:szCs w:val="23"/>
        </w:rPr>
        <w:t xml:space="preserve">This protocol, which was prepared jointly by the Research &amp; Development sub-group of the NHS Pharmaceutical Aseptic Services Group, the NHS Pharmaceutical Quality Assurance Committee and the NHS Pharmaceutical Production Committee and which has been updated by the NHS Pharmaceutical Research and Development Working Group, presents a standardised methodology to establish shelf life for aseptically prepared products. It is expected that the principles of this protocol are used for local stability trials, stability trials outsourced to third parties and when the validity of published stability data or commercially supplied stability data need to be assessed. Compliance with this protocol should also be sought from compounded product suppliers when products are outsourced, and Appendix 2 may be used to support that aim. </w:t>
      </w:r>
    </w:p>
    <w:p w14:paraId="08880419" w14:textId="77777777" w:rsidR="00525B7F" w:rsidRPr="00525B7F" w:rsidRDefault="00525B7F" w:rsidP="00280F75">
      <w:pPr>
        <w:autoSpaceDE w:val="0"/>
        <w:autoSpaceDN w:val="0"/>
        <w:adjustRightInd w:val="0"/>
        <w:jc w:val="both"/>
        <w:rPr>
          <w:rFonts w:ascii="Arial" w:eastAsiaTheme="minorHAnsi" w:hAnsi="Arial" w:cs="Arial"/>
          <w:color w:val="000000"/>
          <w:sz w:val="23"/>
          <w:szCs w:val="23"/>
        </w:rPr>
      </w:pPr>
    </w:p>
    <w:p w14:paraId="7F3AE38C" w14:textId="36F8C1D8" w:rsidR="00525B7F" w:rsidRDefault="00525B7F" w:rsidP="00280F75">
      <w:pPr>
        <w:autoSpaceDE w:val="0"/>
        <w:autoSpaceDN w:val="0"/>
        <w:adjustRightInd w:val="0"/>
        <w:jc w:val="both"/>
        <w:rPr>
          <w:rFonts w:ascii="Arial" w:eastAsiaTheme="minorHAnsi" w:hAnsi="Arial" w:cs="Arial"/>
          <w:color w:val="000000"/>
          <w:sz w:val="23"/>
          <w:szCs w:val="23"/>
        </w:rPr>
      </w:pPr>
      <w:r w:rsidRPr="00525B7F">
        <w:rPr>
          <w:rFonts w:ascii="Arial" w:eastAsiaTheme="minorHAnsi" w:hAnsi="Arial" w:cs="Arial"/>
          <w:color w:val="000000"/>
          <w:sz w:val="23"/>
          <w:szCs w:val="23"/>
        </w:rPr>
        <w:t xml:space="preserve">The principles that inform this protocol are: </w:t>
      </w:r>
    </w:p>
    <w:p w14:paraId="00315550" w14:textId="77777777" w:rsidR="00525B7F" w:rsidRPr="00525B7F" w:rsidRDefault="00525B7F" w:rsidP="00280F75">
      <w:pPr>
        <w:autoSpaceDE w:val="0"/>
        <w:autoSpaceDN w:val="0"/>
        <w:adjustRightInd w:val="0"/>
        <w:jc w:val="both"/>
        <w:rPr>
          <w:rFonts w:ascii="Arial" w:eastAsiaTheme="minorHAnsi" w:hAnsi="Arial" w:cs="Arial"/>
          <w:color w:val="000000"/>
          <w:sz w:val="23"/>
          <w:szCs w:val="23"/>
        </w:rPr>
      </w:pPr>
    </w:p>
    <w:p w14:paraId="11386EFE" w14:textId="6511EC40" w:rsidR="00525B7F" w:rsidRDefault="00525B7F" w:rsidP="00280F75">
      <w:pPr>
        <w:autoSpaceDE w:val="0"/>
        <w:autoSpaceDN w:val="0"/>
        <w:adjustRightInd w:val="0"/>
        <w:jc w:val="both"/>
        <w:rPr>
          <w:rFonts w:ascii="Arial" w:eastAsiaTheme="minorHAnsi" w:hAnsi="Arial" w:cs="Arial"/>
          <w:color w:val="000000"/>
          <w:sz w:val="23"/>
          <w:szCs w:val="23"/>
        </w:rPr>
      </w:pPr>
      <w:r w:rsidRPr="00525B7F">
        <w:rPr>
          <w:rFonts w:ascii="Arial" w:eastAsiaTheme="minorHAnsi" w:hAnsi="Arial" w:cs="Arial"/>
          <w:color w:val="000000"/>
          <w:sz w:val="23"/>
          <w:szCs w:val="23"/>
        </w:rPr>
        <w:t xml:space="preserve">2.1 Information available from a manufacturer may not offer the required stability data, for example from the relevant SmPC or from additional information from the medical information department. </w:t>
      </w:r>
    </w:p>
    <w:p w14:paraId="7BA143CA" w14:textId="77777777" w:rsidR="00525B7F" w:rsidRPr="00525B7F" w:rsidRDefault="00525B7F" w:rsidP="00280F75">
      <w:pPr>
        <w:autoSpaceDE w:val="0"/>
        <w:autoSpaceDN w:val="0"/>
        <w:adjustRightInd w:val="0"/>
        <w:jc w:val="both"/>
        <w:rPr>
          <w:rFonts w:ascii="Arial" w:eastAsiaTheme="minorHAnsi" w:hAnsi="Arial" w:cs="Arial"/>
          <w:color w:val="000000"/>
          <w:sz w:val="23"/>
          <w:szCs w:val="23"/>
        </w:rPr>
      </w:pPr>
    </w:p>
    <w:p w14:paraId="3D06D253" w14:textId="74B295D7" w:rsidR="00525B7F" w:rsidRDefault="00525B7F" w:rsidP="00280F75">
      <w:pPr>
        <w:autoSpaceDE w:val="0"/>
        <w:autoSpaceDN w:val="0"/>
        <w:adjustRightInd w:val="0"/>
        <w:jc w:val="both"/>
        <w:rPr>
          <w:rFonts w:ascii="Arial" w:eastAsiaTheme="minorHAnsi" w:hAnsi="Arial" w:cs="Arial"/>
          <w:color w:val="000000"/>
          <w:sz w:val="23"/>
          <w:szCs w:val="23"/>
        </w:rPr>
      </w:pPr>
      <w:r w:rsidRPr="00525B7F">
        <w:rPr>
          <w:rFonts w:ascii="Arial" w:eastAsiaTheme="minorHAnsi" w:hAnsi="Arial" w:cs="Arial"/>
          <w:color w:val="000000"/>
          <w:sz w:val="23"/>
          <w:szCs w:val="23"/>
        </w:rPr>
        <w:t xml:space="preserve">2.2 Published stability data may be of limited value because of inappropriate or inadequate analytical methodology, limited study duration or improper processing of analytical data. </w:t>
      </w:r>
    </w:p>
    <w:p w14:paraId="022B43E2" w14:textId="77777777" w:rsidR="00525B7F" w:rsidRPr="00525B7F" w:rsidRDefault="00525B7F" w:rsidP="00280F75">
      <w:pPr>
        <w:autoSpaceDE w:val="0"/>
        <w:autoSpaceDN w:val="0"/>
        <w:adjustRightInd w:val="0"/>
        <w:jc w:val="both"/>
        <w:rPr>
          <w:rFonts w:ascii="Arial" w:eastAsiaTheme="minorHAnsi" w:hAnsi="Arial" w:cs="Arial"/>
          <w:color w:val="000000"/>
          <w:sz w:val="23"/>
          <w:szCs w:val="23"/>
        </w:rPr>
      </w:pPr>
    </w:p>
    <w:p w14:paraId="111F29AE" w14:textId="33AE89DC" w:rsidR="00525B7F" w:rsidRDefault="00525B7F" w:rsidP="00280F75">
      <w:pPr>
        <w:jc w:val="both"/>
        <w:rPr>
          <w:rFonts w:ascii="Arial" w:eastAsiaTheme="minorHAnsi" w:hAnsi="Arial" w:cs="Arial"/>
          <w:color w:val="000000"/>
          <w:sz w:val="23"/>
          <w:szCs w:val="23"/>
        </w:rPr>
      </w:pPr>
      <w:r w:rsidRPr="00525B7F">
        <w:rPr>
          <w:rFonts w:ascii="Arial" w:eastAsiaTheme="minorHAnsi" w:hAnsi="Arial" w:cs="Arial"/>
          <w:color w:val="000000"/>
          <w:sz w:val="23"/>
          <w:szCs w:val="23"/>
        </w:rPr>
        <w:t>2.3 Shelf lives are derived from diverse sources of data including physico-chemical stability, microbiological integrity, consideration of licensed status of the preparation facilities and their compliance with standards.</w:t>
      </w:r>
    </w:p>
    <w:p w14:paraId="49EB7CB0" w14:textId="6A1B3584" w:rsidR="00525B7F" w:rsidRDefault="00525B7F" w:rsidP="00280F75">
      <w:pPr>
        <w:jc w:val="both"/>
        <w:rPr>
          <w:rFonts w:ascii="Arial" w:eastAsiaTheme="minorHAnsi" w:hAnsi="Arial" w:cs="Arial"/>
          <w:color w:val="000000"/>
          <w:sz w:val="23"/>
          <w:szCs w:val="23"/>
        </w:rPr>
      </w:pPr>
    </w:p>
    <w:p w14:paraId="06A4BA68" w14:textId="77777777" w:rsidR="00525B7F" w:rsidRPr="00525B7F" w:rsidRDefault="00525B7F" w:rsidP="00280F75">
      <w:pPr>
        <w:autoSpaceDE w:val="0"/>
        <w:autoSpaceDN w:val="0"/>
        <w:adjustRightInd w:val="0"/>
        <w:jc w:val="both"/>
        <w:rPr>
          <w:rFonts w:ascii="Arial" w:eastAsiaTheme="minorHAnsi" w:hAnsi="Arial" w:cs="Arial"/>
          <w:color w:val="000000"/>
          <w:sz w:val="23"/>
          <w:szCs w:val="23"/>
        </w:rPr>
      </w:pPr>
      <w:r w:rsidRPr="00525B7F">
        <w:rPr>
          <w:rFonts w:ascii="Arial" w:eastAsiaTheme="minorHAnsi" w:hAnsi="Arial" w:cs="Arial"/>
          <w:color w:val="000000"/>
          <w:sz w:val="23"/>
          <w:szCs w:val="23"/>
        </w:rPr>
        <w:t xml:space="preserve">2.4 Once allocated, the shelf life should be subject to on-going validation including robust control of any changes to materials or components. </w:t>
      </w:r>
    </w:p>
    <w:p w14:paraId="788FDBDA" w14:textId="77777777" w:rsidR="00525B7F" w:rsidRPr="00525B7F" w:rsidRDefault="00525B7F" w:rsidP="00280F75">
      <w:pPr>
        <w:autoSpaceDE w:val="0"/>
        <w:autoSpaceDN w:val="0"/>
        <w:adjustRightInd w:val="0"/>
        <w:jc w:val="both"/>
        <w:rPr>
          <w:rFonts w:ascii="Arial" w:eastAsiaTheme="minorHAnsi" w:hAnsi="Arial" w:cs="Arial"/>
          <w:color w:val="000000"/>
          <w:sz w:val="23"/>
          <w:szCs w:val="23"/>
        </w:rPr>
      </w:pPr>
      <w:r w:rsidRPr="00525B7F">
        <w:rPr>
          <w:rFonts w:ascii="Arial" w:eastAsiaTheme="minorHAnsi" w:hAnsi="Arial" w:cs="Arial"/>
          <w:color w:val="000000"/>
          <w:sz w:val="23"/>
          <w:szCs w:val="23"/>
        </w:rPr>
        <w:t xml:space="preserve">Appendix 2 of this document is supplied to assist procurement staff in assessing the suitability of products to be procured as unlicensed small molecule aseptically prepared </w:t>
      </w:r>
      <w:r w:rsidRPr="00525B7F">
        <w:rPr>
          <w:rFonts w:ascii="Arial" w:eastAsiaTheme="minorHAnsi" w:hAnsi="Arial" w:cs="Arial"/>
          <w:color w:val="000000"/>
          <w:sz w:val="23"/>
          <w:szCs w:val="23"/>
        </w:rPr>
        <w:lastRenderedPageBreak/>
        <w:t xml:space="preserve">products, including assessment of the shelf life assigned and stability information supplied or otherwise available for the specific product. </w:t>
      </w:r>
    </w:p>
    <w:p w14:paraId="41F2439D" w14:textId="2E1C4BEE" w:rsidR="00525B7F" w:rsidRDefault="00525B7F" w:rsidP="00280F75">
      <w:pPr>
        <w:autoSpaceDE w:val="0"/>
        <w:autoSpaceDN w:val="0"/>
        <w:adjustRightInd w:val="0"/>
        <w:jc w:val="both"/>
        <w:rPr>
          <w:rFonts w:ascii="Arial" w:eastAsiaTheme="minorHAnsi" w:hAnsi="Arial" w:cs="Arial"/>
          <w:color w:val="000000"/>
          <w:sz w:val="23"/>
          <w:szCs w:val="23"/>
        </w:rPr>
      </w:pPr>
      <w:r w:rsidRPr="00525B7F">
        <w:rPr>
          <w:rFonts w:ascii="Arial" w:eastAsiaTheme="minorHAnsi" w:hAnsi="Arial" w:cs="Arial"/>
          <w:color w:val="000000"/>
          <w:sz w:val="23"/>
          <w:szCs w:val="23"/>
        </w:rPr>
        <w:t xml:space="preserve">The R&amp;D Group Assessment Template for Aseptic Small Molecule Products should be completed for all assessments of stability for this product group. </w:t>
      </w:r>
    </w:p>
    <w:p w14:paraId="0E99B01F" w14:textId="77777777" w:rsidR="00525B7F" w:rsidRPr="00525B7F" w:rsidRDefault="00525B7F" w:rsidP="00280F75">
      <w:pPr>
        <w:autoSpaceDE w:val="0"/>
        <w:autoSpaceDN w:val="0"/>
        <w:adjustRightInd w:val="0"/>
        <w:jc w:val="both"/>
        <w:rPr>
          <w:rFonts w:ascii="Arial" w:eastAsiaTheme="minorHAnsi" w:hAnsi="Arial" w:cs="Arial"/>
          <w:color w:val="000000"/>
          <w:sz w:val="23"/>
          <w:szCs w:val="23"/>
        </w:rPr>
      </w:pPr>
    </w:p>
    <w:p w14:paraId="0618BCF9" w14:textId="77777777" w:rsidR="00525B7F" w:rsidRPr="00525B7F" w:rsidRDefault="00525B7F" w:rsidP="00280F75">
      <w:pPr>
        <w:autoSpaceDE w:val="0"/>
        <w:autoSpaceDN w:val="0"/>
        <w:adjustRightInd w:val="0"/>
        <w:jc w:val="both"/>
        <w:rPr>
          <w:rFonts w:ascii="Arial" w:eastAsiaTheme="minorHAnsi" w:hAnsi="Arial" w:cs="Arial"/>
          <w:color w:val="000000"/>
          <w:sz w:val="23"/>
          <w:szCs w:val="23"/>
        </w:rPr>
      </w:pPr>
      <w:r w:rsidRPr="00525B7F">
        <w:rPr>
          <w:rFonts w:ascii="Arial" w:eastAsiaTheme="minorHAnsi" w:hAnsi="Arial" w:cs="Arial"/>
          <w:b/>
          <w:bCs/>
          <w:color w:val="000000"/>
          <w:sz w:val="23"/>
          <w:szCs w:val="23"/>
        </w:rPr>
        <w:t xml:space="preserve">3. </w:t>
      </w:r>
      <w:r w:rsidRPr="00525B7F">
        <w:rPr>
          <w:rFonts w:ascii="Arial" w:eastAsiaTheme="minorHAnsi" w:hAnsi="Arial" w:cs="Arial"/>
          <w:b/>
          <w:bCs/>
          <w:color w:val="000000"/>
          <w:sz w:val="23"/>
          <w:szCs w:val="23"/>
          <w:u w:val="single"/>
        </w:rPr>
        <w:t>Analytical Methods</w:t>
      </w:r>
      <w:r w:rsidRPr="00525B7F">
        <w:rPr>
          <w:rFonts w:ascii="Arial" w:eastAsiaTheme="minorHAnsi" w:hAnsi="Arial" w:cs="Arial"/>
          <w:b/>
          <w:bCs/>
          <w:color w:val="000000"/>
          <w:sz w:val="23"/>
          <w:szCs w:val="23"/>
        </w:rPr>
        <w:t xml:space="preserve"> </w:t>
      </w:r>
    </w:p>
    <w:p w14:paraId="42C7D952" w14:textId="77777777" w:rsidR="00525B7F" w:rsidRDefault="00525B7F" w:rsidP="00280F75">
      <w:pPr>
        <w:autoSpaceDE w:val="0"/>
        <w:autoSpaceDN w:val="0"/>
        <w:adjustRightInd w:val="0"/>
        <w:jc w:val="both"/>
        <w:rPr>
          <w:rFonts w:ascii="Arial" w:eastAsiaTheme="minorHAnsi" w:hAnsi="Arial" w:cs="Arial"/>
          <w:color w:val="000000"/>
          <w:sz w:val="23"/>
          <w:szCs w:val="23"/>
        </w:rPr>
      </w:pPr>
    </w:p>
    <w:p w14:paraId="7E165540" w14:textId="07E90033" w:rsidR="00525B7F" w:rsidRDefault="00525B7F" w:rsidP="00280F75">
      <w:pPr>
        <w:autoSpaceDE w:val="0"/>
        <w:autoSpaceDN w:val="0"/>
        <w:adjustRightInd w:val="0"/>
        <w:jc w:val="both"/>
        <w:rPr>
          <w:rFonts w:ascii="Arial" w:eastAsiaTheme="minorHAnsi" w:hAnsi="Arial" w:cs="Arial"/>
          <w:color w:val="000000"/>
          <w:sz w:val="23"/>
          <w:szCs w:val="23"/>
        </w:rPr>
      </w:pPr>
      <w:r w:rsidRPr="00525B7F">
        <w:rPr>
          <w:rFonts w:ascii="Arial" w:eastAsiaTheme="minorHAnsi" w:hAnsi="Arial" w:cs="Arial"/>
          <w:color w:val="000000"/>
          <w:sz w:val="23"/>
          <w:szCs w:val="23"/>
        </w:rPr>
        <w:t>The development, validation, and adoption of analytical methods are beyond the scope of this protocol except to note that any method used must be able to indicate stability, be robust and be fully validated. The principles of ‘Guidance on the Validation of Pharmaceutical Quality Control Analytical Methods’</w:t>
      </w:r>
      <w:r w:rsidRPr="00525B7F">
        <w:rPr>
          <w:rFonts w:ascii="Arial" w:eastAsiaTheme="minorHAnsi" w:hAnsi="Arial" w:cs="Arial"/>
          <w:color w:val="000000"/>
          <w:sz w:val="16"/>
          <w:szCs w:val="16"/>
        </w:rPr>
        <w:t xml:space="preserve">3 </w:t>
      </w:r>
      <w:r w:rsidRPr="00525B7F">
        <w:rPr>
          <w:rFonts w:ascii="Arial" w:eastAsiaTheme="minorHAnsi" w:hAnsi="Arial" w:cs="Arial"/>
          <w:color w:val="000000"/>
          <w:sz w:val="23"/>
          <w:szCs w:val="23"/>
        </w:rPr>
        <w:t>and ICH Q2(R1)</w:t>
      </w:r>
      <w:r w:rsidRPr="00525B7F">
        <w:rPr>
          <w:rFonts w:ascii="Arial" w:eastAsiaTheme="minorHAnsi" w:hAnsi="Arial" w:cs="Arial"/>
          <w:color w:val="000000"/>
          <w:sz w:val="16"/>
          <w:szCs w:val="16"/>
        </w:rPr>
        <w:t xml:space="preserve">4 </w:t>
      </w:r>
      <w:r w:rsidRPr="00525B7F">
        <w:rPr>
          <w:rFonts w:ascii="Arial" w:eastAsiaTheme="minorHAnsi" w:hAnsi="Arial" w:cs="Arial"/>
          <w:color w:val="000000"/>
          <w:sz w:val="23"/>
          <w:szCs w:val="23"/>
        </w:rPr>
        <w:t xml:space="preserve">(implemented as CPMP/ICH/281/95) should be followed, as appropriate. </w:t>
      </w:r>
    </w:p>
    <w:p w14:paraId="10B95D1A" w14:textId="77777777" w:rsidR="00525B7F" w:rsidRPr="00525B7F" w:rsidRDefault="00525B7F" w:rsidP="00280F75">
      <w:pPr>
        <w:autoSpaceDE w:val="0"/>
        <w:autoSpaceDN w:val="0"/>
        <w:adjustRightInd w:val="0"/>
        <w:jc w:val="both"/>
        <w:rPr>
          <w:rFonts w:ascii="Arial" w:eastAsiaTheme="minorHAnsi" w:hAnsi="Arial" w:cs="Arial"/>
          <w:color w:val="000000"/>
          <w:sz w:val="23"/>
          <w:szCs w:val="23"/>
        </w:rPr>
      </w:pPr>
    </w:p>
    <w:p w14:paraId="39D16C51" w14:textId="77777777" w:rsidR="00525B7F" w:rsidRPr="00525B7F" w:rsidRDefault="00525B7F" w:rsidP="00280F75">
      <w:pPr>
        <w:autoSpaceDE w:val="0"/>
        <w:autoSpaceDN w:val="0"/>
        <w:adjustRightInd w:val="0"/>
        <w:jc w:val="both"/>
        <w:rPr>
          <w:rFonts w:ascii="Arial" w:eastAsiaTheme="minorHAnsi" w:hAnsi="Arial" w:cs="Arial"/>
          <w:color w:val="000000"/>
          <w:sz w:val="23"/>
          <w:szCs w:val="23"/>
        </w:rPr>
      </w:pPr>
      <w:r w:rsidRPr="00525B7F">
        <w:rPr>
          <w:rFonts w:ascii="Arial" w:eastAsiaTheme="minorHAnsi" w:hAnsi="Arial" w:cs="Arial"/>
          <w:b/>
          <w:bCs/>
          <w:color w:val="000000"/>
          <w:sz w:val="23"/>
          <w:szCs w:val="23"/>
        </w:rPr>
        <w:t xml:space="preserve">4. </w:t>
      </w:r>
      <w:r w:rsidRPr="00525B7F">
        <w:rPr>
          <w:rFonts w:ascii="Arial" w:eastAsiaTheme="minorHAnsi" w:hAnsi="Arial" w:cs="Arial"/>
          <w:b/>
          <w:bCs/>
          <w:color w:val="000000"/>
          <w:sz w:val="23"/>
          <w:szCs w:val="23"/>
          <w:u w:val="single"/>
        </w:rPr>
        <w:t>Diluents</w:t>
      </w:r>
      <w:r w:rsidRPr="00525B7F">
        <w:rPr>
          <w:rFonts w:ascii="Arial" w:eastAsiaTheme="minorHAnsi" w:hAnsi="Arial" w:cs="Arial"/>
          <w:b/>
          <w:bCs/>
          <w:color w:val="000000"/>
          <w:sz w:val="23"/>
          <w:szCs w:val="23"/>
        </w:rPr>
        <w:t xml:space="preserve"> </w:t>
      </w:r>
    </w:p>
    <w:p w14:paraId="45C68339" w14:textId="77777777" w:rsidR="00525B7F" w:rsidRDefault="00525B7F" w:rsidP="00280F75">
      <w:pPr>
        <w:autoSpaceDE w:val="0"/>
        <w:autoSpaceDN w:val="0"/>
        <w:adjustRightInd w:val="0"/>
        <w:jc w:val="both"/>
        <w:rPr>
          <w:rFonts w:ascii="Arial" w:eastAsiaTheme="minorHAnsi" w:hAnsi="Arial" w:cs="Arial"/>
          <w:color w:val="000000"/>
          <w:sz w:val="23"/>
          <w:szCs w:val="23"/>
        </w:rPr>
      </w:pPr>
    </w:p>
    <w:p w14:paraId="323520D7" w14:textId="6BA50968" w:rsidR="00525B7F" w:rsidRDefault="00525B7F" w:rsidP="00280F75">
      <w:pPr>
        <w:autoSpaceDE w:val="0"/>
        <w:autoSpaceDN w:val="0"/>
        <w:adjustRightInd w:val="0"/>
        <w:jc w:val="both"/>
        <w:rPr>
          <w:rFonts w:ascii="Arial" w:eastAsiaTheme="minorHAnsi" w:hAnsi="Arial" w:cs="Arial"/>
          <w:color w:val="000000"/>
          <w:sz w:val="23"/>
          <w:szCs w:val="23"/>
        </w:rPr>
      </w:pPr>
      <w:r w:rsidRPr="00525B7F">
        <w:rPr>
          <w:rFonts w:ascii="Arial" w:eastAsiaTheme="minorHAnsi" w:hAnsi="Arial" w:cs="Arial"/>
          <w:color w:val="000000"/>
          <w:sz w:val="23"/>
          <w:szCs w:val="23"/>
        </w:rPr>
        <w:t xml:space="preserve">The default diluent will normally be 0.9% w/v sodium chloride as a typical diluent used in practice, but 5% w/v glucose should be used where applicable and other diluents may be added or supplemented, if recommended in the SmPC or otherwise required. </w:t>
      </w:r>
    </w:p>
    <w:p w14:paraId="3566C39B" w14:textId="77777777" w:rsidR="00525B7F" w:rsidRPr="00525B7F" w:rsidRDefault="00525B7F" w:rsidP="00280F75">
      <w:pPr>
        <w:autoSpaceDE w:val="0"/>
        <w:autoSpaceDN w:val="0"/>
        <w:adjustRightInd w:val="0"/>
        <w:jc w:val="both"/>
        <w:rPr>
          <w:rFonts w:ascii="Arial" w:eastAsiaTheme="minorHAnsi" w:hAnsi="Arial" w:cs="Arial"/>
          <w:color w:val="000000"/>
          <w:sz w:val="23"/>
          <w:szCs w:val="23"/>
        </w:rPr>
      </w:pPr>
    </w:p>
    <w:p w14:paraId="3B39A189" w14:textId="426AEFA5" w:rsidR="00525B7F" w:rsidRDefault="00525B7F" w:rsidP="00280F75">
      <w:pPr>
        <w:autoSpaceDE w:val="0"/>
        <w:autoSpaceDN w:val="0"/>
        <w:adjustRightInd w:val="0"/>
        <w:jc w:val="both"/>
        <w:rPr>
          <w:rFonts w:ascii="Arial" w:eastAsiaTheme="minorHAnsi" w:hAnsi="Arial" w:cs="Arial"/>
          <w:b/>
          <w:bCs/>
          <w:color w:val="000000"/>
          <w:sz w:val="23"/>
          <w:szCs w:val="23"/>
        </w:rPr>
      </w:pPr>
      <w:r w:rsidRPr="00525B7F">
        <w:rPr>
          <w:rFonts w:ascii="Arial" w:eastAsiaTheme="minorHAnsi" w:hAnsi="Arial" w:cs="Arial"/>
          <w:b/>
          <w:bCs/>
          <w:color w:val="000000"/>
          <w:sz w:val="23"/>
          <w:szCs w:val="23"/>
        </w:rPr>
        <w:t xml:space="preserve">5. </w:t>
      </w:r>
      <w:r w:rsidRPr="00525B7F">
        <w:rPr>
          <w:rFonts w:ascii="Arial" w:eastAsiaTheme="minorHAnsi" w:hAnsi="Arial" w:cs="Arial"/>
          <w:b/>
          <w:bCs/>
          <w:color w:val="000000"/>
          <w:sz w:val="23"/>
          <w:szCs w:val="23"/>
          <w:u w:val="single"/>
        </w:rPr>
        <w:t>Containers</w:t>
      </w:r>
      <w:r w:rsidRPr="00525B7F">
        <w:rPr>
          <w:rFonts w:ascii="Arial" w:eastAsiaTheme="minorHAnsi" w:hAnsi="Arial" w:cs="Arial"/>
          <w:b/>
          <w:bCs/>
          <w:color w:val="000000"/>
          <w:sz w:val="23"/>
          <w:szCs w:val="23"/>
        </w:rPr>
        <w:t xml:space="preserve"> </w:t>
      </w:r>
    </w:p>
    <w:p w14:paraId="1B785AB8" w14:textId="77777777" w:rsidR="00525B7F" w:rsidRPr="00525B7F" w:rsidRDefault="00525B7F" w:rsidP="00280F75">
      <w:pPr>
        <w:autoSpaceDE w:val="0"/>
        <w:autoSpaceDN w:val="0"/>
        <w:adjustRightInd w:val="0"/>
        <w:jc w:val="both"/>
        <w:rPr>
          <w:rFonts w:ascii="Arial" w:eastAsiaTheme="minorHAnsi" w:hAnsi="Arial" w:cs="Arial"/>
          <w:color w:val="000000"/>
          <w:sz w:val="23"/>
          <w:szCs w:val="23"/>
        </w:rPr>
      </w:pPr>
    </w:p>
    <w:p w14:paraId="2CF6DEE9" w14:textId="2623F56F" w:rsidR="00525B7F" w:rsidRDefault="00525B7F" w:rsidP="00280F75">
      <w:pPr>
        <w:autoSpaceDE w:val="0"/>
        <w:autoSpaceDN w:val="0"/>
        <w:adjustRightInd w:val="0"/>
        <w:jc w:val="both"/>
        <w:rPr>
          <w:rFonts w:ascii="Arial" w:eastAsiaTheme="minorHAnsi" w:hAnsi="Arial" w:cs="Arial"/>
          <w:color w:val="000000"/>
          <w:sz w:val="23"/>
          <w:szCs w:val="23"/>
        </w:rPr>
      </w:pPr>
      <w:r w:rsidRPr="00525B7F">
        <w:rPr>
          <w:rFonts w:ascii="Arial" w:eastAsiaTheme="minorHAnsi" w:hAnsi="Arial" w:cs="Arial"/>
          <w:color w:val="000000"/>
          <w:sz w:val="23"/>
          <w:szCs w:val="23"/>
        </w:rPr>
        <w:t xml:space="preserve">5.1 </w:t>
      </w:r>
      <w:r w:rsidRPr="00525B7F">
        <w:rPr>
          <w:rFonts w:ascii="Arial" w:eastAsiaTheme="minorHAnsi" w:hAnsi="Arial" w:cs="Arial"/>
          <w:color w:val="000000"/>
          <w:sz w:val="23"/>
          <w:szCs w:val="23"/>
          <w:u w:val="single"/>
        </w:rPr>
        <w:t>General considerations</w:t>
      </w:r>
      <w:r w:rsidRPr="00525B7F">
        <w:rPr>
          <w:rFonts w:ascii="Arial" w:eastAsiaTheme="minorHAnsi" w:hAnsi="Arial" w:cs="Arial"/>
          <w:color w:val="000000"/>
          <w:sz w:val="23"/>
          <w:szCs w:val="23"/>
        </w:rPr>
        <w:t xml:space="preserve"> </w:t>
      </w:r>
    </w:p>
    <w:p w14:paraId="4C8B7479" w14:textId="77777777" w:rsidR="00525B7F" w:rsidRPr="00525B7F" w:rsidRDefault="00525B7F" w:rsidP="00280F75">
      <w:pPr>
        <w:autoSpaceDE w:val="0"/>
        <w:autoSpaceDN w:val="0"/>
        <w:adjustRightInd w:val="0"/>
        <w:jc w:val="both"/>
        <w:rPr>
          <w:rFonts w:ascii="Arial" w:eastAsiaTheme="minorHAnsi" w:hAnsi="Arial" w:cs="Arial"/>
          <w:color w:val="000000"/>
          <w:sz w:val="23"/>
          <w:szCs w:val="23"/>
        </w:rPr>
      </w:pPr>
    </w:p>
    <w:p w14:paraId="15D257D4" w14:textId="1D0014EF" w:rsidR="00525B7F" w:rsidRDefault="00525B7F" w:rsidP="00280F75">
      <w:pPr>
        <w:autoSpaceDE w:val="0"/>
        <w:autoSpaceDN w:val="0"/>
        <w:adjustRightInd w:val="0"/>
        <w:jc w:val="both"/>
        <w:rPr>
          <w:rFonts w:ascii="Arial" w:eastAsiaTheme="minorHAnsi" w:hAnsi="Arial" w:cs="Arial"/>
          <w:color w:val="000000"/>
          <w:sz w:val="23"/>
          <w:szCs w:val="23"/>
        </w:rPr>
      </w:pPr>
      <w:r w:rsidRPr="00525B7F">
        <w:rPr>
          <w:rFonts w:ascii="Arial" w:eastAsiaTheme="minorHAnsi" w:hAnsi="Arial" w:cs="Arial"/>
          <w:color w:val="000000"/>
          <w:sz w:val="23"/>
          <w:szCs w:val="23"/>
        </w:rPr>
        <w:t xml:space="preserve">Care should be taken to check the container proposed to store the product is the same used for each supporting stability study. </w:t>
      </w:r>
    </w:p>
    <w:p w14:paraId="272FD989" w14:textId="77777777" w:rsidR="00525B7F" w:rsidRPr="00525B7F" w:rsidRDefault="00525B7F" w:rsidP="00280F75">
      <w:pPr>
        <w:autoSpaceDE w:val="0"/>
        <w:autoSpaceDN w:val="0"/>
        <w:adjustRightInd w:val="0"/>
        <w:jc w:val="both"/>
        <w:rPr>
          <w:rFonts w:ascii="Arial" w:eastAsiaTheme="minorHAnsi" w:hAnsi="Arial" w:cs="Arial"/>
          <w:color w:val="000000"/>
          <w:sz w:val="23"/>
          <w:szCs w:val="23"/>
        </w:rPr>
      </w:pPr>
    </w:p>
    <w:p w14:paraId="418028EC" w14:textId="71B925E6" w:rsidR="00525B7F" w:rsidRDefault="00525B7F" w:rsidP="00280F75">
      <w:pPr>
        <w:autoSpaceDE w:val="0"/>
        <w:autoSpaceDN w:val="0"/>
        <w:adjustRightInd w:val="0"/>
        <w:jc w:val="both"/>
        <w:rPr>
          <w:rFonts w:ascii="Arial" w:eastAsiaTheme="minorHAnsi" w:hAnsi="Arial" w:cs="Arial"/>
          <w:color w:val="000000"/>
          <w:sz w:val="23"/>
          <w:szCs w:val="23"/>
        </w:rPr>
      </w:pPr>
      <w:r w:rsidRPr="00525B7F">
        <w:rPr>
          <w:rFonts w:ascii="Arial" w:eastAsiaTheme="minorHAnsi" w:hAnsi="Arial" w:cs="Arial"/>
          <w:color w:val="000000"/>
          <w:sz w:val="23"/>
          <w:szCs w:val="23"/>
        </w:rPr>
        <w:t xml:space="preserve">Extrapolation of data between different containers and infuser devices may be permissible provided the drug degradation pathway and physical properties of the container are well understood. Critical physical properties of a container include oxygen permeability, water permeability (water loss), light permeability, material constitution and possible extractives and adsorbent potential. Any extrapolation must be evaluated and justified. </w:t>
      </w:r>
    </w:p>
    <w:p w14:paraId="66EFCD2E" w14:textId="77777777" w:rsidR="00525B7F" w:rsidRPr="00525B7F" w:rsidRDefault="00525B7F" w:rsidP="00280F75">
      <w:pPr>
        <w:autoSpaceDE w:val="0"/>
        <w:autoSpaceDN w:val="0"/>
        <w:adjustRightInd w:val="0"/>
        <w:jc w:val="both"/>
        <w:rPr>
          <w:rFonts w:ascii="Arial" w:eastAsiaTheme="minorHAnsi" w:hAnsi="Arial" w:cs="Arial"/>
          <w:color w:val="000000"/>
          <w:sz w:val="23"/>
          <w:szCs w:val="23"/>
        </w:rPr>
      </w:pPr>
    </w:p>
    <w:p w14:paraId="6CAEB575" w14:textId="189F5BD1" w:rsidR="00525B7F" w:rsidRDefault="00525B7F" w:rsidP="00280F75">
      <w:pPr>
        <w:autoSpaceDE w:val="0"/>
        <w:autoSpaceDN w:val="0"/>
        <w:adjustRightInd w:val="0"/>
        <w:jc w:val="both"/>
        <w:rPr>
          <w:rFonts w:ascii="Arial" w:eastAsiaTheme="minorHAnsi" w:hAnsi="Arial" w:cs="Arial"/>
          <w:color w:val="000000"/>
          <w:sz w:val="23"/>
          <w:szCs w:val="23"/>
        </w:rPr>
      </w:pPr>
      <w:r w:rsidRPr="00525B7F">
        <w:rPr>
          <w:rFonts w:ascii="Arial" w:eastAsiaTheme="minorHAnsi" w:hAnsi="Arial" w:cs="Arial"/>
          <w:color w:val="000000"/>
          <w:sz w:val="23"/>
          <w:szCs w:val="23"/>
        </w:rPr>
        <w:t xml:space="preserve">5.2 </w:t>
      </w:r>
      <w:r w:rsidRPr="00525B7F">
        <w:rPr>
          <w:rFonts w:ascii="Arial" w:eastAsiaTheme="minorHAnsi" w:hAnsi="Arial" w:cs="Arial"/>
          <w:color w:val="000000"/>
          <w:sz w:val="23"/>
          <w:szCs w:val="23"/>
          <w:u w:val="single"/>
        </w:rPr>
        <w:t xml:space="preserve">Syringes </w:t>
      </w:r>
    </w:p>
    <w:p w14:paraId="34922F4D" w14:textId="77777777" w:rsidR="00525B7F" w:rsidRPr="00525B7F" w:rsidRDefault="00525B7F" w:rsidP="00280F75">
      <w:pPr>
        <w:autoSpaceDE w:val="0"/>
        <w:autoSpaceDN w:val="0"/>
        <w:adjustRightInd w:val="0"/>
        <w:jc w:val="both"/>
        <w:rPr>
          <w:rFonts w:ascii="Arial" w:eastAsiaTheme="minorHAnsi" w:hAnsi="Arial" w:cs="Arial"/>
          <w:color w:val="000000"/>
          <w:sz w:val="23"/>
          <w:szCs w:val="23"/>
        </w:rPr>
      </w:pPr>
    </w:p>
    <w:p w14:paraId="05742D89" w14:textId="672D76A9" w:rsidR="00525B7F" w:rsidRDefault="00525B7F" w:rsidP="00280F75">
      <w:pPr>
        <w:autoSpaceDE w:val="0"/>
        <w:autoSpaceDN w:val="0"/>
        <w:adjustRightInd w:val="0"/>
        <w:jc w:val="both"/>
        <w:rPr>
          <w:rFonts w:ascii="Arial" w:eastAsiaTheme="minorHAnsi" w:hAnsi="Arial" w:cs="Arial"/>
          <w:color w:val="000000"/>
          <w:sz w:val="23"/>
          <w:szCs w:val="23"/>
        </w:rPr>
      </w:pPr>
      <w:r w:rsidRPr="00525B7F">
        <w:rPr>
          <w:rFonts w:ascii="Arial" w:eastAsiaTheme="minorHAnsi" w:hAnsi="Arial" w:cs="Arial"/>
          <w:color w:val="000000"/>
          <w:sz w:val="23"/>
          <w:szCs w:val="23"/>
        </w:rPr>
        <w:t>Syringes used as storage containers must be fully validated, including adequate consideration of microbiological ingress and physical robustness. Please refer to the ‘Microbiological protocol for the integrity testing of syringes’</w:t>
      </w:r>
      <w:r w:rsidRPr="00525B7F">
        <w:rPr>
          <w:rFonts w:ascii="Arial" w:eastAsiaTheme="minorHAnsi" w:hAnsi="Arial" w:cs="Arial"/>
          <w:color w:val="000000"/>
          <w:sz w:val="16"/>
          <w:szCs w:val="16"/>
        </w:rPr>
        <w:t>5</w:t>
      </w:r>
      <w:r w:rsidRPr="00525B7F">
        <w:rPr>
          <w:rFonts w:ascii="Arial" w:eastAsiaTheme="minorHAnsi" w:hAnsi="Arial" w:cs="Arial"/>
          <w:color w:val="000000"/>
          <w:sz w:val="23"/>
          <w:szCs w:val="23"/>
        </w:rPr>
        <w:t>. Any syringe used to store medicines must be assessed as compliant with the BP Monograph for plastic syringes ‘Appendix XIX G’</w:t>
      </w:r>
      <w:r w:rsidRPr="00525B7F">
        <w:rPr>
          <w:rFonts w:ascii="Arial" w:eastAsiaTheme="minorHAnsi" w:hAnsi="Arial" w:cs="Arial"/>
          <w:color w:val="000000"/>
          <w:sz w:val="16"/>
          <w:szCs w:val="16"/>
        </w:rPr>
        <w:t>6</w:t>
      </w:r>
      <w:r w:rsidRPr="00525B7F">
        <w:rPr>
          <w:rFonts w:ascii="Arial" w:eastAsiaTheme="minorHAnsi" w:hAnsi="Arial" w:cs="Arial"/>
          <w:color w:val="000000"/>
          <w:sz w:val="23"/>
          <w:szCs w:val="23"/>
        </w:rPr>
        <w:t xml:space="preserve">. </w:t>
      </w:r>
    </w:p>
    <w:p w14:paraId="562E1B7E" w14:textId="77777777" w:rsidR="00525B7F" w:rsidRPr="00525B7F" w:rsidRDefault="00525B7F" w:rsidP="00280F75">
      <w:pPr>
        <w:autoSpaceDE w:val="0"/>
        <w:autoSpaceDN w:val="0"/>
        <w:adjustRightInd w:val="0"/>
        <w:jc w:val="both"/>
        <w:rPr>
          <w:rFonts w:ascii="Arial" w:eastAsiaTheme="minorHAnsi" w:hAnsi="Arial" w:cs="Arial"/>
          <w:color w:val="000000"/>
          <w:sz w:val="23"/>
          <w:szCs w:val="23"/>
        </w:rPr>
      </w:pPr>
    </w:p>
    <w:p w14:paraId="68385C38" w14:textId="5CD564CF" w:rsidR="00525B7F" w:rsidRDefault="00525B7F" w:rsidP="00280F75">
      <w:pPr>
        <w:jc w:val="both"/>
        <w:rPr>
          <w:rFonts w:ascii="Arial" w:eastAsiaTheme="minorHAnsi" w:hAnsi="Arial" w:cs="Arial"/>
          <w:color w:val="000000"/>
          <w:sz w:val="23"/>
          <w:szCs w:val="23"/>
        </w:rPr>
      </w:pPr>
      <w:r w:rsidRPr="00525B7F">
        <w:rPr>
          <w:rFonts w:ascii="Arial" w:eastAsiaTheme="minorHAnsi" w:hAnsi="Arial" w:cs="Arial"/>
          <w:color w:val="000000"/>
          <w:sz w:val="23"/>
          <w:szCs w:val="23"/>
        </w:rPr>
        <w:t>In each case, the syringes used in a stability trial, together with the specific closure system, should be specified in the protocol. Consideration should be also given to</w:t>
      </w:r>
      <w:r>
        <w:rPr>
          <w:rFonts w:ascii="Arial" w:eastAsiaTheme="minorHAnsi" w:hAnsi="Arial" w:cs="Arial"/>
          <w:color w:val="000000"/>
          <w:sz w:val="23"/>
          <w:szCs w:val="23"/>
        </w:rPr>
        <w:t xml:space="preserve"> </w:t>
      </w:r>
      <w:r w:rsidRPr="00525B7F">
        <w:rPr>
          <w:rFonts w:ascii="Arial" w:eastAsiaTheme="minorHAnsi" w:hAnsi="Arial" w:cs="Arial"/>
          <w:color w:val="000000"/>
          <w:sz w:val="23"/>
          <w:szCs w:val="23"/>
        </w:rPr>
        <w:t>the inclusion of suitable CE marked drug storage syringes in any new study. Two piece polypropylene syringes may be required for some products although past history indicates that there may be more failures during the integrity testing with those syringes</w:t>
      </w:r>
      <w:r w:rsidRPr="00525B7F">
        <w:rPr>
          <w:rFonts w:ascii="Arial" w:eastAsiaTheme="minorHAnsi" w:hAnsi="Arial" w:cs="Arial"/>
          <w:color w:val="000000"/>
          <w:sz w:val="16"/>
          <w:szCs w:val="16"/>
        </w:rPr>
        <w:t>7</w:t>
      </w:r>
      <w:r w:rsidRPr="00525B7F">
        <w:rPr>
          <w:rFonts w:ascii="Arial" w:eastAsiaTheme="minorHAnsi" w:hAnsi="Arial" w:cs="Arial"/>
          <w:color w:val="000000"/>
          <w:sz w:val="23"/>
          <w:szCs w:val="23"/>
        </w:rPr>
        <w:t xml:space="preserve">. </w:t>
      </w:r>
    </w:p>
    <w:p w14:paraId="01894FF7" w14:textId="77777777" w:rsidR="00525B7F" w:rsidRPr="00525B7F" w:rsidRDefault="00525B7F" w:rsidP="00280F75">
      <w:pPr>
        <w:jc w:val="both"/>
        <w:rPr>
          <w:rFonts w:ascii="Arial" w:eastAsiaTheme="minorHAnsi" w:hAnsi="Arial" w:cs="Arial"/>
          <w:color w:val="000000"/>
          <w:sz w:val="23"/>
          <w:szCs w:val="23"/>
        </w:rPr>
      </w:pPr>
    </w:p>
    <w:p w14:paraId="5536AFF4" w14:textId="0BCD6663" w:rsidR="00525B7F" w:rsidRDefault="00525B7F" w:rsidP="00280F75">
      <w:pPr>
        <w:autoSpaceDE w:val="0"/>
        <w:autoSpaceDN w:val="0"/>
        <w:adjustRightInd w:val="0"/>
        <w:jc w:val="both"/>
        <w:rPr>
          <w:rFonts w:ascii="Arial" w:eastAsiaTheme="minorHAnsi" w:hAnsi="Arial" w:cs="Arial"/>
          <w:color w:val="000000"/>
          <w:sz w:val="23"/>
          <w:szCs w:val="23"/>
        </w:rPr>
      </w:pPr>
      <w:r w:rsidRPr="00525B7F">
        <w:rPr>
          <w:rFonts w:ascii="Arial" w:eastAsiaTheme="minorHAnsi" w:hAnsi="Arial" w:cs="Arial"/>
          <w:color w:val="000000"/>
          <w:sz w:val="23"/>
          <w:szCs w:val="23"/>
        </w:rPr>
        <w:t>It is preferable that syringes with the plunger attached should not be filled beyond 85% of their marked capacity in order to prevent undue plunger movement, which may compromise microbial integrity during shipping/ distribution; this is as outlined in ‘Microbiological protocol for the integrity testing of syringes’</w:t>
      </w:r>
      <w:r w:rsidRPr="00525B7F">
        <w:rPr>
          <w:rFonts w:ascii="Arial" w:eastAsiaTheme="minorHAnsi" w:hAnsi="Arial" w:cs="Arial"/>
          <w:color w:val="000000"/>
          <w:sz w:val="16"/>
          <w:szCs w:val="16"/>
        </w:rPr>
        <w:t xml:space="preserve">5 </w:t>
      </w:r>
      <w:r w:rsidRPr="00525B7F">
        <w:rPr>
          <w:rFonts w:ascii="Arial" w:eastAsiaTheme="minorHAnsi" w:hAnsi="Arial" w:cs="Arial"/>
          <w:color w:val="000000"/>
          <w:sz w:val="23"/>
          <w:szCs w:val="23"/>
        </w:rPr>
        <w:t>and national cytotoxic standardised specifications</w:t>
      </w:r>
      <w:r w:rsidRPr="00525B7F">
        <w:rPr>
          <w:rFonts w:ascii="Arial" w:eastAsiaTheme="minorHAnsi" w:hAnsi="Arial" w:cs="Arial"/>
          <w:color w:val="000000"/>
          <w:sz w:val="16"/>
          <w:szCs w:val="16"/>
        </w:rPr>
        <w:t>21</w:t>
      </w:r>
      <w:r w:rsidRPr="00525B7F">
        <w:rPr>
          <w:rFonts w:ascii="Arial" w:eastAsiaTheme="minorHAnsi" w:hAnsi="Arial" w:cs="Arial"/>
          <w:color w:val="000000"/>
          <w:sz w:val="23"/>
          <w:szCs w:val="23"/>
        </w:rPr>
        <w:t xml:space="preserve">. </w:t>
      </w:r>
    </w:p>
    <w:p w14:paraId="61DDAB85" w14:textId="77777777" w:rsidR="00525B7F" w:rsidRPr="00525B7F" w:rsidRDefault="00525B7F" w:rsidP="00280F75">
      <w:pPr>
        <w:autoSpaceDE w:val="0"/>
        <w:autoSpaceDN w:val="0"/>
        <w:adjustRightInd w:val="0"/>
        <w:jc w:val="both"/>
        <w:rPr>
          <w:rFonts w:ascii="Arial" w:eastAsiaTheme="minorHAnsi" w:hAnsi="Arial" w:cs="Arial"/>
          <w:color w:val="000000"/>
          <w:sz w:val="23"/>
          <w:szCs w:val="23"/>
        </w:rPr>
      </w:pPr>
    </w:p>
    <w:p w14:paraId="2E090041" w14:textId="100A0491" w:rsidR="00525B7F" w:rsidRDefault="00525B7F" w:rsidP="00280F75">
      <w:pPr>
        <w:autoSpaceDE w:val="0"/>
        <w:autoSpaceDN w:val="0"/>
        <w:adjustRightInd w:val="0"/>
        <w:jc w:val="both"/>
        <w:rPr>
          <w:rFonts w:ascii="Arial" w:eastAsiaTheme="minorHAnsi" w:hAnsi="Arial" w:cs="Arial"/>
          <w:color w:val="000000"/>
          <w:sz w:val="23"/>
          <w:szCs w:val="23"/>
        </w:rPr>
      </w:pPr>
      <w:r w:rsidRPr="00525B7F">
        <w:rPr>
          <w:rFonts w:ascii="Arial" w:eastAsiaTheme="minorHAnsi" w:hAnsi="Arial" w:cs="Arial"/>
          <w:color w:val="000000"/>
          <w:sz w:val="23"/>
          <w:szCs w:val="23"/>
        </w:rPr>
        <w:lastRenderedPageBreak/>
        <w:t>It is noteworthy that syringes currently used for storage of aseptically prepared medicines are not CE registered as drug storage devices, which has meant manufacturers have often made important changes to the syringes they manufacture without informing the end users. In some cases, changes to syringes have had apparent effects on drug stability and/or adsorption</w:t>
      </w:r>
      <w:r w:rsidRPr="00525B7F">
        <w:rPr>
          <w:rFonts w:ascii="Arial" w:eastAsiaTheme="minorHAnsi" w:hAnsi="Arial" w:cs="Arial"/>
          <w:color w:val="000000"/>
          <w:sz w:val="16"/>
          <w:szCs w:val="16"/>
        </w:rPr>
        <w:t xml:space="preserve">8 </w:t>
      </w:r>
      <w:r w:rsidRPr="00525B7F">
        <w:rPr>
          <w:rFonts w:ascii="Arial" w:eastAsiaTheme="minorHAnsi" w:hAnsi="Arial" w:cs="Arial"/>
          <w:color w:val="000000"/>
          <w:sz w:val="23"/>
          <w:szCs w:val="23"/>
        </w:rPr>
        <w:t xml:space="preserve">when the syringe is used to store aseptically prepared medicines. Therefore, for these products an on-going programme of stability reassessment is strongly recommended. This could take the form of repeated stability testing at defined regular intervals or a programme of end of shelf life testing for the products that feeds into an annual Product Quality Review (PQR). </w:t>
      </w:r>
    </w:p>
    <w:p w14:paraId="6B5DF867" w14:textId="77777777" w:rsidR="00525B7F" w:rsidRPr="00525B7F" w:rsidRDefault="00525B7F" w:rsidP="00280F75">
      <w:pPr>
        <w:autoSpaceDE w:val="0"/>
        <w:autoSpaceDN w:val="0"/>
        <w:adjustRightInd w:val="0"/>
        <w:jc w:val="both"/>
        <w:rPr>
          <w:rFonts w:ascii="Arial" w:eastAsiaTheme="minorHAnsi" w:hAnsi="Arial" w:cs="Arial"/>
          <w:color w:val="000000"/>
          <w:sz w:val="23"/>
          <w:szCs w:val="23"/>
        </w:rPr>
      </w:pPr>
    </w:p>
    <w:p w14:paraId="2A5B8492" w14:textId="77777777" w:rsidR="00525B7F" w:rsidRPr="00525B7F" w:rsidRDefault="00525B7F" w:rsidP="00280F75">
      <w:pPr>
        <w:autoSpaceDE w:val="0"/>
        <w:autoSpaceDN w:val="0"/>
        <w:adjustRightInd w:val="0"/>
        <w:jc w:val="both"/>
        <w:rPr>
          <w:rFonts w:ascii="Arial" w:eastAsiaTheme="minorHAnsi" w:hAnsi="Arial" w:cs="Arial"/>
          <w:color w:val="000000"/>
          <w:sz w:val="23"/>
          <w:szCs w:val="23"/>
        </w:rPr>
      </w:pPr>
      <w:r w:rsidRPr="00525B7F">
        <w:rPr>
          <w:rFonts w:ascii="Arial" w:eastAsiaTheme="minorHAnsi" w:hAnsi="Arial" w:cs="Arial"/>
          <w:color w:val="000000"/>
          <w:sz w:val="23"/>
          <w:szCs w:val="23"/>
        </w:rPr>
        <w:t xml:space="preserve">5.3 </w:t>
      </w:r>
      <w:r w:rsidRPr="00525B7F">
        <w:rPr>
          <w:rFonts w:ascii="Arial" w:eastAsiaTheme="minorHAnsi" w:hAnsi="Arial" w:cs="Arial"/>
          <w:color w:val="000000"/>
          <w:sz w:val="23"/>
          <w:szCs w:val="23"/>
          <w:u w:val="single"/>
        </w:rPr>
        <w:t>Infusion Containers</w:t>
      </w:r>
      <w:r w:rsidRPr="00525B7F">
        <w:rPr>
          <w:rFonts w:ascii="Arial" w:eastAsiaTheme="minorHAnsi" w:hAnsi="Arial" w:cs="Arial"/>
          <w:color w:val="000000"/>
          <w:sz w:val="23"/>
          <w:szCs w:val="23"/>
        </w:rPr>
        <w:t xml:space="preserve"> </w:t>
      </w:r>
    </w:p>
    <w:p w14:paraId="604BC218" w14:textId="77777777" w:rsidR="00525B7F" w:rsidRDefault="00525B7F" w:rsidP="00280F75">
      <w:pPr>
        <w:autoSpaceDE w:val="0"/>
        <w:autoSpaceDN w:val="0"/>
        <w:adjustRightInd w:val="0"/>
        <w:jc w:val="both"/>
        <w:rPr>
          <w:rFonts w:ascii="Arial" w:eastAsiaTheme="minorHAnsi" w:hAnsi="Arial" w:cs="Arial"/>
          <w:color w:val="000000"/>
          <w:sz w:val="23"/>
          <w:szCs w:val="23"/>
        </w:rPr>
      </w:pPr>
    </w:p>
    <w:p w14:paraId="13F9AF68" w14:textId="0F0F7D6F" w:rsidR="00525B7F" w:rsidRPr="00525B7F" w:rsidRDefault="00525B7F" w:rsidP="00280F75">
      <w:pPr>
        <w:autoSpaceDE w:val="0"/>
        <w:autoSpaceDN w:val="0"/>
        <w:adjustRightInd w:val="0"/>
        <w:jc w:val="both"/>
        <w:rPr>
          <w:rFonts w:ascii="Arial" w:eastAsiaTheme="minorHAnsi" w:hAnsi="Arial" w:cs="Arial"/>
          <w:color w:val="000000"/>
          <w:sz w:val="23"/>
          <w:szCs w:val="23"/>
        </w:rPr>
      </w:pPr>
      <w:r w:rsidRPr="00525B7F">
        <w:rPr>
          <w:rFonts w:ascii="Arial" w:eastAsiaTheme="minorHAnsi" w:hAnsi="Arial" w:cs="Arial"/>
          <w:color w:val="000000"/>
          <w:sz w:val="23"/>
          <w:szCs w:val="23"/>
        </w:rPr>
        <w:t xml:space="preserve">Non-PVC containers (polyolefin) should routinely be the first choice container. The choice of flexible versus semi-rigid containers is product and/or study specific but it may not always be possible to extrapolate between the two due to fundamental differences in certain properties, which include the material and quantity of residual air. </w:t>
      </w:r>
    </w:p>
    <w:p w14:paraId="6CCADE81" w14:textId="77777777" w:rsidR="00525B7F" w:rsidRPr="00525B7F" w:rsidRDefault="00525B7F" w:rsidP="00280F75">
      <w:pPr>
        <w:autoSpaceDE w:val="0"/>
        <w:autoSpaceDN w:val="0"/>
        <w:adjustRightInd w:val="0"/>
        <w:jc w:val="both"/>
        <w:rPr>
          <w:rFonts w:ascii="Arial" w:eastAsiaTheme="minorHAnsi" w:hAnsi="Arial" w:cs="Arial"/>
          <w:color w:val="000000"/>
          <w:sz w:val="23"/>
          <w:szCs w:val="23"/>
        </w:rPr>
      </w:pPr>
      <w:r w:rsidRPr="00525B7F">
        <w:rPr>
          <w:rFonts w:ascii="Arial" w:eastAsiaTheme="minorHAnsi" w:hAnsi="Arial" w:cs="Arial"/>
          <w:color w:val="000000"/>
          <w:sz w:val="23"/>
          <w:szCs w:val="23"/>
        </w:rPr>
        <w:t xml:space="preserve">5.4 </w:t>
      </w:r>
      <w:r w:rsidRPr="00525B7F">
        <w:rPr>
          <w:rFonts w:ascii="Arial" w:eastAsiaTheme="minorHAnsi" w:hAnsi="Arial" w:cs="Arial"/>
          <w:color w:val="000000"/>
          <w:sz w:val="23"/>
          <w:szCs w:val="23"/>
          <w:u w:val="single"/>
        </w:rPr>
        <w:t>Ambulatory Infuser Devices</w:t>
      </w:r>
      <w:r w:rsidRPr="00525B7F">
        <w:rPr>
          <w:rFonts w:ascii="Arial" w:eastAsiaTheme="minorHAnsi" w:hAnsi="Arial" w:cs="Arial"/>
          <w:color w:val="000000"/>
          <w:sz w:val="23"/>
          <w:szCs w:val="23"/>
        </w:rPr>
        <w:t xml:space="preserve"> </w:t>
      </w:r>
    </w:p>
    <w:p w14:paraId="2D37E806" w14:textId="77777777" w:rsidR="00525B7F" w:rsidRDefault="00525B7F" w:rsidP="00280F75">
      <w:pPr>
        <w:autoSpaceDE w:val="0"/>
        <w:autoSpaceDN w:val="0"/>
        <w:adjustRightInd w:val="0"/>
        <w:jc w:val="both"/>
        <w:rPr>
          <w:rFonts w:ascii="Arial" w:eastAsiaTheme="minorHAnsi" w:hAnsi="Arial" w:cs="Arial"/>
          <w:color w:val="000000"/>
          <w:sz w:val="23"/>
          <w:szCs w:val="23"/>
        </w:rPr>
      </w:pPr>
    </w:p>
    <w:p w14:paraId="3DC6DDC5" w14:textId="54CCE686" w:rsidR="00525B7F" w:rsidRDefault="00525B7F" w:rsidP="00280F75">
      <w:pPr>
        <w:autoSpaceDE w:val="0"/>
        <w:autoSpaceDN w:val="0"/>
        <w:adjustRightInd w:val="0"/>
        <w:jc w:val="both"/>
        <w:rPr>
          <w:rFonts w:ascii="Arial" w:eastAsiaTheme="minorHAnsi" w:hAnsi="Arial" w:cs="Arial"/>
          <w:color w:val="000000"/>
          <w:sz w:val="23"/>
          <w:szCs w:val="23"/>
        </w:rPr>
      </w:pPr>
      <w:r w:rsidRPr="00525B7F">
        <w:rPr>
          <w:rFonts w:ascii="Arial" w:eastAsiaTheme="minorHAnsi" w:hAnsi="Arial" w:cs="Arial"/>
          <w:color w:val="000000"/>
          <w:sz w:val="23"/>
          <w:szCs w:val="23"/>
        </w:rPr>
        <w:t xml:space="preserve">There are a range of elastomeric devices as well as other ambulatory infuser devices. These should be included in studies when such devices will be used for administration. In addition, the drug contact surfaces need to be understood if data is extrapolated between different types of elastomeric and other infusion devices. </w:t>
      </w:r>
    </w:p>
    <w:p w14:paraId="53B4934C" w14:textId="77777777" w:rsidR="00525B7F" w:rsidRPr="00525B7F" w:rsidRDefault="00525B7F" w:rsidP="00280F75">
      <w:pPr>
        <w:autoSpaceDE w:val="0"/>
        <w:autoSpaceDN w:val="0"/>
        <w:adjustRightInd w:val="0"/>
        <w:jc w:val="both"/>
        <w:rPr>
          <w:rFonts w:ascii="Arial" w:eastAsiaTheme="minorHAnsi" w:hAnsi="Arial" w:cs="Arial"/>
          <w:color w:val="000000"/>
          <w:sz w:val="23"/>
          <w:szCs w:val="23"/>
        </w:rPr>
      </w:pPr>
    </w:p>
    <w:p w14:paraId="11369F6B" w14:textId="77777777" w:rsidR="00525B7F" w:rsidRPr="00525B7F" w:rsidRDefault="00525B7F" w:rsidP="00280F75">
      <w:pPr>
        <w:autoSpaceDE w:val="0"/>
        <w:autoSpaceDN w:val="0"/>
        <w:adjustRightInd w:val="0"/>
        <w:jc w:val="both"/>
        <w:rPr>
          <w:rFonts w:ascii="Arial" w:eastAsiaTheme="minorHAnsi" w:hAnsi="Arial" w:cs="Arial"/>
          <w:color w:val="000000"/>
          <w:sz w:val="23"/>
          <w:szCs w:val="23"/>
        </w:rPr>
      </w:pPr>
      <w:r w:rsidRPr="00525B7F">
        <w:rPr>
          <w:rFonts w:ascii="Arial" w:eastAsiaTheme="minorHAnsi" w:hAnsi="Arial" w:cs="Arial"/>
          <w:color w:val="000000"/>
          <w:sz w:val="23"/>
          <w:szCs w:val="23"/>
        </w:rPr>
        <w:t xml:space="preserve">5.5 </w:t>
      </w:r>
      <w:r w:rsidRPr="00525B7F">
        <w:rPr>
          <w:rFonts w:ascii="Arial" w:eastAsiaTheme="minorHAnsi" w:hAnsi="Arial" w:cs="Arial"/>
          <w:color w:val="000000"/>
          <w:sz w:val="23"/>
          <w:szCs w:val="23"/>
          <w:u w:val="single"/>
        </w:rPr>
        <w:t>Glass vials</w:t>
      </w:r>
      <w:r w:rsidRPr="00525B7F">
        <w:rPr>
          <w:rFonts w:ascii="Arial" w:eastAsiaTheme="minorHAnsi" w:hAnsi="Arial" w:cs="Arial"/>
          <w:color w:val="000000"/>
          <w:sz w:val="23"/>
          <w:szCs w:val="23"/>
        </w:rPr>
        <w:t xml:space="preserve"> </w:t>
      </w:r>
    </w:p>
    <w:p w14:paraId="42514110" w14:textId="77777777" w:rsidR="00525B7F" w:rsidRDefault="00525B7F" w:rsidP="00280F75">
      <w:pPr>
        <w:autoSpaceDE w:val="0"/>
        <w:autoSpaceDN w:val="0"/>
        <w:adjustRightInd w:val="0"/>
        <w:jc w:val="both"/>
        <w:rPr>
          <w:rFonts w:ascii="Arial" w:eastAsiaTheme="minorHAnsi" w:hAnsi="Arial" w:cs="Arial"/>
          <w:color w:val="000000"/>
          <w:sz w:val="23"/>
          <w:szCs w:val="23"/>
        </w:rPr>
      </w:pPr>
    </w:p>
    <w:p w14:paraId="778E7EF8" w14:textId="4239CFD7" w:rsidR="00525B7F" w:rsidRDefault="00525B7F" w:rsidP="00280F75">
      <w:pPr>
        <w:autoSpaceDE w:val="0"/>
        <w:autoSpaceDN w:val="0"/>
        <w:adjustRightInd w:val="0"/>
        <w:jc w:val="both"/>
        <w:rPr>
          <w:rFonts w:ascii="Arial" w:eastAsiaTheme="minorHAnsi" w:hAnsi="Arial" w:cs="Arial"/>
          <w:color w:val="000000"/>
          <w:sz w:val="23"/>
          <w:szCs w:val="23"/>
        </w:rPr>
      </w:pPr>
      <w:r w:rsidRPr="00525B7F">
        <w:rPr>
          <w:rFonts w:ascii="Arial" w:eastAsiaTheme="minorHAnsi" w:hAnsi="Arial" w:cs="Arial"/>
          <w:color w:val="000000"/>
          <w:sz w:val="23"/>
          <w:szCs w:val="23"/>
        </w:rPr>
        <w:t xml:space="preserve">The type of glass and the nature of the vial stopper are important considerations when using glass vials as final containers. The physical robustness and potential for microbiological ingress should also be considered. </w:t>
      </w:r>
    </w:p>
    <w:p w14:paraId="3EE73A74" w14:textId="77777777" w:rsidR="00525B7F" w:rsidRPr="00525B7F" w:rsidRDefault="00525B7F" w:rsidP="00280F75">
      <w:pPr>
        <w:autoSpaceDE w:val="0"/>
        <w:autoSpaceDN w:val="0"/>
        <w:adjustRightInd w:val="0"/>
        <w:jc w:val="both"/>
        <w:rPr>
          <w:rFonts w:ascii="Arial" w:eastAsiaTheme="minorHAnsi" w:hAnsi="Arial" w:cs="Arial"/>
          <w:color w:val="000000"/>
          <w:sz w:val="23"/>
          <w:szCs w:val="23"/>
        </w:rPr>
      </w:pPr>
    </w:p>
    <w:p w14:paraId="30A9EBA7" w14:textId="77777777" w:rsidR="00525B7F" w:rsidRPr="00525B7F" w:rsidRDefault="00525B7F" w:rsidP="00280F75">
      <w:pPr>
        <w:autoSpaceDE w:val="0"/>
        <w:autoSpaceDN w:val="0"/>
        <w:adjustRightInd w:val="0"/>
        <w:jc w:val="both"/>
        <w:rPr>
          <w:rFonts w:ascii="Arial" w:eastAsiaTheme="minorHAnsi" w:hAnsi="Arial" w:cs="Arial"/>
          <w:color w:val="000000"/>
          <w:sz w:val="23"/>
          <w:szCs w:val="23"/>
        </w:rPr>
      </w:pPr>
      <w:r w:rsidRPr="00525B7F">
        <w:rPr>
          <w:rFonts w:ascii="Arial" w:eastAsiaTheme="minorHAnsi" w:hAnsi="Arial" w:cs="Arial"/>
          <w:color w:val="000000"/>
          <w:sz w:val="23"/>
          <w:szCs w:val="23"/>
        </w:rPr>
        <w:t xml:space="preserve">5.6 </w:t>
      </w:r>
      <w:r w:rsidRPr="00525B7F">
        <w:rPr>
          <w:rFonts w:ascii="Arial" w:eastAsiaTheme="minorHAnsi" w:hAnsi="Arial" w:cs="Arial"/>
          <w:color w:val="000000"/>
          <w:sz w:val="23"/>
          <w:szCs w:val="23"/>
          <w:u w:val="single"/>
        </w:rPr>
        <w:t>Eye dropper bottles</w:t>
      </w:r>
      <w:r w:rsidRPr="00525B7F">
        <w:rPr>
          <w:rFonts w:ascii="Arial" w:eastAsiaTheme="minorHAnsi" w:hAnsi="Arial" w:cs="Arial"/>
          <w:color w:val="000000"/>
          <w:sz w:val="23"/>
          <w:szCs w:val="23"/>
        </w:rPr>
        <w:t xml:space="preserve"> </w:t>
      </w:r>
    </w:p>
    <w:p w14:paraId="535C7030" w14:textId="77777777" w:rsidR="00525B7F" w:rsidRDefault="00525B7F" w:rsidP="00280F75">
      <w:pPr>
        <w:jc w:val="both"/>
        <w:rPr>
          <w:rFonts w:ascii="Arial" w:eastAsiaTheme="minorHAnsi" w:hAnsi="Arial" w:cs="Arial"/>
          <w:color w:val="000000"/>
          <w:sz w:val="23"/>
          <w:szCs w:val="23"/>
        </w:rPr>
      </w:pPr>
    </w:p>
    <w:p w14:paraId="229F968B" w14:textId="7843EB5D" w:rsidR="00525B7F" w:rsidRDefault="00525B7F" w:rsidP="00280F75">
      <w:pPr>
        <w:jc w:val="both"/>
        <w:rPr>
          <w:rFonts w:ascii="Arial" w:eastAsiaTheme="minorHAnsi" w:hAnsi="Arial" w:cs="Arial"/>
          <w:color w:val="000000"/>
          <w:sz w:val="23"/>
          <w:szCs w:val="23"/>
        </w:rPr>
      </w:pPr>
      <w:r w:rsidRPr="00525B7F">
        <w:rPr>
          <w:rFonts w:ascii="Arial" w:eastAsiaTheme="minorHAnsi" w:hAnsi="Arial" w:cs="Arial"/>
          <w:color w:val="000000"/>
          <w:sz w:val="23"/>
          <w:szCs w:val="23"/>
        </w:rPr>
        <w:t>Eye dropper bottles may include capped glass bottles (with a screw top or dropper) or plastic three piece eye dropper bottles. A stability study must be carried out in the container in which the product will be supplied; physical robustness and container integrity are important considerations</w:t>
      </w:r>
    </w:p>
    <w:p w14:paraId="404EF617" w14:textId="30439E35" w:rsidR="0036312E" w:rsidRPr="0036312E" w:rsidRDefault="0036312E" w:rsidP="00280F75">
      <w:pPr>
        <w:jc w:val="both"/>
        <w:rPr>
          <w:rFonts w:ascii="Arial" w:hAnsi="Arial" w:cs="Arial"/>
        </w:rPr>
      </w:pPr>
    </w:p>
    <w:p w14:paraId="2D192688" w14:textId="38E7E9A0" w:rsidR="0036312E" w:rsidRDefault="0036312E" w:rsidP="00280F75">
      <w:pPr>
        <w:jc w:val="both"/>
        <w:rPr>
          <w:rFonts w:ascii="Arial" w:eastAsiaTheme="minorHAnsi" w:hAnsi="Arial" w:cs="Arial"/>
          <w:color w:val="000000"/>
          <w:sz w:val="23"/>
          <w:szCs w:val="23"/>
        </w:rPr>
      </w:pPr>
    </w:p>
    <w:p w14:paraId="65D58725" w14:textId="77777777" w:rsidR="0036312E" w:rsidRPr="0036312E" w:rsidRDefault="0036312E" w:rsidP="00280F75">
      <w:pPr>
        <w:autoSpaceDE w:val="0"/>
        <w:autoSpaceDN w:val="0"/>
        <w:adjustRightInd w:val="0"/>
        <w:jc w:val="both"/>
        <w:rPr>
          <w:rFonts w:ascii="Arial" w:eastAsiaTheme="minorHAnsi" w:hAnsi="Arial" w:cs="Arial"/>
          <w:color w:val="000000"/>
          <w:sz w:val="23"/>
          <w:szCs w:val="23"/>
        </w:rPr>
      </w:pPr>
      <w:r w:rsidRPr="0036312E">
        <w:rPr>
          <w:rFonts w:ascii="Arial" w:eastAsiaTheme="minorHAnsi" w:hAnsi="Arial" w:cs="Arial"/>
          <w:b/>
          <w:bCs/>
          <w:color w:val="000000"/>
          <w:sz w:val="23"/>
          <w:szCs w:val="23"/>
        </w:rPr>
        <w:t xml:space="preserve">6. </w:t>
      </w:r>
      <w:r w:rsidRPr="0036312E">
        <w:rPr>
          <w:rFonts w:ascii="Arial" w:eastAsiaTheme="minorHAnsi" w:hAnsi="Arial" w:cs="Arial"/>
          <w:b/>
          <w:bCs/>
          <w:color w:val="000000"/>
          <w:sz w:val="23"/>
          <w:szCs w:val="23"/>
          <w:u w:val="single"/>
        </w:rPr>
        <w:t>Concentrations</w:t>
      </w:r>
      <w:r w:rsidRPr="0036312E">
        <w:rPr>
          <w:rFonts w:ascii="Arial" w:eastAsiaTheme="minorHAnsi" w:hAnsi="Arial" w:cs="Arial"/>
          <w:b/>
          <w:bCs/>
          <w:color w:val="000000"/>
          <w:sz w:val="23"/>
          <w:szCs w:val="23"/>
        </w:rPr>
        <w:t xml:space="preserve"> </w:t>
      </w:r>
    </w:p>
    <w:p w14:paraId="49545218" w14:textId="77777777" w:rsidR="0036312E" w:rsidRDefault="0036312E" w:rsidP="00280F75">
      <w:pPr>
        <w:autoSpaceDE w:val="0"/>
        <w:autoSpaceDN w:val="0"/>
        <w:adjustRightInd w:val="0"/>
        <w:jc w:val="both"/>
        <w:rPr>
          <w:rFonts w:ascii="Arial" w:eastAsiaTheme="minorHAnsi" w:hAnsi="Arial" w:cs="Arial"/>
          <w:color w:val="000000"/>
          <w:sz w:val="23"/>
          <w:szCs w:val="23"/>
        </w:rPr>
      </w:pPr>
    </w:p>
    <w:p w14:paraId="4BAE9585" w14:textId="42DE434D" w:rsidR="0036312E" w:rsidRDefault="0036312E" w:rsidP="00280F75">
      <w:pPr>
        <w:autoSpaceDE w:val="0"/>
        <w:autoSpaceDN w:val="0"/>
        <w:adjustRightInd w:val="0"/>
        <w:jc w:val="both"/>
        <w:rPr>
          <w:rFonts w:ascii="Arial" w:eastAsiaTheme="minorHAnsi" w:hAnsi="Arial" w:cs="Arial"/>
          <w:color w:val="000000"/>
          <w:sz w:val="23"/>
          <w:szCs w:val="23"/>
        </w:rPr>
      </w:pPr>
      <w:r w:rsidRPr="0036312E">
        <w:rPr>
          <w:rFonts w:ascii="Arial" w:eastAsiaTheme="minorHAnsi" w:hAnsi="Arial" w:cs="Arial"/>
          <w:color w:val="000000"/>
          <w:sz w:val="23"/>
          <w:szCs w:val="23"/>
        </w:rPr>
        <w:t xml:space="preserve">Ideally each drug should be studied at each of a low and high clinically relevant concentration. In this way, if there is consistent degradation reaction kinetics of the drug then it should be possible to interpolate to concentrations in between the two. If there is likely to be a significant difference in stability across a range of concentrations or another physical stability issue then additional concentrations may also be required. </w:t>
      </w:r>
    </w:p>
    <w:p w14:paraId="63C8BFFB" w14:textId="77777777" w:rsidR="0036312E" w:rsidRPr="0036312E" w:rsidRDefault="0036312E" w:rsidP="00280F75">
      <w:pPr>
        <w:autoSpaceDE w:val="0"/>
        <w:autoSpaceDN w:val="0"/>
        <w:adjustRightInd w:val="0"/>
        <w:jc w:val="both"/>
        <w:rPr>
          <w:rFonts w:ascii="Arial" w:eastAsiaTheme="minorHAnsi" w:hAnsi="Arial" w:cs="Arial"/>
          <w:color w:val="000000"/>
          <w:sz w:val="23"/>
          <w:szCs w:val="23"/>
        </w:rPr>
      </w:pPr>
    </w:p>
    <w:p w14:paraId="03AAEB8F" w14:textId="77777777" w:rsidR="0036312E" w:rsidRPr="0036312E" w:rsidRDefault="0036312E" w:rsidP="00280F75">
      <w:pPr>
        <w:autoSpaceDE w:val="0"/>
        <w:autoSpaceDN w:val="0"/>
        <w:adjustRightInd w:val="0"/>
        <w:jc w:val="both"/>
        <w:rPr>
          <w:rFonts w:ascii="Arial" w:eastAsiaTheme="minorHAnsi" w:hAnsi="Arial" w:cs="Arial"/>
          <w:color w:val="000000"/>
          <w:sz w:val="23"/>
          <w:szCs w:val="23"/>
        </w:rPr>
      </w:pPr>
      <w:r w:rsidRPr="0036312E">
        <w:rPr>
          <w:rFonts w:ascii="Arial" w:eastAsiaTheme="minorHAnsi" w:hAnsi="Arial" w:cs="Arial"/>
          <w:b/>
          <w:bCs/>
          <w:color w:val="000000"/>
          <w:sz w:val="23"/>
          <w:szCs w:val="23"/>
        </w:rPr>
        <w:t xml:space="preserve">7. </w:t>
      </w:r>
      <w:r w:rsidRPr="0036312E">
        <w:rPr>
          <w:rFonts w:ascii="Arial" w:eastAsiaTheme="minorHAnsi" w:hAnsi="Arial" w:cs="Arial"/>
          <w:b/>
          <w:bCs/>
          <w:color w:val="000000"/>
          <w:sz w:val="23"/>
          <w:szCs w:val="23"/>
          <w:u w:val="single"/>
        </w:rPr>
        <w:t>Storage Conditions</w:t>
      </w:r>
      <w:r w:rsidRPr="0036312E">
        <w:rPr>
          <w:rFonts w:ascii="Arial" w:eastAsiaTheme="minorHAnsi" w:hAnsi="Arial" w:cs="Arial"/>
          <w:b/>
          <w:bCs/>
          <w:color w:val="000000"/>
          <w:sz w:val="23"/>
          <w:szCs w:val="23"/>
        </w:rPr>
        <w:t xml:space="preserve"> </w:t>
      </w:r>
    </w:p>
    <w:p w14:paraId="0A8554A5" w14:textId="77777777" w:rsidR="0036312E" w:rsidRDefault="0036312E" w:rsidP="00280F75">
      <w:pPr>
        <w:autoSpaceDE w:val="0"/>
        <w:autoSpaceDN w:val="0"/>
        <w:adjustRightInd w:val="0"/>
        <w:jc w:val="both"/>
        <w:rPr>
          <w:rFonts w:ascii="Arial" w:eastAsiaTheme="minorHAnsi" w:hAnsi="Arial" w:cs="Arial"/>
          <w:color w:val="000000"/>
          <w:sz w:val="23"/>
          <w:szCs w:val="23"/>
        </w:rPr>
      </w:pPr>
    </w:p>
    <w:p w14:paraId="4F1B7110" w14:textId="256E9538" w:rsidR="0036312E" w:rsidRDefault="0036312E" w:rsidP="00280F75">
      <w:pPr>
        <w:autoSpaceDE w:val="0"/>
        <w:autoSpaceDN w:val="0"/>
        <w:adjustRightInd w:val="0"/>
        <w:jc w:val="both"/>
        <w:rPr>
          <w:rFonts w:ascii="Arial" w:eastAsiaTheme="minorHAnsi" w:hAnsi="Arial" w:cs="Arial"/>
          <w:color w:val="000000"/>
          <w:sz w:val="23"/>
          <w:szCs w:val="23"/>
        </w:rPr>
      </w:pPr>
      <w:r w:rsidRPr="0036312E">
        <w:rPr>
          <w:rFonts w:ascii="Arial" w:eastAsiaTheme="minorHAnsi" w:hAnsi="Arial" w:cs="Arial"/>
          <w:color w:val="000000"/>
          <w:sz w:val="23"/>
          <w:szCs w:val="23"/>
        </w:rPr>
        <w:t xml:space="preserve">Standard storage conditions can be found in Table 1. Control of relative humidity is not required for aseptically prepared products because they are essentially aqueous solutions and the storage times comparatively short. However, the properties of the container need to be assessed and understood (e.g. water loss by weight loss on storage, see above). </w:t>
      </w:r>
    </w:p>
    <w:p w14:paraId="1E5F5419" w14:textId="4A29F2E3" w:rsidR="0036312E" w:rsidRDefault="0036312E" w:rsidP="00280F75">
      <w:pPr>
        <w:autoSpaceDE w:val="0"/>
        <w:autoSpaceDN w:val="0"/>
        <w:adjustRightInd w:val="0"/>
        <w:jc w:val="both"/>
        <w:rPr>
          <w:rFonts w:ascii="Arial" w:eastAsiaTheme="minorHAnsi" w:hAnsi="Arial" w:cs="Arial"/>
          <w:color w:val="000000"/>
          <w:sz w:val="23"/>
          <w:szCs w:val="23"/>
        </w:rPr>
      </w:pPr>
    </w:p>
    <w:p w14:paraId="65B88EF8" w14:textId="77777777" w:rsidR="0036312E" w:rsidRPr="0036312E" w:rsidRDefault="0036312E" w:rsidP="00280F75">
      <w:pPr>
        <w:autoSpaceDE w:val="0"/>
        <w:autoSpaceDN w:val="0"/>
        <w:adjustRightInd w:val="0"/>
        <w:jc w:val="both"/>
        <w:rPr>
          <w:rFonts w:ascii="Arial" w:eastAsiaTheme="minorHAnsi" w:hAnsi="Arial" w:cs="Arial"/>
          <w:color w:val="000000"/>
          <w:sz w:val="23"/>
          <w:szCs w:val="23"/>
        </w:rPr>
      </w:pPr>
    </w:p>
    <w:p w14:paraId="33FA7E23" w14:textId="1E8EA487" w:rsidR="0036312E" w:rsidRDefault="0036312E" w:rsidP="00280F75">
      <w:pPr>
        <w:jc w:val="both"/>
        <w:rPr>
          <w:rFonts w:ascii="Arial" w:eastAsiaTheme="minorHAnsi" w:hAnsi="Arial" w:cs="Arial"/>
          <w:b/>
          <w:bCs/>
          <w:color w:val="000000"/>
          <w:sz w:val="23"/>
          <w:szCs w:val="23"/>
        </w:rPr>
      </w:pPr>
      <w:r w:rsidRPr="0036312E">
        <w:rPr>
          <w:rFonts w:ascii="Arial" w:eastAsiaTheme="minorHAnsi" w:hAnsi="Arial" w:cs="Arial"/>
          <w:b/>
          <w:bCs/>
          <w:color w:val="000000"/>
          <w:sz w:val="23"/>
          <w:szCs w:val="23"/>
        </w:rPr>
        <w:t>Table 1. A summary of stability testing temperature requirements</w:t>
      </w:r>
    </w:p>
    <w:p w14:paraId="614A8E48" w14:textId="044145B0" w:rsidR="0036312E" w:rsidRPr="0036312E" w:rsidRDefault="0036312E" w:rsidP="00280F75">
      <w:pPr>
        <w:jc w:val="both"/>
        <w:rPr>
          <w:rFonts w:ascii="Arial" w:hAnsi="Arial" w:cs="Arial"/>
        </w:rPr>
      </w:pPr>
    </w:p>
    <w:p w14:paraId="571B2922" w14:textId="4805E008" w:rsidR="0036312E" w:rsidRPr="0036312E" w:rsidRDefault="0036312E" w:rsidP="00280F75">
      <w:pPr>
        <w:jc w:val="both"/>
        <w:rPr>
          <w:rFonts w:ascii="Arial" w:hAnsi="Arial" w:cs="Arial"/>
        </w:rPr>
      </w:pPr>
    </w:p>
    <w:p w14:paraId="24707537" w14:textId="094D7E73" w:rsidR="0036312E" w:rsidRDefault="0036312E" w:rsidP="00280F75">
      <w:pPr>
        <w:jc w:val="both"/>
        <w:rPr>
          <w:rFonts w:ascii="Arial" w:eastAsiaTheme="minorHAnsi" w:hAnsi="Arial" w:cs="Arial"/>
          <w:b/>
          <w:bCs/>
          <w:color w:val="000000"/>
          <w:sz w:val="23"/>
          <w:szCs w:val="23"/>
        </w:rPr>
      </w:pPr>
    </w:p>
    <w:p w14:paraId="7CF8AF7B" w14:textId="6F7A232E" w:rsidR="0036312E" w:rsidRDefault="0036312E" w:rsidP="00280F75">
      <w:pPr>
        <w:jc w:val="both"/>
        <w:rPr>
          <w:rFonts w:ascii="Arial" w:hAnsi="Arial" w:cs="Arial"/>
        </w:rPr>
      </w:pPr>
      <w:r>
        <w:rPr>
          <w:noProof/>
        </w:rPr>
        <w:drawing>
          <wp:inline distT="0" distB="0" distL="0" distR="0" wp14:anchorId="64F8D02A" wp14:editId="3856BE04">
            <wp:extent cx="5133975" cy="26289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133975" cy="2628900"/>
                    </a:xfrm>
                    <a:prstGeom prst="rect">
                      <a:avLst/>
                    </a:prstGeom>
                  </pic:spPr>
                </pic:pic>
              </a:graphicData>
            </a:graphic>
          </wp:inline>
        </w:drawing>
      </w:r>
    </w:p>
    <w:p w14:paraId="30A7E2EB" w14:textId="33B91E40" w:rsidR="0036312E" w:rsidRDefault="0036312E" w:rsidP="00280F75">
      <w:pPr>
        <w:jc w:val="both"/>
        <w:rPr>
          <w:rFonts w:ascii="Arial" w:hAnsi="Arial" w:cs="Arial"/>
        </w:rPr>
      </w:pPr>
    </w:p>
    <w:p w14:paraId="5FCA3EA9" w14:textId="7F41241A" w:rsidR="0036312E" w:rsidRDefault="0036312E" w:rsidP="00280F75">
      <w:pPr>
        <w:jc w:val="both"/>
        <w:rPr>
          <w:rFonts w:ascii="Arial" w:hAnsi="Arial" w:cs="Arial"/>
          <w:sz w:val="23"/>
          <w:szCs w:val="23"/>
        </w:rPr>
      </w:pPr>
      <w:r w:rsidRPr="0036312E">
        <w:rPr>
          <w:rFonts w:ascii="Arial" w:hAnsi="Arial" w:cs="Arial"/>
          <w:sz w:val="16"/>
          <w:szCs w:val="16"/>
        </w:rPr>
        <w:t xml:space="preserve">a </w:t>
      </w:r>
      <w:r w:rsidRPr="0036312E">
        <w:rPr>
          <w:rFonts w:ascii="Arial" w:hAnsi="Arial" w:cs="Arial"/>
          <w:sz w:val="23"/>
          <w:szCs w:val="23"/>
        </w:rPr>
        <w:t>Represents a “worst case scenario” for device reservoirs worn under clothes</w:t>
      </w:r>
    </w:p>
    <w:p w14:paraId="01130318" w14:textId="44670D19" w:rsidR="0036312E" w:rsidRDefault="0036312E" w:rsidP="00280F75">
      <w:pPr>
        <w:jc w:val="both"/>
        <w:rPr>
          <w:rFonts w:ascii="Arial" w:hAnsi="Arial" w:cs="Arial"/>
        </w:rPr>
      </w:pPr>
    </w:p>
    <w:p w14:paraId="406E5B23" w14:textId="77777777" w:rsidR="00280F75" w:rsidRPr="0036312E" w:rsidRDefault="00280F75" w:rsidP="00280F75">
      <w:pPr>
        <w:jc w:val="both"/>
        <w:rPr>
          <w:rFonts w:ascii="Arial" w:hAnsi="Arial" w:cs="Arial"/>
        </w:rPr>
      </w:pPr>
    </w:p>
    <w:p w14:paraId="39E1EF21" w14:textId="77777777" w:rsidR="0036312E" w:rsidRPr="0036312E" w:rsidRDefault="0036312E" w:rsidP="00280F75">
      <w:pPr>
        <w:autoSpaceDE w:val="0"/>
        <w:autoSpaceDN w:val="0"/>
        <w:adjustRightInd w:val="0"/>
        <w:jc w:val="both"/>
        <w:rPr>
          <w:rFonts w:ascii="Arial" w:eastAsiaTheme="minorHAnsi" w:hAnsi="Arial" w:cs="Arial"/>
          <w:color w:val="000000"/>
          <w:sz w:val="23"/>
          <w:szCs w:val="23"/>
        </w:rPr>
      </w:pPr>
      <w:r w:rsidRPr="0036312E">
        <w:rPr>
          <w:rFonts w:ascii="Arial" w:eastAsiaTheme="minorHAnsi" w:hAnsi="Arial" w:cs="Arial"/>
          <w:b/>
          <w:bCs/>
          <w:color w:val="000000"/>
          <w:sz w:val="23"/>
          <w:szCs w:val="23"/>
        </w:rPr>
        <w:t xml:space="preserve">8. </w:t>
      </w:r>
      <w:r w:rsidRPr="0036312E">
        <w:rPr>
          <w:rFonts w:ascii="Arial" w:eastAsiaTheme="minorHAnsi" w:hAnsi="Arial" w:cs="Arial"/>
          <w:b/>
          <w:bCs/>
          <w:color w:val="000000"/>
          <w:sz w:val="23"/>
          <w:szCs w:val="23"/>
          <w:u w:val="single"/>
        </w:rPr>
        <w:t>Storage Protocols</w:t>
      </w:r>
      <w:r w:rsidRPr="0036312E">
        <w:rPr>
          <w:rFonts w:ascii="Arial" w:eastAsiaTheme="minorHAnsi" w:hAnsi="Arial" w:cs="Arial"/>
          <w:b/>
          <w:bCs/>
          <w:color w:val="000000"/>
          <w:sz w:val="23"/>
          <w:szCs w:val="23"/>
        </w:rPr>
        <w:t xml:space="preserve"> </w:t>
      </w:r>
    </w:p>
    <w:p w14:paraId="003F579E" w14:textId="77777777" w:rsidR="0036312E" w:rsidRDefault="0036312E" w:rsidP="00280F75">
      <w:pPr>
        <w:autoSpaceDE w:val="0"/>
        <w:autoSpaceDN w:val="0"/>
        <w:adjustRightInd w:val="0"/>
        <w:jc w:val="both"/>
        <w:rPr>
          <w:rFonts w:ascii="Arial" w:eastAsiaTheme="minorHAnsi" w:hAnsi="Arial" w:cs="Arial"/>
          <w:color w:val="000000"/>
          <w:sz w:val="23"/>
          <w:szCs w:val="23"/>
        </w:rPr>
      </w:pPr>
    </w:p>
    <w:p w14:paraId="3CE9030C" w14:textId="77777777" w:rsidR="0036312E" w:rsidRDefault="0036312E" w:rsidP="00280F75">
      <w:pPr>
        <w:autoSpaceDE w:val="0"/>
        <w:autoSpaceDN w:val="0"/>
        <w:adjustRightInd w:val="0"/>
        <w:jc w:val="both"/>
        <w:rPr>
          <w:rFonts w:ascii="Arial" w:eastAsiaTheme="minorHAnsi" w:hAnsi="Arial" w:cs="Arial"/>
          <w:color w:val="000000"/>
          <w:sz w:val="23"/>
          <w:szCs w:val="23"/>
        </w:rPr>
      </w:pPr>
      <w:r w:rsidRPr="0036312E">
        <w:rPr>
          <w:rFonts w:ascii="Arial" w:eastAsiaTheme="minorHAnsi" w:hAnsi="Arial" w:cs="Arial"/>
          <w:color w:val="000000"/>
          <w:sz w:val="23"/>
          <w:szCs w:val="23"/>
        </w:rPr>
        <w:t>The conditions referred to within this section can be found in Table 1, temperatures for all storage chambers should be constantly monitored, for example using a wireless monitoring system.</w:t>
      </w:r>
    </w:p>
    <w:p w14:paraId="2B9FA4F9" w14:textId="19110492" w:rsidR="0036312E" w:rsidRPr="0036312E" w:rsidRDefault="0036312E" w:rsidP="00280F75">
      <w:pPr>
        <w:autoSpaceDE w:val="0"/>
        <w:autoSpaceDN w:val="0"/>
        <w:adjustRightInd w:val="0"/>
        <w:jc w:val="both"/>
        <w:rPr>
          <w:rFonts w:ascii="Arial" w:eastAsiaTheme="minorHAnsi" w:hAnsi="Arial" w:cs="Arial"/>
          <w:color w:val="000000"/>
          <w:sz w:val="23"/>
          <w:szCs w:val="23"/>
        </w:rPr>
      </w:pPr>
      <w:r w:rsidRPr="0036312E">
        <w:rPr>
          <w:rFonts w:ascii="Arial" w:eastAsiaTheme="minorHAnsi" w:hAnsi="Arial" w:cs="Arial"/>
          <w:color w:val="000000"/>
          <w:sz w:val="23"/>
          <w:szCs w:val="23"/>
        </w:rPr>
        <w:t xml:space="preserve"> </w:t>
      </w:r>
    </w:p>
    <w:p w14:paraId="2688B216" w14:textId="5226B96F" w:rsidR="0036312E" w:rsidRDefault="0036312E" w:rsidP="00280F75">
      <w:pPr>
        <w:autoSpaceDE w:val="0"/>
        <w:autoSpaceDN w:val="0"/>
        <w:adjustRightInd w:val="0"/>
        <w:jc w:val="both"/>
        <w:rPr>
          <w:rFonts w:ascii="Arial" w:eastAsiaTheme="minorHAnsi" w:hAnsi="Arial" w:cs="Arial"/>
          <w:color w:val="000000"/>
          <w:sz w:val="23"/>
          <w:szCs w:val="23"/>
        </w:rPr>
      </w:pPr>
      <w:r w:rsidRPr="0036312E">
        <w:rPr>
          <w:rFonts w:ascii="Arial" w:eastAsiaTheme="minorHAnsi" w:hAnsi="Arial" w:cs="Arial"/>
          <w:color w:val="000000"/>
          <w:sz w:val="23"/>
          <w:szCs w:val="23"/>
        </w:rPr>
        <w:t xml:space="preserve">8.1 </w:t>
      </w:r>
      <w:r w:rsidRPr="0036312E">
        <w:rPr>
          <w:rFonts w:ascii="Arial" w:eastAsiaTheme="minorHAnsi" w:hAnsi="Arial" w:cs="Arial"/>
          <w:color w:val="000000"/>
          <w:sz w:val="23"/>
          <w:szCs w:val="23"/>
          <w:u w:val="single"/>
        </w:rPr>
        <w:t>Refrigerator stored products</w:t>
      </w:r>
      <w:r w:rsidRPr="0036312E">
        <w:rPr>
          <w:rFonts w:ascii="Arial" w:eastAsiaTheme="minorHAnsi" w:hAnsi="Arial" w:cs="Arial"/>
          <w:color w:val="000000"/>
          <w:sz w:val="23"/>
          <w:szCs w:val="23"/>
        </w:rPr>
        <w:t xml:space="preserve"> </w:t>
      </w:r>
    </w:p>
    <w:p w14:paraId="32A4ADB8" w14:textId="77777777" w:rsidR="0036312E" w:rsidRPr="0036312E" w:rsidRDefault="0036312E" w:rsidP="00280F75">
      <w:pPr>
        <w:autoSpaceDE w:val="0"/>
        <w:autoSpaceDN w:val="0"/>
        <w:adjustRightInd w:val="0"/>
        <w:jc w:val="both"/>
        <w:rPr>
          <w:rFonts w:ascii="Arial" w:eastAsiaTheme="minorHAnsi" w:hAnsi="Arial" w:cs="Arial"/>
          <w:color w:val="000000"/>
          <w:sz w:val="23"/>
          <w:szCs w:val="23"/>
        </w:rPr>
      </w:pPr>
    </w:p>
    <w:p w14:paraId="13AD1243" w14:textId="2699672B" w:rsidR="0036312E" w:rsidRDefault="0036312E" w:rsidP="00280F75">
      <w:pPr>
        <w:jc w:val="both"/>
        <w:rPr>
          <w:rFonts w:ascii="Arial" w:hAnsi="Arial" w:cs="Arial"/>
          <w:sz w:val="23"/>
          <w:szCs w:val="23"/>
        </w:rPr>
      </w:pPr>
      <w:r w:rsidRPr="0036312E">
        <w:rPr>
          <w:rFonts w:ascii="Arial" w:eastAsiaTheme="minorHAnsi" w:hAnsi="Arial" w:cs="Arial"/>
          <w:color w:val="000000"/>
          <w:sz w:val="23"/>
          <w:szCs w:val="23"/>
        </w:rPr>
        <w:t>Products should routinely be stored refrigerated as required by the Farwell Report</w:t>
      </w:r>
      <w:r w:rsidRPr="0036312E">
        <w:rPr>
          <w:rFonts w:ascii="Arial" w:eastAsiaTheme="minorHAnsi" w:hAnsi="Arial" w:cs="Arial"/>
          <w:color w:val="000000"/>
          <w:sz w:val="16"/>
          <w:szCs w:val="16"/>
        </w:rPr>
        <w:t xml:space="preserve">9 </w:t>
      </w:r>
      <w:r w:rsidRPr="0036312E">
        <w:rPr>
          <w:rFonts w:ascii="Arial" w:eastAsiaTheme="minorHAnsi" w:hAnsi="Arial" w:cs="Arial"/>
          <w:color w:val="000000"/>
          <w:sz w:val="23"/>
          <w:szCs w:val="23"/>
        </w:rPr>
        <w:t>unless that is precluded by physical considerations. The assessment of the maximum refrigerated shelf life and ‘in-use’ shelf life at room temperature should be assessed as part of a study. This may be followed by a second ‘sequential’ study</w:t>
      </w:r>
      <w:r>
        <w:rPr>
          <w:rFonts w:ascii="Arial" w:hAnsi="Arial" w:cs="Arial"/>
        </w:rPr>
        <w:t xml:space="preserve"> </w:t>
      </w:r>
      <w:r w:rsidRPr="0036312E">
        <w:rPr>
          <w:rFonts w:ascii="Arial" w:hAnsi="Arial" w:cs="Arial"/>
          <w:sz w:val="23"/>
          <w:szCs w:val="23"/>
        </w:rPr>
        <w:t>including refrigerated storage followed by in-use conditions for an appropriate period prior to testing (Table 1).</w:t>
      </w:r>
    </w:p>
    <w:p w14:paraId="6617B615" w14:textId="36B13F30" w:rsidR="0036312E" w:rsidRDefault="0036312E" w:rsidP="00280F75">
      <w:pPr>
        <w:jc w:val="both"/>
        <w:rPr>
          <w:rFonts w:ascii="Arial" w:hAnsi="Arial" w:cs="Arial"/>
          <w:sz w:val="23"/>
          <w:szCs w:val="23"/>
        </w:rPr>
      </w:pPr>
    </w:p>
    <w:p w14:paraId="7D3F972D" w14:textId="0C261E61" w:rsidR="0036312E" w:rsidRDefault="0036312E" w:rsidP="00280F75">
      <w:pPr>
        <w:autoSpaceDE w:val="0"/>
        <w:autoSpaceDN w:val="0"/>
        <w:adjustRightInd w:val="0"/>
        <w:jc w:val="both"/>
        <w:rPr>
          <w:rFonts w:ascii="Arial" w:eastAsiaTheme="minorHAnsi" w:hAnsi="Arial" w:cs="Arial"/>
          <w:color w:val="000000"/>
          <w:sz w:val="23"/>
          <w:szCs w:val="23"/>
        </w:rPr>
      </w:pPr>
      <w:r w:rsidRPr="0036312E">
        <w:rPr>
          <w:rFonts w:ascii="Arial" w:eastAsiaTheme="minorHAnsi" w:hAnsi="Arial" w:cs="Arial"/>
          <w:color w:val="000000"/>
          <w:sz w:val="23"/>
          <w:szCs w:val="23"/>
        </w:rPr>
        <w:t xml:space="preserve">8.2 </w:t>
      </w:r>
      <w:r w:rsidRPr="0036312E">
        <w:rPr>
          <w:rFonts w:ascii="Arial" w:eastAsiaTheme="minorHAnsi" w:hAnsi="Arial" w:cs="Arial"/>
          <w:color w:val="000000"/>
          <w:sz w:val="23"/>
          <w:szCs w:val="23"/>
          <w:u w:val="single"/>
        </w:rPr>
        <w:t>Room Temperature stored products</w:t>
      </w:r>
      <w:r w:rsidRPr="0036312E">
        <w:rPr>
          <w:rFonts w:ascii="Arial" w:eastAsiaTheme="minorHAnsi" w:hAnsi="Arial" w:cs="Arial"/>
          <w:color w:val="000000"/>
          <w:sz w:val="23"/>
          <w:szCs w:val="23"/>
        </w:rPr>
        <w:t xml:space="preserve"> </w:t>
      </w:r>
    </w:p>
    <w:p w14:paraId="2D681C59" w14:textId="77777777" w:rsidR="0036312E" w:rsidRPr="0036312E" w:rsidRDefault="0036312E" w:rsidP="00280F75">
      <w:pPr>
        <w:autoSpaceDE w:val="0"/>
        <w:autoSpaceDN w:val="0"/>
        <w:adjustRightInd w:val="0"/>
        <w:jc w:val="both"/>
        <w:rPr>
          <w:rFonts w:ascii="Arial" w:eastAsiaTheme="minorHAnsi" w:hAnsi="Arial" w:cs="Arial"/>
          <w:color w:val="000000"/>
          <w:sz w:val="23"/>
          <w:szCs w:val="23"/>
        </w:rPr>
      </w:pPr>
    </w:p>
    <w:p w14:paraId="0B9791E9" w14:textId="64AB2C7F" w:rsidR="0036312E" w:rsidRDefault="0036312E" w:rsidP="00280F75">
      <w:pPr>
        <w:autoSpaceDE w:val="0"/>
        <w:autoSpaceDN w:val="0"/>
        <w:adjustRightInd w:val="0"/>
        <w:jc w:val="both"/>
        <w:rPr>
          <w:rFonts w:ascii="Arial" w:eastAsiaTheme="minorHAnsi" w:hAnsi="Arial" w:cs="Arial"/>
          <w:color w:val="000000"/>
          <w:sz w:val="23"/>
          <w:szCs w:val="23"/>
        </w:rPr>
      </w:pPr>
      <w:r w:rsidRPr="0036312E">
        <w:rPr>
          <w:rFonts w:ascii="Arial" w:eastAsiaTheme="minorHAnsi" w:hAnsi="Arial" w:cs="Arial"/>
          <w:color w:val="000000"/>
          <w:sz w:val="23"/>
          <w:szCs w:val="23"/>
        </w:rPr>
        <w:t xml:space="preserve">Products for which there are solubility issues under refrigeration can be stored at room temperature, which may also be appropriate for Controlled Drugs due to their storage requirements. For Controlled Drugs, stability trials may need to be conducted at room temperature without exposure to UV light (Table 1). </w:t>
      </w:r>
    </w:p>
    <w:p w14:paraId="15D6FBBA" w14:textId="77777777" w:rsidR="00280F75" w:rsidRPr="0036312E" w:rsidRDefault="00280F75" w:rsidP="00280F75">
      <w:pPr>
        <w:autoSpaceDE w:val="0"/>
        <w:autoSpaceDN w:val="0"/>
        <w:adjustRightInd w:val="0"/>
        <w:jc w:val="both"/>
        <w:rPr>
          <w:rFonts w:ascii="Arial" w:eastAsiaTheme="minorHAnsi" w:hAnsi="Arial" w:cs="Arial"/>
          <w:color w:val="000000"/>
          <w:sz w:val="23"/>
          <w:szCs w:val="23"/>
        </w:rPr>
      </w:pPr>
    </w:p>
    <w:p w14:paraId="50C55529" w14:textId="0E144EA6" w:rsidR="0036312E" w:rsidRPr="0036312E" w:rsidRDefault="0036312E" w:rsidP="00280F75">
      <w:pPr>
        <w:autoSpaceDE w:val="0"/>
        <w:autoSpaceDN w:val="0"/>
        <w:adjustRightInd w:val="0"/>
        <w:jc w:val="both"/>
        <w:rPr>
          <w:rFonts w:ascii="Arial" w:eastAsiaTheme="minorHAnsi" w:hAnsi="Arial" w:cs="Arial"/>
          <w:color w:val="000000"/>
          <w:sz w:val="23"/>
          <w:szCs w:val="23"/>
          <w:u w:val="single"/>
        </w:rPr>
      </w:pPr>
      <w:r w:rsidRPr="0036312E">
        <w:rPr>
          <w:rFonts w:ascii="Arial" w:eastAsiaTheme="minorHAnsi" w:hAnsi="Arial" w:cs="Arial"/>
          <w:color w:val="000000"/>
          <w:sz w:val="23"/>
          <w:szCs w:val="23"/>
        </w:rPr>
        <w:t xml:space="preserve">8.3 </w:t>
      </w:r>
      <w:r w:rsidRPr="0036312E">
        <w:rPr>
          <w:rFonts w:ascii="Arial" w:eastAsiaTheme="minorHAnsi" w:hAnsi="Arial" w:cs="Arial"/>
          <w:color w:val="000000"/>
          <w:sz w:val="23"/>
          <w:szCs w:val="23"/>
          <w:u w:val="single"/>
        </w:rPr>
        <w:t xml:space="preserve">Devices worn at body temperature </w:t>
      </w:r>
    </w:p>
    <w:p w14:paraId="3C19FD00" w14:textId="77777777" w:rsidR="0036312E" w:rsidRPr="0036312E" w:rsidRDefault="0036312E" w:rsidP="00280F75">
      <w:pPr>
        <w:autoSpaceDE w:val="0"/>
        <w:autoSpaceDN w:val="0"/>
        <w:adjustRightInd w:val="0"/>
        <w:jc w:val="both"/>
        <w:rPr>
          <w:rFonts w:ascii="Arial" w:eastAsiaTheme="minorHAnsi" w:hAnsi="Arial" w:cs="Arial"/>
          <w:color w:val="000000"/>
          <w:sz w:val="23"/>
          <w:szCs w:val="23"/>
        </w:rPr>
      </w:pPr>
    </w:p>
    <w:p w14:paraId="3D60E49B" w14:textId="4C0BBE28" w:rsidR="0036312E" w:rsidRDefault="0036312E" w:rsidP="00280F75">
      <w:pPr>
        <w:autoSpaceDE w:val="0"/>
        <w:autoSpaceDN w:val="0"/>
        <w:adjustRightInd w:val="0"/>
        <w:jc w:val="both"/>
        <w:rPr>
          <w:rFonts w:ascii="Arial" w:eastAsiaTheme="minorHAnsi" w:hAnsi="Arial" w:cs="Arial"/>
          <w:color w:val="000000"/>
          <w:sz w:val="23"/>
          <w:szCs w:val="23"/>
        </w:rPr>
      </w:pPr>
      <w:r w:rsidRPr="0036312E">
        <w:rPr>
          <w:rFonts w:ascii="Arial" w:eastAsiaTheme="minorHAnsi" w:hAnsi="Arial" w:cs="Arial"/>
          <w:color w:val="000000"/>
          <w:sz w:val="23"/>
          <w:szCs w:val="23"/>
        </w:rPr>
        <w:t>For elastomeric devices or others where evidence exists that the drug solution will not reach temperatures above 32</w:t>
      </w:r>
      <w:r w:rsidRPr="0036312E">
        <w:rPr>
          <w:rFonts w:ascii="Arial" w:eastAsiaTheme="minorHAnsi" w:hAnsi="Arial" w:cs="Arial"/>
          <w:color w:val="000000"/>
          <w:sz w:val="16"/>
          <w:szCs w:val="16"/>
        </w:rPr>
        <w:t>o</w:t>
      </w:r>
      <w:r w:rsidRPr="0036312E">
        <w:rPr>
          <w:rFonts w:ascii="Arial" w:eastAsiaTheme="minorHAnsi" w:hAnsi="Arial" w:cs="Arial"/>
          <w:color w:val="000000"/>
          <w:sz w:val="23"/>
          <w:szCs w:val="23"/>
        </w:rPr>
        <w:t>C then the in-use period should be studied at 32</w:t>
      </w:r>
      <w:r w:rsidRPr="0036312E">
        <w:rPr>
          <w:rFonts w:ascii="Arial" w:eastAsiaTheme="minorHAnsi" w:hAnsi="Arial" w:cs="Arial"/>
          <w:color w:val="000000"/>
          <w:sz w:val="16"/>
          <w:szCs w:val="16"/>
        </w:rPr>
        <w:t>o</w:t>
      </w:r>
      <w:r w:rsidRPr="0036312E">
        <w:rPr>
          <w:rFonts w:ascii="Arial" w:eastAsiaTheme="minorHAnsi" w:hAnsi="Arial" w:cs="Arial"/>
          <w:color w:val="000000"/>
          <w:sz w:val="23"/>
          <w:szCs w:val="23"/>
        </w:rPr>
        <w:t>C +/- 1</w:t>
      </w:r>
      <w:r w:rsidRPr="0036312E">
        <w:rPr>
          <w:rFonts w:ascii="Arial" w:eastAsiaTheme="minorHAnsi" w:hAnsi="Arial" w:cs="Arial"/>
          <w:color w:val="000000"/>
          <w:sz w:val="16"/>
          <w:szCs w:val="16"/>
        </w:rPr>
        <w:t>o</w:t>
      </w:r>
      <w:r w:rsidRPr="0036312E">
        <w:rPr>
          <w:rFonts w:ascii="Arial" w:eastAsiaTheme="minorHAnsi" w:hAnsi="Arial" w:cs="Arial"/>
          <w:color w:val="000000"/>
          <w:sz w:val="23"/>
          <w:szCs w:val="23"/>
        </w:rPr>
        <w:t>C. For implantable devices (installed under the skin) then this should be 37</w:t>
      </w:r>
      <w:r w:rsidRPr="0036312E">
        <w:rPr>
          <w:rFonts w:ascii="Arial" w:eastAsiaTheme="minorHAnsi" w:hAnsi="Arial" w:cs="Arial"/>
          <w:color w:val="000000"/>
          <w:sz w:val="16"/>
          <w:szCs w:val="16"/>
        </w:rPr>
        <w:t>o</w:t>
      </w:r>
      <w:r w:rsidRPr="0036312E">
        <w:rPr>
          <w:rFonts w:ascii="Arial" w:eastAsiaTheme="minorHAnsi" w:hAnsi="Arial" w:cs="Arial"/>
          <w:color w:val="000000"/>
          <w:sz w:val="23"/>
          <w:szCs w:val="23"/>
        </w:rPr>
        <w:t>C +/- 2</w:t>
      </w:r>
      <w:r w:rsidRPr="0036312E">
        <w:rPr>
          <w:rFonts w:ascii="Arial" w:eastAsiaTheme="minorHAnsi" w:hAnsi="Arial" w:cs="Arial"/>
          <w:color w:val="000000"/>
          <w:sz w:val="16"/>
          <w:szCs w:val="16"/>
        </w:rPr>
        <w:t>o</w:t>
      </w:r>
      <w:r w:rsidRPr="0036312E">
        <w:rPr>
          <w:rFonts w:ascii="Arial" w:eastAsiaTheme="minorHAnsi" w:hAnsi="Arial" w:cs="Arial"/>
          <w:color w:val="000000"/>
          <w:sz w:val="23"/>
          <w:szCs w:val="23"/>
        </w:rPr>
        <w:t>C, this would also be appropriate for non-insulated devices or those for which evidence suggests may reach temperatures above 32</w:t>
      </w:r>
      <w:r w:rsidRPr="0036312E">
        <w:rPr>
          <w:rFonts w:ascii="Arial" w:eastAsiaTheme="minorHAnsi" w:hAnsi="Arial" w:cs="Arial"/>
          <w:color w:val="000000"/>
          <w:sz w:val="16"/>
          <w:szCs w:val="16"/>
        </w:rPr>
        <w:t>o</w:t>
      </w:r>
      <w:r w:rsidRPr="0036312E">
        <w:rPr>
          <w:rFonts w:ascii="Arial" w:eastAsiaTheme="minorHAnsi" w:hAnsi="Arial" w:cs="Arial"/>
          <w:color w:val="000000"/>
          <w:sz w:val="23"/>
          <w:szCs w:val="23"/>
        </w:rPr>
        <w:t xml:space="preserve">C during routine infusion periods. </w:t>
      </w:r>
    </w:p>
    <w:p w14:paraId="798ADBE5" w14:textId="77777777" w:rsidR="0036312E" w:rsidRPr="0036312E" w:rsidRDefault="0036312E" w:rsidP="00280F75">
      <w:pPr>
        <w:autoSpaceDE w:val="0"/>
        <w:autoSpaceDN w:val="0"/>
        <w:adjustRightInd w:val="0"/>
        <w:jc w:val="both"/>
        <w:rPr>
          <w:rFonts w:ascii="Arial" w:eastAsiaTheme="minorHAnsi" w:hAnsi="Arial" w:cs="Arial"/>
          <w:color w:val="000000"/>
          <w:sz w:val="23"/>
          <w:szCs w:val="23"/>
        </w:rPr>
      </w:pPr>
    </w:p>
    <w:p w14:paraId="492ED890" w14:textId="5F22D873" w:rsidR="0036312E" w:rsidRDefault="0036312E" w:rsidP="00280F75">
      <w:pPr>
        <w:autoSpaceDE w:val="0"/>
        <w:autoSpaceDN w:val="0"/>
        <w:adjustRightInd w:val="0"/>
        <w:jc w:val="both"/>
        <w:rPr>
          <w:rFonts w:ascii="Arial" w:eastAsiaTheme="minorHAnsi" w:hAnsi="Arial" w:cs="Arial"/>
          <w:color w:val="000000"/>
          <w:sz w:val="23"/>
          <w:szCs w:val="23"/>
        </w:rPr>
      </w:pPr>
      <w:r w:rsidRPr="0036312E">
        <w:rPr>
          <w:rFonts w:ascii="Arial" w:eastAsiaTheme="minorHAnsi" w:hAnsi="Arial" w:cs="Arial"/>
          <w:color w:val="000000"/>
          <w:sz w:val="23"/>
          <w:szCs w:val="23"/>
        </w:rPr>
        <w:t>The rationale behind this standard is based on a series of published studies</w:t>
      </w:r>
      <w:r w:rsidRPr="0036312E">
        <w:rPr>
          <w:rFonts w:ascii="Arial" w:eastAsiaTheme="minorHAnsi" w:hAnsi="Arial" w:cs="Arial"/>
          <w:color w:val="000000"/>
          <w:sz w:val="16"/>
          <w:szCs w:val="16"/>
        </w:rPr>
        <w:t xml:space="preserve">10,11,12 </w:t>
      </w:r>
      <w:r w:rsidRPr="0036312E">
        <w:rPr>
          <w:rFonts w:ascii="Arial" w:eastAsiaTheme="minorHAnsi" w:hAnsi="Arial" w:cs="Arial"/>
          <w:color w:val="000000"/>
          <w:sz w:val="23"/>
          <w:szCs w:val="23"/>
        </w:rPr>
        <w:t>which have shown that for elastometric devices handled appropriately the drug solution does not exceed 32</w:t>
      </w:r>
      <w:r w:rsidRPr="0036312E">
        <w:rPr>
          <w:rFonts w:ascii="Arial" w:eastAsiaTheme="minorHAnsi" w:hAnsi="Arial" w:cs="Arial"/>
          <w:color w:val="000000"/>
          <w:sz w:val="16"/>
          <w:szCs w:val="16"/>
        </w:rPr>
        <w:t>°</w:t>
      </w:r>
      <w:r w:rsidRPr="0036312E">
        <w:rPr>
          <w:rFonts w:ascii="Arial" w:eastAsiaTheme="minorHAnsi" w:hAnsi="Arial" w:cs="Arial"/>
          <w:color w:val="000000"/>
          <w:sz w:val="23"/>
          <w:szCs w:val="23"/>
        </w:rPr>
        <w:t xml:space="preserve">C throughout the infusion period. </w:t>
      </w:r>
    </w:p>
    <w:p w14:paraId="56D6A225" w14:textId="77777777" w:rsidR="0036312E" w:rsidRPr="0036312E" w:rsidRDefault="0036312E" w:rsidP="00280F75">
      <w:pPr>
        <w:autoSpaceDE w:val="0"/>
        <w:autoSpaceDN w:val="0"/>
        <w:adjustRightInd w:val="0"/>
        <w:jc w:val="both"/>
        <w:rPr>
          <w:rFonts w:ascii="Arial" w:eastAsiaTheme="minorHAnsi" w:hAnsi="Arial" w:cs="Arial"/>
          <w:color w:val="000000"/>
          <w:sz w:val="23"/>
          <w:szCs w:val="23"/>
        </w:rPr>
      </w:pPr>
    </w:p>
    <w:p w14:paraId="2536E661" w14:textId="031754A4" w:rsidR="0036312E" w:rsidRDefault="0036312E" w:rsidP="00280F75">
      <w:pPr>
        <w:autoSpaceDE w:val="0"/>
        <w:autoSpaceDN w:val="0"/>
        <w:adjustRightInd w:val="0"/>
        <w:jc w:val="both"/>
        <w:rPr>
          <w:rFonts w:ascii="Arial" w:eastAsiaTheme="minorHAnsi" w:hAnsi="Arial" w:cs="Arial"/>
          <w:color w:val="000000"/>
          <w:sz w:val="23"/>
          <w:szCs w:val="23"/>
        </w:rPr>
      </w:pPr>
      <w:r w:rsidRPr="0036312E">
        <w:rPr>
          <w:rFonts w:ascii="Arial" w:eastAsiaTheme="minorHAnsi" w:hAnsi="Arial" w:cs="Arial"/>
          <w:color w:val="000000"/>
          <w:sz w:val="23"/>
          <w:szCs w:val="23"/>
        </w:rPr>
        <w:t>The Van der Merwe paper</w:t>
      </w:r>
      <w:r w:rsidRPr="0036312E">
        <w:rPr>
          <w:rFonts w:ascii="Arial" w:eastAsiaTheme="minorHAnsi" w:hAnsi="Arial" w:cs="Arial"/>
          <w:color w:val="000000"/>
          <w:sz w:val="16"/>
          <w:szCs w:val="16"/>
        </w:rPr>
        <w:t xml:space="preserve">10 </w:t>
      </w:r>
      <w:r w:rsidRPr="0036312E">
        <w:rPr>
          <w:rFonts w:ascii="Arial" w:eastAsiaTheme="minorHAnsi" w:hAnsi="Arial" w:cs="Arial"/>
          <w:color w:val="000000"/>
          <w:sz w:val="23"/>
          <w:szCs w:val="23"/>
        </w:rPr>
        <w:t>in particular used a thermocouple placed inside the solution itself and this showed that for the two infusors studied including one with a flexible and one with a rigid shell the solution does not even reach 30</w:t>
      </w:r>
      <w:r w:rsidRPr="0036312E">
        <w:rPr>
          <w:rFonts w:ascii="Arial" w:eastAsiaTheme="minorHAnsi" w:hAnsi="Arial" w:cs="Arial"/>
          <w:color w:val="000000"/>
          <w:sz w:val="16"/>
          <w:szCs w:val="16"/>
        </w:rPr>
        <w:t>°</w:t>
      </w:r>
      <w:r w:rsidRPr="0036312E">
        <w:rPr>
          <w:rFonts w:ascii="Arial" w:eastAsiaTheme="minorHAnsi" w:hAnsi="Arial" w:cs="Arial"/>
          <w:color w:val="000000"/>
          <w:sz w:val="23"/>
          <w:szCs w:val="23"/>
        </w:rPr>
        <w:t xml:space="preserve">C during 24 hours of simulated use. </w:t>
      </w:r>
    </w:p>
    <w:p w14:paraId="3116B9F9" w14:textId="77777777" w:rsidR="0036312E" w:rsidRPr="0036312E" w:rsidRDefault="0036312E" w:rsidP="00280F75">
      <w:pPr>
        <w:autoSpaceDE w:val="0"/>
        <w:autoSpaceDN w:val="0"/>
        <w:adjustRightInd w:val="0"/>
        <w:jc w:val="both"/>
        <w:rPr>
          <w:rFonts w:ascii="Arial" w:eastAsiaTheme="minorHAnsi" w:hAnsi="Arial" w:cs="Arial"/>
          <w:color w:val="000000"/>
          <w:sz w:val="23"/>
          <w:szCs w:val="23"/>
        </w:rPr>
      </w:pPr>
    </w:p>
    <w:p w14:paraId="435F18CC" w14:textId="77777777" w:rsidR="0036312E" w:rsidRDefault="0036312E" w:rsidP="00280F75">
      <w:pPr>
        <w:autoSpaceDE w:val="0"/>
        <w:autoSpaceDN w:val="0"/>
        <w:adjustRightInd w:val="0"/>
        <w:jc w:val="both"/>
        <w:rPr>
          <w:rFonts w:ascii="Arial" w:eastAsiaTheme="minorHAnsi" w:hAnsi="Arial" w:cs="Arial"/>
          <w:color w:val="000000"/>
          <w:sz w:val="23"/>
          <w:szCs w:val="23"/>
        </w:rPr>
      </w:pPr>
      <w:r w:rsidRPr="0036312E">
        <w:rPr>
          <w:rFonts w:ascii="Arial" w:eastAsiaTheme="minorHAnsi" w:hAnsi="Arial" w:cs="Arial"/>
          <w:color w:val="000000"/>
          <w:sz w:val="23"/>
          <w:szCs w:val="23"/>
        </w:rPr>
        <w:t>Another rationale behind this temperature is that 32</w:t>
      </w:r>
      <w:r w:rsidRPr="0036312E">
        <w:rPr>
          <w:rFonts w:ascii="Arial" w:eastAsiaTheme="minorHAnsi" w:hAnsi="Arial" w:cs="Arial"/>
          <w:color w:val="000000"/>
          <w:sz w:val="16"/>
          <w:szCs w:val="16"/>
        </w:rPr>
        <w:t>°</w:t>
      </w:r>
      <w:r w:rsidRPr="0036312E">
        <w:rPr>
          <w:rFonts w:ascii="Arial" w:eastAsiaTheme="minorHAnsi" w:hAnsi="Arial" w:cs="Arial"/>
          <w:color w:val="000000"/>
          <w:sz w:val="23"/>
          <w:szCs w:val="23"/>
        </w:rPr>
        <w:t>C is the temperature for the EP dissolution test for transdermal devices</w:t>
      </w:r>
      <w:r w:rsidRPr="0036312E">
        <w:rPr>
          <w:rFonts w:ascii="Arial" w:eastAsiaTheme="minorHAnsi" w:hAnsi="Arial" w:cs="Arial"/>
          <w:color w:val="000000"/>
          <w:sz w:val="16"/>
          <w:szCs w:val="16"/>
        </w:rPr>
        <w:t xml:space="preserve">13 </w:t>
      </w:r>
      <w:r w:rsidRPr="0036312E">
        <w:rPr>
          <w:rFonts w:ascii="Arial" w:eastAsiaTheme="minorHAnsi" w:hAnsi="Arial" w:cs="Arial"/>
          <w:color w:val="000000"/>
          <w:sz w:val="23"/>
          <w:szCs w:val="23"/>
        </w:rPr>
        <w:t>(which is based on a harmonised worldwide standard).</w:t>
      </w:r>
    </w:p>
    <w:p w14:paraId="4630D774" w14:textId="4FE9473F" w:rsidR="0036312E" w:rsidRPr="0036312E" w:rsidRDefault="0036312E" w:rsidP="00280F75">
      <w:pPr>
        <w:autoSpaceDE w:val="0"/>
        <w:autoSpaceDN w:val="0"/>
        <w:adjustRightInd w:val="0"/>
        <w:jc w:val="both"/>
        <w:rPr>
          <w:rFonts w:ascii="Arial" w:eastAsiaTheme="minorHAnsi" w:hAnsi="Arial" w:cs="Arial"/>
          <w:color w:val="000000"/>
          <w:sz w:val="23"/>
          <w:szCs w:val="23"/>
        </w:rPr>
      </w:pPr>
      <w:r w:rsidRPr="0036312E">
        <w:rPr>
          <w:rFonts w:ascii="Arial" w:eastAsiaTheme="minorHAnsi" w:hAnsi="Arial" w:cs="Arial"/>
          <w:color w:val="000000"/>
          <w:sz w:val="23"/>
          <w:szCs w:val="23"/>
        </w:rPr>
        <w:t xml:space="preserve"> </w:t>
      </w:r>
    </w:p>
    <w:p w14:paraId="5AC64A2A" w14:textId="32472CF1" w:rsidR="0036312E" w:rsidRDefault="0036312E" w:rsidP="00280F75">
      <w:pPr>
        <w:autoSpaceDE w:val="0"/>
        <w:autoSpaceDN w:val="0"/>
        <w:adjustRightInd w:val="0"/>
        <w:jc w:val="both"/>
        <w:rPr>
          <w:rFonts w:ascii="Arial" w:eastAsiaTheme="minorHAnsi" w:hAnsi="Arial" w:cs="Arial"/>
          <w:color w:val="000000"/>
          <w:sz w:val="23"/>
          <w:szCs w:val="23"/>
        </w:rPr>
      </w:pPr>
      <w:r w:rsidRPr="0036312E">
        <w:rPr>
          <w:rFonts w:ascii="Arial" w:eastAsiaTheme="minorHAnsi" w:hAnsi="Arial" w:cs="Arial"/>
          <w:color w:val="000000"/>
          <w:sz w:val="23"/>
          <w:szCs w:val="23"/>
        </w:rPr>
        <w:t>It is important that patients receive instruction on how to handle their infusors as exposure to direct sunlight even within a pouch can have a significant impact on the temperatures seen with temperatures being shown to reach above 40</w:t>
      </w:r>
      <w:r w:rsidRPr="0036312E">
        <w:rPr>
          <w:rFonts w:ascii="Arial" w:eastAsiaTheme="minorHAnsi" w:hAnsi="Arial" w:cs="Arial"/>
          <w:color w:val="000000"/>
          <w:sz w:val="16"/>
          <w:szCs w:val="16"/>
        </w:rPr>
        <w:t>°</w:t>
      </w:r>
      <w:r w:rsidRPr="0036312E">
        <w:rPr>
          <w:rFonts w:ascii="Arial" w:eastAsiaTheme="minorHAnsi" w:hAnsi="Arial" w:cs="Arial"/>
          <w:color w:val="000000"/>
          <w:sz w:val="23"/>
          <w:szCs w:val="23"/>
        </w:rPr>
        <w:t xml:space="preserve">C in some studies. It is also important that at night the infusor is placed outside of the bed covers if at all possible. </w:t>
      </w:r>
    </w:p>
    <w:p w14:paraId="6F93E36D" w14:textId="77777777" w:rsidR="0036312E" w:rsidRPr="0036312E" w:rsidRDefault="0036312E" w:rsidP="00280F75">
      <w:pPr>
        <w:autoSpaceDE w:val="0"/>
        <w:autoSpaceDN w:val="0"/>
        <w:adjustRightInd w:val="0"/>
        <w:jc w:val="both"/>
        <w:rPr>
          <w:rFonts w:ascii="Arial" w:eastAsiaTheme="minorHAnsi" w:hAnsi="Arial" w:cs="Arial"/>
          <w:color w:val="000000"/>
          <w:sz w:val="23"/>
          <w:szCs w:val="23"/>
        </w:rPr>
      </w:pPr>
    </w:p>
    <w:p w14:paraId="041822F9" w14:textId="1788D08D" w:rsidR="0036312E" w:rsidRDefault="0036312E" w:rsidP="00280F75">
      <w:pPr>
        <w:autoSpaceDE w:val="0"/>
        <w:autoSpaceDN w:val="0"/>
        <w:adjustRightInd w:val="0"/>
        <w:jc w:val="both"/>
        <w:rPr>
          <w:rFonts w:ascii="Arial" w:eastAsiaTheme="minorHAnsi" w:hAnsi="Arial" w:cs="Arial"/>
          <w:color w:val="000000"/>
          <w:sz w:val="23"/>
          <w:szCs w:val="23"/>
        </w:rPr>
      </w:pPr>
      <w:r w:rsidRPr="0036312E">
        <w:rPr>
          <w:rFonts w:ascii="Arial" w:eastAsiaTheme="minorHAnsi" w:hAnsi="Arial" w:cs="Arial"/>
          <w:color w:val="000000"/>
          <w:sz w:val="23"/>
          <w:szCs w:val="23"/>
        </w:rPr>
        <w:t>Where technology exists to maintain the infuser at a lower temperature throughout the infusion period, for example below 25</w:t>
      </w:r>
      <w:r w:rsidRPr="0036312E">
        <w:rPr>
          <w:rFonts w:ascii="Arial" w:eastAsiaTheme="minorHAnsi" w:hAnsi="Arial" w:cs="Arial"/>
          <w:color w:val="000000"/>
          <w:sz w:val="16"/>
          <w:szCs w:val="16"/>
        </w:rPr>
        <w:t>o</w:t>
      </w:r>
      <w:r w:rsidRPr="0036312E">
        <w:rPr>
          <w:rFonts w:ascii="Arial" w:eastAsiaTheme="minorHAnsi" w:hAnsi="Arial" w:cs="Arial"/>
          <w:color w:val="000000"/>
          <w:sz w:val="23"/>
          <w:szCs w:val="23"/>
        </w:rPr>
        <w:t>C by using insulated infusion devices, then it is appropriate to use this temperature for the in-use period in the study. It must be borne in mind that the elastomeric infusors are designed to deliver the set flow rate at a set temperature which is often 32</w:t>
      </w:r>
      <w:r w:rsidRPr="0036312E">
        <w:rPr>
          <w:rFonts w:ascii="Arial" w:eastAsiaTheme="minorHAnsi" w:hAnsi="Arial" w:cs="Arial"/>
          <w:color w:val="000000"/>
          <w:sz w:val="16"/>
          <w:szCs w:val="16"/>
        </w:rPr>
        <w:t>o</w:t>
      </w:r>
      <w:r w:rsidRPr="0036312E">
        <w:rPr>
          <w:rFonts w:ascii="Arial" w:eastAsiaTheme="minorHAnsi" w:hAnsi="Arial" w:cs="Arial"/>
          <w:color w:val="000000"/>
          <w:sz w:val="23"/>
          <w:szCs w:val="23"/>
        </w:rPr>
        <w:t xml:space="preserve">C, therefore, temperatures well below this can have a significant impact on flow rate and therefore dose for continuous infusions. </w:t>
      </w:r>
    </w:p>
    <w:p w14:paraId="76B55FC0" w14:textId="77777777" w:rsidR="0036312E" w:rsidRPr="0036312E" w:rsidRDefault="0036312E" w:rsidP="00280F75">
      <w:pPr>
        <w:autoSpaceDE w:val="0"/>
        <w:autoSpaceDN w:val="0"/>
        <w:adjustRightInd w:val="0"/>
        <w:jc w:val="both"/>
        <w:rPr>
          <w:rFonts w:ascii="Arial" w:eastAsiaTheme="minorHAnsi" w:hAnsi="Arial" w:cs="Arial"/>
          <w:color w:val="000000"/>
          <w:sz w:val="23"/>
          <w:szCs w:val="23"/>
        </w:rPr>
      </w:pPr>
    </w:p>
    <w:p w14:paraId="48D1DC12" w14:textId="50944C99" w:rsidR="0036312E" w:rsidRDefault="0036312E" w:rsidP="00280F75">
      <w:pPr>
        <w:jc w:val="both"/>
        <w:rPr>
          <w:rFonts w:ascii="Arial" w:eastAsiaTheme="minorHAnsi" w:hAnsi="Arial" w:cs="Arial"/>
          <w:color w:val="000000"/>
          <w:sz w:val="23"/>
          <w:szCs w:val="23"/>
        </w:rPr>
      </w:pPr>
      <w:r w:rsidRPr="0036312E">
        <w:rPr>
          <w:rFonts w:ascii="Arial" w:eastAsiaTheme="minorHAnsi" w:hAnsi="Arial" w:cs="Arial"/>
          <w:color w:val="000000"/>
          <w:sz w:val="23"/>
          <w:szCs w:val="23"/>
        </w:rPr>
        <w:t xml:space="preserve">Care needs to be taken with implantable reservoirs where the device is refilled </w:t>
      </w:r>
      <w:r w:rsidRPr="0036312E">
        <w:rPr>
          <w:rFonts w:ascii="Arial" w:eastAsiaTheme="minorHAnsi" w:hAnsi="Arial" w:cs="Arial"/>
          <w:i/>
          <w:iCs/>
          <w:color w:val="000000"/>
          <w:sz w:val="23"/>
          <w:szCs w:val="23"/>
        </w:rPr>
        <w:t xml:space="preserve">in situ </w:t>
      </w:r>
      <w:r w:rsidRPr="0036312E">
        <w:rPr>
          <w:rFonts w:ascii="Arial" w:eastAsiaTheme="minorHAnsi" w:hAnsi="Arial" w:cs="Arial"/>
          <w:color w:val="000000"/>
          <w:sz w:val="23"/>
          <w:szCs w:val="23"/>
        </w:rPr>
        <w:t>and therefore drug solutions may be stored within them for longer than expected.</w:t>
      </w:r>
    </w:p>
    <w:p w14:paraId="13E40B86" w14:textId="2E9ACF2D" w:rsidR="0036312E" w:rsidRDefault="0036312E" w:rsidP="00280F75">
      <w:pPr>
        <w:jc w:val="both"/>
        <w:rPr>
          <w:rFonts w:ascii="Arial" w:eastAsiaTheme="minorHAnsi" w:hAnsi="Arial" w:cs="Arial"/>
          <w:color w:val="000000"/>
          <w:sz w:val="23"/>
          <w:szCs w:val="23"/>
        </w:rPr>
      </w:pPr>
    </w:p>
    <w:p w14:paraId="354662E0" w14:textId="77777777" w:rsidR="0036312E" w:rsidRPr="0036312E" w:rsidRDefault="0036312E" w:rsidP="00280F75">
      <w:pPr>
        <w:autoSpaceDE w:val="0"/>
        <w:autoSpaceDN w:val="0"/>
        <w:adjustRightInd w:val="0"/>
        <w:jc w:val="both"/>
        <w:rPr>
          <w:rFonts w:ascii="Arial" w:eastAsiaTheme="minorHAnsi" w:hAnsi="Arial" w:cs="Arial"/>
          <w:color w:val="000000"/>
          <w:sz w:val="23"/>
          <w:szCs w:val="23"/>
          <w:u w:val="single"/>
        </w:rPr>
      </w:pPr>
      <w:r w:rsidRPr="0036312E">
        <w:rPr>
          <w:rFonts w:ascii="Arial" w:eastAsiaTheme="minorHAnsi" w:hAnsi="Arial" w:cs="Arial"/>
          <w:color w:val="000000"/>
          <w:sz w:val="23"/>
          <w:szCs w:val="23"/>
        </w:rPr>
        <w:t xml:space="preserve">8.4 </w:t>
      </w:r>
      <w:r w:rsidRPr="0036312E">
        <w:rPr>
          <w:rFonts w:ascii="Arial" w:eastAsiaTheme="minorHAnsi" w:hAnsi="Arial" w:cs="Arial"/>
          <w:color w:val="000000"/>
          <w:sz w:val="23"/>
          <w:szCs w:val="23"/>
          <w:u w:val="single"/>
        </w:rPr>
        <w:t>Products stored frozen</w:t>
      </w:r>
    </w:p>
    <w:p w14:paraId="3D443ED3" w14:textId="205D45AB" w:rsidR="0036312E" w:rsidRPr="0036312E" w:rsidRDefault="0036312E" w:rsidP="00280F75">
      <w:pPr>
        <w:autoSpaceDE w:val="0"/>
        <w:autoSpaceDN w:val="0"/>
        <w:adjustRightInd w:val="0"/>
        <w:jc w:val="both"/>
        <w:rPr>
          <w:rFonts w:ascii="Arial" w:eastAsiaTheme="minorHAnsi" w:hAnsi="Arial" w:cs="Arial"/>
          <w:color w:val="000000"/>
          <w:sz w:val="23"/>
          <w:szCs w:val="23"/>
        </w:rPr>
      </w:pPr>
      <w:r w:rsidRPr="0036312E">
        <w:rPr>
          <w:rFonts w:ascii="Arial" w:eastAsiaTheme="minorHAnsi" w:hAnsi="Arial" w:cs="Arial"/>
          <w:color w:val="000000"/>
          <w:sz w:val="23"/>
          <w:szCs w:val="23"/>
        </w:rPr>
        <w:t xml:space="preserve"> </w:t>
      </w:r>
    </w:p>
    <w:p w14:paraId="489D041B" w14:textId="77777777" w:rsidR="0036312E" w:rsidRDefault="0036312E" w:rsidP="00280F75">
      <w:pPr>
        <w:autoSpaceDE w:val="0"/>
        <w:autoSpaceDN w:val="0"/>
        <w:adjustRightInd w:val="0"/>
        <w:jc w:val="both"/>
        <w:rPr>
          <w:rFonts w:ascii="Arial" w:eastAsiaTheme="minorHAnsi" w:hAnsi="Arial" w:cs="Arial"/>
          <w:color w:val="000000"/>
          <w:sz w:val="23"/>
          <w:szCs w:val="23"/>
        </w:rPr>
      </w:pPr>
      <w:r w:rsidRPr="0036312E">
        <w:rPr>
          <w:rFonts w:ascii="Arial" w:eastAsiaTheme="minorHAnsi" w:hAnsi="Arial" w:cs="Arial"/>
          <w:color w:val="000000"/>
          <w:sz w:val="23"/>
          <w:szCs w:val="23"/>
        </w:rPr>
        <w:t xml:space="preserve">For products to be stored frozen the process of defrosting must be documented and fully validated for its impact on stability. In addition, the stability of the product once defrosted must be validated, which may involve refrigeration, or storage at room temperature or body temperature (Table 1). It is not normally recommended that plastic syringes are frozen but if this is necessary robust integrity testing must be undertaken at all stages of storage, thawing and any post thaw storage. There may also be risks associated with freezing products in elastomeric reservoirs that need to be assessed. </w:t>
      </w:r>
    </w:p>
    <w:p w14:paraId="5B835DFF" w14:textId="77777777" w:rsidR="0036312E" w:rsidRDefault="0036312E" w:rsidP="00280F75">
      <w:pPr>
        <w:autoSpaceDE w:val="0"/>
        <w:autoSpaceDN w:val="0"/>
        <w:adjustRightInd w:val="0"/>
        <w:jc w:val="both"/>
        <w:rPr>
          <w:rFonts w:ascii="Arial" w:eastAsiaTheme="minorHAnsi" w:hAnsi="Arial" w:cs="Arial"/>
          <w:color w:val="000000"/>
          <w:sz w:val="23"/>
          <w:szCs w:val="23"/>
        </w:rPr>
      </w:pPr>
    </w:p>
    <w:p w14:paraId="4F641C9F" w14:textId="41BC898A" w:rsidR="0036312E" w:rsidRPr="0036312E" w:rsidRDefault="0036312E" w:rsidP="00280F75">
      <w:pPr>
        <w:autoSpaceDE w:val="0"/>
        <w:autoSpaceDN w:val="0"/>
        <w:adjustRightInd w:val="0"/>
        <w:jc w:val="both"/>
        <w:rPr>
          <w:rFonts w:ascii="Arial" w:eastAsiaTheme="minorHAnsi" w:hAnsi="Arial" w:cs="Arial"/>
          <w:color w:val="000000"/>
          <w:sz w:val="23"/>
          <w:szCs w:val="23"/>
          <w:u w:val="single"/>
        </w:rPr>
      </w:pPr>
      <w:r w:rsidRPr="0036312E">
        <w:rPr>
          <w:rFonts w:ascii="Arial" w:eastAsiaTheme="minorHAnsi" w:hAnsi="Arial" w:cs="Arial"/>
          <w:color w:val="000000"/>
          <w:sz w:val="23"/>
          <w:szCs w:val="23"/>
        </w:rPr>
        <w:t xml:space="preserve">8.5 </w:t>
      </w:r>
      <w:r w:rsidRPr="0036312E">
        <w:rPr>
          <w:rFonts w:ascii="Arial" w:eastAsiaTheme="minorHAnsi" w:hAnsi="Arial" w:cs="Arial"/>
          <w:color w:val="000000"/>
          <w:sz w:val="23"/>
          <w:szCs w:val="23"/>
          <w:u w:val="single"/>
        </w:rPr>
        <w:t xml:space="preserve">Light exposure </w:t>
      </w:r>
    </w:p>
    <w:p w14:paraId="78F55656" w14:textId="77777777" w:rsidR="0036312E" w:rsidRPr="0036312E" w:rsidRDefault="0036312E" w:rsidP="00280F75">
      <w:pPr>
        <w:autoSpaceDE w:val="0"/>
        <w:autoSpaceDN w:val="0"/>
        <w:adjustRightInd w:val="0"/>
        <w:jc w:val="both"/>
        <w:rPr>
          <w:rFonts w:ascii="Arial" w:eastAsiaTheme="minorHAnsi" w:hAnsi="Arial" w:cs="Arial"/>
          <w:color w:val="000000"/>
          <w:sz w:val="23"/>
          <w:szCs w:val="23"/>
        </w:rPr>
      </w:pPr>
    </w:p>
    <w:p w14:paraId="4EAAE1B1" w14:textId="76FE0DF6" w:rsidR="0036312E" w:rsidRDefault="0036312E" w:rsidP="00280F75">
      <w:pPr>
        <w:autoSpaceDE w:val="0"/>
        <w:autoSpaceDN w:val="0"/>
        <w:adjustRightInd w:val="0"/>
        <w:jc w:val="both"/>
        <w:rPr>
          <w:rFonts w:ascii="Arial" w:eastAsiaTheme="minorHAnsi" w:hAnsi="Arial" w:cs="Arial"/>
          <w:color w:val="000000"/>
          <w:sz w:val="23"/>
          <w:szCs w:val="23"/>
        </w:rPr>
      </w:pPr>
      <w:r w:rsidRPr="0036312E">
        <w:rPr>
          <w:rFonts w:ascii="Arial" w:eastAsiaTheme="minorHAnsi" w:hAnsi="Arial" w:cs="Arial"/>
          <w:color w:val="000000"/>
          <w:sz w:val="23"/>
          <w:szCs w:val="23"/>
        </w:rPr>
        <w:t>The effect of light on the stability of a medicinal product requires assessment unless the exposure to light is eliminated during routine clinical use. Condition 4 in Table 1 may apply if the product shelf life is dependent on light induced degradation. Under these circumstances further details as to the techniques to be used can be found in ICH Q1(B) Photostability Testing of New Active Substances and Medicinal Products</w:t>
      </w:r>
      <w:r w:rsidRPr="0036312E">
        <w:rPr>
          <w:rFonts w:ascii="Arial" w:eastAsiaTheme="minorHAnsi" w:hAnsi="Arial" w:cs="Arial"/>
          <w:color w:val="000000"/>
          <w:sz w:val="16"/>
          <w:szCs w:val="16"/>
        </w:rPr>
        <w:t>14</w:t>
      </w:r>
      <w:r w:rsidRPr="0036312E">
        <w:rPr>
          <w:rFonts w:ascii="Arial" w:eastAsiaTheme="minorHAnsi" w:hAnsi="Arial" w:cs="Arial"/>
          <w:color w:val="000000"/>
          <w:sz w:val="23"/>
          <w:szCs w:val="23"/>
        </w:rPr>
        <w:t xml:space="preserve">. </w:t>
      </w:r>
    </w:p>
    <w:p w14:paraId="0B6A85CA" w14:textId="77777777" w:rsidR="0036312E" w:rsidRPr="0036312E" w:rsidRDefault="0036312E" w:rsidP="00280F75">
      <w:pPr>
        <w:autoSpaceDE w:val="0"/>
        <w:autoSpaceDN w:val="0"/>
        <w:adjustRightInd w:val="0"/>
        <w:jc w:val="both"/>
        <w:rPr>
          <w:rFonts w:ascii="Arial" w:eastAsiaTheme="minorHAnsi" w:hAnsi="Arial" w:cs="Arial"/>
          <w:color w:val="000000"/>
          <w:sz w:val="23"/>
          <w:szCs w:val="23"/>
        </w:rPr>
      </w:pPr>
    </w:p>
    <w:p w14:paraId="0CA12CA7" w14:textId="77777777" w:rsidR="0036312E" w:rsidRPr="0036312E" w:rsidRDefault="0036312E" w:rsidP="00280F75">
      <w:pPr>
        <w:autoSpaceDE w:val="0"/>
        <w:autoSpaceDN w:val="0"/>
        <w:adjustRightInd w:val="0"/>
        <w:jc w:val="both"/>
        <w:rPr>
          <w:rFonts w:ascii="Arial" w:eastAsiaTheme="minorHAnsi" w:hAnsi="Arial" w:cs="Arial"/>
          <w:color w:val="000000"/>
          <w:sz w:val="23"/>
          <w:szCs w:val="23"/>
        </w:rPr>
      </w:pPr>
      <w:r w:rsidRPr="0036312E">
        <w:rPr>
          <w:rFonts w:ascii="Arial" w:eastAsiaTheme="minorHAnsi" w:hAnsi="Arial" w:cs="Arial"/>
          <w:color w:val="000000"/>
          <w:sz w:val="23"/>
          <w:szCs w:val="23"/>
        </w:rPr>
        <w:t xml:space="preserve">8.6 </w:t>
      </w:r>
      <w:r w:rsidRPr="0036312E">
        <w:rPr>
          <w:rFonts w:ascii="Arial" w:eastAsiaTheme="minorHAnsi" w:hAnsi="Arial" w:cs="Arial"/>
          <w:color w:val="000000"/>
          <w:sz w:val="23"/>
          <w:szCs w:val="23"/>
          <w:u w:val="single"/>
        </w:rPr>
        <w:t>Study and sampling periods</w:t>
      </w:r>
      <w:r w:rsidRPr="0036312E">
        <w:rPr>
          <w:rFonts w:ascii="Arial" w:eastAsiaTheme="minorHAnsi" w:hAnsi="Arial" w:cs="Arial"/>
          <w:color w:val="000000"/>
          <w:sz w:val="23"/>
          <w:szCs w:val="23"/>
        </w:rPr>
        <w:t xml:space="preserve"> </w:t>
      </w:r>
    </w:p>
    <w:p w14:paraId="3102C7DF" w14:textId="77777777" w:rsidR="0036312E" w:rsidRDefault="0036312E" w:rsidP="00280F75">
      <w:pPr>
        <w:autoSpaceDE w:val="0"/>
        <w:autoSpaceDN w:val="0"/>
        <w:adjustRightInd w:val="0"/>
        <w:jc w:val="both"/>
        <w:rPr>
          <w:rFonts w:ascii="Arial" w:eastAsiaTheme="minorHAnsi" w:hAnsi="Arial" w:cs="Arial"/>
          <w:color w:val="000000"/>
          <w:sz w:val="23"/>
          <w:szCs w:val="23"/>
        </w:rPr>
      </w:pPr>
    </w:p>
    <w:p w14:paraId="1E3AC4FB" w14:textId="2A608546" w:rsidR="0036312E" w:rsidRDefault="0036312E" w:rsidP="00280F75">
      <w:pPr>
        <w:autoSpaceDE w:val="0"/>
        <w:autoSpaceDN w:val="0"/>
        <w:adjustRightInd w:val="0"/>
        <w:jc w:val="both"/>
        <w:rPr>
          <w:rFonts w:ascii="Arial" w:eastAsiaTheme="minorHAnsi" w:hAnsi="Arial" w:cs="Arial"/>
          <w:color w:val="000000"/>
          <w:sz w:val="23"/>
          <w:szCs w:val="23"/>
        </w:rPr>
      </w:pPr>
      <w:r w:rsidRPr="0036312E">
        <w:rPr>
          <w:rFonts w:ascii="Arial" w:eastAsiaTheme="minorHAnsi" w:hAnsi="Arial" w:cs="Arial"/>
          <w:color w:val="000000"/>
          <w:sz w:val="23"/>
          <w:szCs w:val="23"/>
        </w:rPr>
        <w:t xml:space="preserve">Sampling periods are study specific and the intrinsic stability of the system will determine the overall study duration as well as each sampling time point. </w:t>
      </w:r>
    </w:p>
    <w:p w14:paraId="53E58DD1" w14:textId="77777777" w:rsidR="0036312E" w:rsidRPr="0036312E" w:rsidRDefault="0036312E" w:rsidP="00280F75">
      <w:pPr>
        <w:autoSpaceDE w:val="0"/>
        <w:autoSpaceDN w:val="0"/>
        <w:adjustRightInd w:val="0"/>
        <w:jc w:val="both"/>
        <w:rPr>
          <w:rFonts w:ascii="Arial" w:eastAsiaTheme="minorHAnsi" w:hAnsi="Arial" w:cs="Arial"/>
          <w:color w:val="000000"/>
          <w:sz w:val="23"/>
          <w:szCs w:val="23"/>
        </w:rPr>
      </w:pPr>
    </w:p>
    <w:p w14:paraId="4FA3A182" w14:textId="287E7E64" w:rsidR="0036312E" w:rsidRDefault="0036312E" w:rsidP="00280F75">
      <w:pPr>
        <w:autoSpaceDE w:val="0"/>
        <w:autoSpaceDN w:val="0"/>
        <w:adjustRightInd w:val="0"/>
        <w:jc w:val="both"/>
        <w:rPr>
          <w:rFonts w:ascii="Arial" w:eastAsiaTheme="minorHAnsi" w:hAnsi="Arial" w:cs="Arial"/>
          <w:color w:val="000000"/>
          <w:sz w:val="23"/>
          <w:szCs w:val="23"/>
        </w:rPr>
      </w:pPr>
      <w:r w:rsidRPr="0036312E">
        <w:rPr>
          <w:rFonts w:ascii="Arial" w:eastAsiaTheme="minorHAnsi" w:hAnsi="Arial" w:cs="Arial"/>
          <w:color w:val="000000"/>
          <w:sz w:val="23"/>
          <w:szCs w:val="23"/>
        </w:rPr>
        <w:lastRenderedPageBreak/>
        <w:t xml:space="preserve">Sufficient time to allow critical parameters (i.e. those that which will control the shelf life of the product) to be assessed beyond the appropriate confidence interval of its specification limits needs to be built into the stability study. A minimum of 4 justified time points plus the initial data is the minimum required. Note that increasing the number of time points can help minimise the 95% confidence interval, which may otherwise restrict the allocated shelf life. This is particularly applicable to studies of drugs in syringes in which between-day repeatability may be higher than for other container types. </w:t>
      </w:r>
    </w:p>
    <w:p w14:paraId="17C398A6" w14:textId="77777777" w:rsidR="0036312E" w:rsidRPr="0036312E" w:rsidRDefault="0036312E" w:rsidP="00280F75">
      <w:pPr>
        <w:autoSpaceDE w:val="0"/>
        <w:autoSpaceDN w:val="0"/>
        <w:adjustRightInd w:val="0"/>
        <w:jc w:val="both"/>
        <w:rPr>
          <w:rFonts w:ascii="Arial" w:eastAsiaTheme="minorHAnsi" w:hAnsi="Arial" w:cs="Arial"/>
          <w:color w:val="000000"/>
          <w:sz w:val="23"/>
          <w:szCs w:val="23"/>
        </w:rPr>
      </w:pPr>
    </w:p>
    <w:p w14:paraId="5377C746" w14:textId="45C3D55F" w:rsidR="0036312E" w:rsidRDefault="0036312E" w:rsidP="00280F75">
      <w:pPr>
        <w:autoSpaceDE w:val="0"/>
        <w:autoSpaceDN w:val="0"/>
        <w:adjustRightInd w:val="0"/>
        <w:jc w:val="both"/>
        <w:rPr>
          <w:rFonts w:ascii="Arial" w:eastAsiaTheme="minorHAnsi" w:hAnsi="Arial" w:cs="Arial"/>
          <w:color w:val="000000"/>
          <w:sz w:val="23"/>
          <w:szCs w:val="23"/>
        </w:rPr>
      </w:pPr>
      <w:r w:rsidRPr="0036312E">
        <w:rPr>
          <w:rFonts w:ascii="Arial" w:eastAsiaTheme="minorHAnsi" w:hAnsi="Arial" w:cs="Arial"/>
          <w:color w:val="000000"/>
          <w:sz w:val="23"/>
          <w:szCs w:val="23"/>
        </w:rPr>
        <w:t xml:space="preserve">In the case of the critical parameter being the Active Pharmaceutical Ingredient (API) concentration, the study period should allow the concentration to fall to a value that allows a complete understanding of the reaction kinetics. This will not, however, be possible for very stable drugs. Other factors may also be relevant in determining shelf life (see 2.3). </w:t>
      </w:r>
    </w:p>
    <w:p w14:paraId="04DD78C7" w14:textId="77777777" w:rsidR="0036312E" w:rsidRPr="0036312E" w:rsidRDefault="0036312E" w:rsidP="00280F75">
      <w:pPr>
        <w:autoSpaceDE w:val="0"/>
        <w:autoSpaceDN w:val="0"/>
        <w:adjustRightInd w:val="0"/>
        <w:jc w:val="both"/>
        <w:rPr>
          <w:rFonts w:ascii="Arial" w:eastAsiaTheme="minorHAnsi" w:hAnsi="Arial" w:cs="Arial"/>
          <w:color w:val="000000"/>
          <w:sz w:val="23"/>
          <w:szCs w:val="23"/>
        </w:rPr>
      </w:pPr>
    </w:p>
    <w:p w14:paraId="3524BA79" w14:textId="3F6F26E9" w:rsidR="0036312E" w:rsidRDefault="0036312E" w:rsidP="00280F75">
      <w:pPr>
        <w:autoSpaceDE w:val="0"/>
        <w:autoSpaceDN w:val="0"/>
        <w:adjustRightInd w:val="0"/>
        <w:jc w:val="both"/>
        <w:rPr>
          <w:rFonts w:ascii="Arial" w:eastAsiaTheme="minorHAnsi" w:hAnsi="Arial" w:cs="Arial"/>
          <w:color w:val="000000"/>
          <w:sz w:val="23"/>
          <w:szCs w:val="23"/>
        </w:rPr>
      </w:pPr>
      <w:r w:rsidRPr="0036312E">
        <w:rPr>
          <w:rFonts w:ascii="Arial" w:eastAsiaTheme="minorHAnsi" w:hAnsi="Arial" w:cs="Arial"/>
          <w:color w:val="000000"/>
          <w:sz w:val="23"/>
          <w:szCs w:val="23"/>
        </w:rPr>
        <w:t xml:space="preserve">Consideration should be given to carrying out accelerated stability studies for products expected to be or known to be relatively stable. Condition 3 in Table 1 is the temperature normally selected for this purpose. </w:t>
      </w:r>
    </w:p>
    <w:p w14:paraId="26349076" w14:textId="77777777" w:rsidR="0036312E" w:rsidRPr="0036312E" w:rsidRDefault="0036312E" w:rsidP="00280F75">
      <w:pPr>
        <w:autoSpaceDE w:val="0"/>
        <w:autoSpaceDN w:val="0"/>
        <w:adjustRightInd w:val="0"/>
        <w:jc w:val="both"/>
        <w:rPr>
          <w:rFonts w:ascii="Arial" w:eastAsiaTheme="minorHAnsi" w:hAnsi="Arial" w:cs="Arial"/>
          <w:color w:val="000000"/>
          <w:sz w:val="23"/>
          <w:szCs w:val="23"/>
        </w:rPr>
      </w:pPr>
    </w:p>
    <w:p w14:paraId="5D1278F7" w14:textId="77777777" w:rsidR="0036312E" w:rsidRPr="0036312E" w:rsidRDefault="0036312E" w:rsidP="00280F75">
      <w:pPr>
        <w:autoSpaceDE w:val="0"/>
        <w:autoSpaceDN w:val="0"/>
        <w:adjustRightInd w:val="0"/>
        <w:jc w:val="both"/>
        <w:rPr>
          <w:rFonts w:ascii="Arial" w:eastAsiaTheme="minorHAnsi" w:hAnsi="Arial" w:cs="Arial"/>
          <w:color w:val="000000"/>
          <w:sz w:val="23"/>
          <w:szCs w:val="23"/>
          <w:u w:val="single"/>
        </w:rPr>
      </w:pPr>
      <w:r w:rsidRPr="0036312E">
        <w:rPr>
          <w:rFonts w:ascii="Arial" w:eastAsiaTheme="minorHAnsi" w:hAnsi="Arial" w:cs="Arial"/>
          <w:color w:val="000000"/>
          <w:sz w:val="23"/>
          <w:szCs w:val="23"/>
          <w:u w:val="single"/>
        </w:rPr>
        <w:t xml:space="preserve">Abridged studies </w:t>
      </w:r>
    </w:p>
    <w:p w14:paraId="3A57F130" w14:textId="77777777" w:rsidR="0036312E" w:rsidRDefault="0036312E" w:rsidP="00280F75">
      <w:pPr>
        <w:jc w:val="both"/>
        <w:rPr>
          <w:rFonts w:ascii="Arial" w:eastAsiaTheme="minorHAnsi" w:hAnsi="Arial" w:cs="Arial"/>
          <w:color w:val="000000"/>
          <w:sz w:val="23"/>
          <w:szCs w:val="23"/>
        </w:rPr>
      </w:pPr>
    </w:p>
    <w:p w14:paraId="040AAD5F" w14:textId="69D2F5C7" w:rsidR="0036312E" w:rsidRDefault="0036312E" w:rsidP="00280F75">
      <w:pPr>
        <w:jc w:val="both"/>
        <w:rPr>
          <w:rFonts w:ascii="Arial" w:hAnsi="Arial" w:cs="Arial"/>
          <w:sz w:val="23"/>
          <w:szCs w:val="23"/>
        </w:rPr>
      </w:pPr>
      <w:r w:rsidRPr="0036312E">
        <w:rPr>
          <w:rFonts w:ascii="Arial" w:eastAsiaTheme="minorHAnsi" w:hAnsi="Arial" w:cs="Arial"/>
          <w:color w:val="000000"/>
          <w:sz w:val="23"/>
          <w:szCs w:val="23"/>
        </w:rPr>
        <w:t>Where relatively robust information exists from another study including the preparation’s reaction kinetics, and those data are available to the researcher, an abridged study may be considered to fill in knowledge gaps. For example, techniques that were not used in the original study may need to be used in order to</w:t>
      </w:r>
      <w:r>
        <w:rPr>
          <w:rFonts w:ascii="Arial" w:hAnsi="Arial" w:cs="Arial"/>
        </w:rPr>
        <w:t xml:space="preserve"> </w:t>
      </w:r>
      <w:r w:rsidRPr="0036312E">
        <w:rPr>
          <w:rFonts w:ascii="Arial" w:hAnsi="Arial" w:cs="Arial"/>
          <w:sz w:val="23"/>
          <w:szCs w:val="23"/>
        </w:rPr>
        <w:t>extrapolate a study to a different container type, or to assess an extended infusion period at a raised temperature.</w:t>
      </w:r>
    </w:p>
    <w:p w14:paraId="5D2BBDD7" w14:textId="721EC62E" w:rsidR="0036312E" w:rsidRPr="0036312E" w:rsidRDefault="0036312E" w:rsidP="00280F75">
      <w:pPr>
        <w:jc w:val="both"/>
        <w:rPr>
          <w:rFonts w:ascii="Arial" w:hAnsi="Arial" w:cs="Arial"/>
        </w:rPr>
      </w:pPr>
    </w:p>
    <w:p w14:paraId="62368702" w14:textId="35FFC43E" w:rsidR="0036312E" w:rsidRDefault="0036312E" w:rsidP="00280F75">
      <w:pPr>
        <w:autoSpaceDE w:val="0"/>
        <w:autoSpaceDN w:val="0"/>
        <w:adjustRightInd w:val="0"/>
        <w:jc w:val="both"/>
        <w:rPr>
          <w:rFonts w:ascii="Arial" w:eastAsiaTheme="minorHAnsi" w:hAnsi="Arial" w:cs="Arial"/>
          <w:color w:val="000000"/>
          <w:sz w:val="23"/>
          <w:szCs w:val="23"/>
        </w:rPr>
      </w:pPr>
      <w:r w:rsidRPr="0036312E">
        <w:rPr>
          <w:rFonts w:ascii="Arial" w:eastAsiaTheme="minorHAnsi" w:hAnsi="Arial" w:cs="Arial"/>
          <w:color w:val="000000"/>
          <w:sz w:val="23"/>
          <w:szCs w:val="23"/>
        </w:rPr>
        <w:t xml:space="preserve">In the case of abridged studies it may be possible to reduce the number of data points or to spread them over the storage period and the final infusion period to cover both aspects of the study. For example a study may be considered to include time points T= 0, one intermediate point of refrigerated storage, the end point of refrigerated storage plus the post infusion temperature storage period data point. </w:t>
      </w:r>
    </w:p>
    <w:p w14:paraId="30184EA0" w14:textId="2F8D0A45" w:rsidR="0036312E" w:rsidRDefault="0036312E" w:rsidP="00280F75">
      <w:pPr>
        <w:autoSpaceDE w:val="0"/>
        <w:autoSpaceDN w:val="0"/>
        <w:adjustRightInd w:val="0"/>
        <w:jc w:val="both"/>
        <w:rPr>
          <w:rFonts w:ascii="Arial" w:eastAsiaTheme="minorHAnsi" w:hAnsi="Arial" w:cs="Arial"/>
          <w:color w:val="000000"/>
          <w:sz w:val="23"/>
          <w:szCs w:val="23"/>
        </w:rPr>
      </w:pPr>
    </w:p>
    <w:p w14:paraId="60E639A8" w14:textId="5BC2DB08" w:rsidR="0036312E" w:rsidRPr="0036312E" w:rsidRDefault="00280F75" w:rsidP="00280F75">
      <w:pPr>
        <w:autoSpaceDE w:val="0"/>
        <w:autoSpaceDN w:val="0"/>
        <w:adjustRightInd w:val="0"/>
        <w:jc w:val="both"/>
        <w:rPr>
          <w:rFonts w:ascii="Arial" w:eastAsiaTheme="minorHAnsi" w:hAnsi="Arial" w:cs="Arial"/>
          <w:color w:val="000000"/>
          <w:sz w:val="23"/>
          <w:szCs w:val="23"/>
        </w:rPr>
      </w:pPr>
      <w:r>
        <w:rPr>
          <w:rFonts w:ascii="Arial" w:eastAsiaTheme="minorHAnsi" w:hAnsi="Arial" w:cs="Arial"/>
          <w:b/>
          <w:bCs/>
          <w:color w:val="000000"/>
          <w:sz w:val="23"/>
          <w:szCs w:val="23"/>
        </w:rPr>
        <w:t>9</w:t>
      </w:r>
      <w:r w:rsidR="0036312E" w:rsidRPr="0036312E">
        <w:rPr>
          <w:rFonts w:ascii="Arial" w:eastAsiaTheme="minorHAnsi" w:hAnsi="Arial" w:cs="Arial"/>
          <w:b/>
          <w:bCs/>
          <w:color w:val="000000"/>
          <w:sz w:val="23"/>
          <w:szCs w:val="23"/>
        </w:rPr>
        <w:t xml:space="preserve">. </w:t>
      </w:r>
      <w:r w:rsidR="0036312E" w:rsidRPr="0036312E">
        <w:rPr>
          <w:rFonts w:ascii="Arial" w:eastAsiaTheme="minorHAnsi" w:hAnsi="Arial" w:cs="Arial"/>
          <w:b/>
          <w:bCs/>
          <w:color w:val="000000"/>
          <w:sz w:val="23"/>
          <w:szCs w:val="23"/>
          <w:u w:val="single"/>
        </w:rPr>
        <w:t>Sample Numbers</w:t>
      </w:r>
      <w:r w:rsidR="0036312E" w:rsidRPr="0036312E">
        <w:rPr>
          <w:rFonts w:ascii="Arial" w:eastAsiaTheme="minorHAnsi" w:hAnsi="Arial" w:cs="Arial"/>
          <w:b/>
          <w:bCs/>
          <w:color w:val="000000"/>
          <w:sz w:val="23"/>
          <w:szCs w:val="23"/>
        </w:rPr>
        <w:t xml:space="preserve"> </w:t>
      </w:r>
    </w:p>
    <w:p w14:paraId="54111D32" w14:textId="77777777" w:rsidR="0036312E" w:rsidRDefault="0036312E" w:rsidP="00280F75">
      <w:pPr>
        <w:autoSpaceDE w:val="0"/>
        <w:autoSpaceDN w:val="0"/>
        <w:adjustRightInd w:val="0"/>
        <w:jc w:val="both"/>
        <w:rPr>
          <w:rFonts w:ascii="Arial" w:eastAsiaTheme="minorHAnsi" w:hAnsi="Arial" w:cs="Arial"/>
          <w:color w:val="000000"/>
          <w:sz w:val="23"/>
          <w:szCs w:val="23"/>
        </w:rPr>
      </w:pPr>
    </w:p>
    <w:p w14:paraId="7B3ECB61" w14:textId="2F99DC49" w:rsidR="0036312E" w:rsidRDefault="0036312E" w:rsidP="00280F75">
      <w:pPr>
        <w:autoSpaceDE w:val="0"/>
        <w:autoSpaceDN w:val="0"/>
        <w:adjustRightInd w:val="0"/>
        <w:jc w:val="both"/>
        <w:rPr>
          <w:rFonts w:ascii="Arial" w:eastAsiaTheme="minorHAnsi" w:hAnsi="Arial" w:cs="Arial"/>
          <w:color w:val="000000"/>
          <w:sz w:val="23"/>
          <w:szCs w:val="23"/>
        </w:rPr>
      </w:pPr>
      <w:r w:rsidRPr="0036312E">
        <w:rPr>
          <w:rFonts w:ascii="Arial" w:eastAsiaTheme="minorHAnsi" w:hAnsi="Arial" w:cs="Arial"/>
          <w:color w:val="000000"/>
          <w:sz w:val="23"/>
          <w:szCs w:val="23"/>
        </w:rPr>
        <w:t>For licensed products and regularly manufactured specials there should be a programme of ongoing stability work. It is required that three independent batches have been studied for licence submissions</w:t>
      </w:r>
      <w:r w:rsidRPr="0036312E">
        <w:rPr>
          <w:rFonts w:ascii="Arial" w:eastAsiaTheme="minorHAnsi" w:hAnsi="Arial" w:cs="Arial"/>
          <w:color w:val="000000"/>
          <w:sz w:val="16"/>
          <w:szCs w:val="16"/>
        </w:rPr>
        <w:t>15</w:t>
      </w:r>
      <w:r w:rsidRPr="0036312E">
        <w:rPr>
          <w:rFonts w:ascii="Arial" w:eastAsiaTheme="minorHAnsi" w:hAnsi="Arial" w:cs="Arial"/>
          <w:color w:val="000000"/>
          <w:sz w:val="23"/>
          <w:szCs w:val="23"/>
        </w:rPr>
        <w:t xml:space="preserve">. </w:t>
      </w:r>
    </w:p>
    <w:p w14:paraId="3CA49D2F" w14:textId="77777777" w:rsidR="0036312E" w:rsidRPr="0036312E" w:rsidRDefault="0036312E" w:rsidP="00280F75">
      <w:pPr>
        <w:autoSpaceDE w:val="0"/>
        <w:autoSpaceDN w:val="0"/>
        <w:adjustRightInd w:val="0"/>
        <w:jc w:val="both"/>
        <w:rPr>
          <w:rFonts w:ascii="Arial" w:eastAsiaTheme="minorHAnsi" w:hAnsi="Arial" w:cs="Arial"/>
          <w:color w:val="000000"/>
          <w:sz w:val="23"/>
          <w:szCs w:val="23"/>
        </w:rPr>
      </w:pPr>
    </w:p>
    <w:p w14:paraId="330D30EA" w14:textId="122EE48D" w:rsidR="0036312E" w:rsidRDefault="0036312E" w:rsidP="00280F75">
      <w:pPr>
        <w:autoSpaceDE w:val="0"/>
        <w:autoSpaceDN w:val="0"/>
        <w:adjustRightInd w:val="0"/>
        <w:jc w:val="both"/>
        <w:rPr>
          <w:rFonts w:ascii="Arial" w:eastAsiaTheme="minorHAnsi" w:hAnsi="Arial" w:cs="Arial"/>
          <w:color w:val="000000"/>
          <w:sz w:val="23"/>
          <w:szCs w:val="23"/>
        </w:rPr>
      </w:pPr>
      <w:r w:rsidRPr="0036312E">
        <w:rPr>
          <w:rFonts w:ascii="Arial" w:eastAsiaTheme="minorHAnsi" w:hAnsi="Arial" w:cs="Arial"/>
          <w:color w:val="000000"/>
          <w:sz w:val="23"/>
          <w:szCs w:val="23"/>
        </w:rPr>
        <w:t xml:space="preserve">For studies of aseptically prepared products, the initial stability assessment is often carried out on a single batch, but this must include at least three replicates (independent containers) from each of the starting concentrations selected. The use of two or three fully independent batches (i.e. unique batches of stating materials) affords a much higher level of assurance to studies. </w:t>
      </w:r>
    </w:p>
    <w:p w14:paraId="2C02ABD9" w14:textId="77777777" w:rsidR="0036312E" w:rsidRPr="0036312E" w:rsidRDefault="0036312E" w:rsidP="00280F75">
      <w:pPr>
        <w:autoSpaceDE w:val="0"/>
        <w:autoSpaceDN w:val="0"/>
        <w:adjustRightInd w:val="0"/>
        <w:jc w:val="both"/>
        <w:rPr>
          <w:rFonts w:ascii="Arial" w:eastAsiaTheme="minorHAnsi" w:hAnsi="Arial" w:cs="Arial"/>
          <w:color w:val="000000"/>
          <w:sz w:val="23"/>
          <w:szCs w:val="23"/>
        </w:rPr>
      </w:pPr>
    </w:p>
    <w:p w14:paraId="1C1A5169" w14:textId="7D876744" w:rsidR="0036312E" w:rsidRDefault="0036312E" w:rsidP="00280F75">
      <w:pPr>
        <w:autoSpaceDE w:val="0"/>
        <w:autoSpaceDN w:val="0"/>
        <w:adjustRightInd w:val="0"/>
        <w:jc w:val="both"/>
        <w:rPr>
          <w:rFonts w:ascii="Arial" w:eastAsiaTheme="minorHAnsi" w:hAnsi="Arial" w:cs="Arial"/>
          <w:color w:val="000000"/>
          <w:sz w:val="23"/>
          <w:szCs w:val="23"/>
        </w:rPr>
      </w:pPr>
      <w:r w:rsidRPr="0036312E">
        <w:rPr>
          <w:rFonts w:ascii="Arial" w:eastAsiaTheme="minorHAnsi" w:hAnsi="Arial" w:cs="Arial"/>
          <w:color w:val="000000"/>
          <w:sz w:val="23"/>
          <w:szCs w:val="23"/>
        </w:rPr>
        <w:t xml:space="preserve">The three samples must be analysed at each time point in duplicate or preferably triplicate. Note that increasing the number of replicates for analysis can help minimise the 95% confidence interval which otherwise may restrict allocated shelf lives. </w:t>
      </w:r>
    </w:p>
    <w:p w14:paraId="4E9187D3" w14:textId="77777777" w:rsidR="0036312E" w:rsidRPr="0036312E" w:rsidRDefault="0036312E" w:rsidP="00280F75">
      <w:pPr>
        <w:autoSpaceDE w:val="0"/>
        <w:autoSpaceDN w:val="0"/>
        <w:adjustRightInd w:val="0"/>
        <w:jc w:val="both"/>
        <w:rPr>
          <w:rFonts w:ascii="Arial" w:eastAsiaTheme="minorHAnsi" w:hAnsi="Arial" w:cs="Arial"/>
          <w:color w:val="000000"/>
          <w:sz w:val="23"/>
          <w:szCs w:val="23"/>
        </w:rPr>
      </w:pPr>
    </w:p>
    <w:p w14:paraId="38B1D8CD" w14:textId="401487B0" w:rsidR="0036312E" w:rsidRDefault="0036312E" w:rsidP="00280F75">
      <w:pPr>
        <w:autoSpaceDE w:val="0"/>
        <w:autoSpaceDN w:val="0"/>
        <w:adjustRightInd w:val="0"/>
        <w:jc w:val="both"/>
        <w:rPr>
          <w:rFonts w:ascii="Arial" w:eastAsiaTheme="minorHAnsi" w:hAnsi="Arial" w:cs="Arial"/>
          <w:color w:val="000000"/>
          <w:sz w:val="23"/>
          <w:szCs w:val="23"/>
        </w:rPr>
      </w:pPr>
      <w:r w:rsidRPr="0036312E">
        <w:rPr>
          <w:rFonts w:ascii="Arial" w:eastAsiaTheme="minorHAnsi" w:hAnsi="Arial" w:cs="Arial"/>
          <w:color w:val="000000"/>
          <w:sz w:val="23"/>
          <w:szCs w:val="23"/>
        </w:rPr>
        <w:t xml:space="preserve">The result of each sample test should be reported independently or if summarised a measure of spread provided, such as the standard deviation. For example, for samples tested in triplicate an average and spread for each set of triplicate samples as well as an average and spread for all the samples combined for each time point should be reported (example in Appendix 1). For samples tested in duplicate this should be reported as a </w:t>
      </w:r>
      <w:r w:rsidRPr="0036312E">
        <w:rPr>
          <w:rFonts w:ascii="Arial" w:eastAsiaTheme="minorHAnsi" w:hAnsi="Arial" w:cs="Arial"/>
          <w:color w:val="000000"/>
          <w:sz w:val="23"/>
          <w:szCs w:val="23"/>
        </w:rPr>
        <w:lastRenderedPageBreak/>
        <w:t xml:space="preserve">range for each sample together with the population mean and variance of the three samples. </w:t>
      </w:r>
    </w:p>
    <w:p w14:paraId="6EA64333" w14:textId="77777777" w:rsidR="0036312E" w:rsidRPr="0036312E" w:rsidRDefault="0036312E" w:rsidP="00280F75">
      <w:pPr>
        <w:autoSpaceDE w:val="0"/>
        <w:autoSpaceDN w:val="0"/>
        <w:adjustRightInd w:val="0"/>
        <w:jc w:val="both"/>
        <w:rPr>
          <w:rFonts w:ascii="Arial" w:eastAsiaTheme="minorHAnsi" w:hAnsi="Arial" w:cs="Arial"/>
          <w:color w:val="000000"/>
          <w:sz w:val="23"/>
          <w:szCs w:val="23"/>
        </w:rPr>
      </w:pPr>
    </w:p>
    <w:p w14:paraId="19D6F808" w14:textId="2F3D024B" w:rsidR="0036312E" w:rsidRDefault="0036312E" w:rsidP="00280F75">
      <w:pPr>
        <w:autoSpaceDE w:val="0"/>
        <w:autoSpaceDN w:val="0"/>
        <w:adjustRightInd w:val="0"/>
        <w:jc w:val="both"/>
        <w:rPr>
          <w:rFonts w:ascii="Arial" w:eastAsiaTheme="minorHAnsi" w:hAnsi="Arial" w:cs="Arial"/>
          <w:color w:val="000000"/>
          <w:sz w:val="23"/>
          <w:szCs w:val="23"/>
        </w:rPr>
      </w:pPr>
      <w:r w:rsidRPr="0036312E">
        <w:rPr>
          <w:rFonts w:ascii="Arial" w:eastAsiaTheme="minorHAnsi" w:hAnsi="Arial" w:cs="Arial"/>
          <w:color w:val="000000"/>
          <w:sz w:val="23"/>
          <w:szCs w:val="23"/>
        </w:rPr>
        <w:t xml:space="preserve">Ideally test results should be reported as a percentage of the baseline concentration, so as to fully understand the degradation levels. </w:t>
      </w:r>
    </w:p>
    <w:p w14:paraId="1ED9C87E" w14:textId="77777777" w:rsidR="0036312E" w:rsidRPr="0036312E" w:rsidRDefault="0036312E" w:rsidP="00280F75">
      <w:pPr>
        <w:autoSpaceDE w:val="0"/>
        <w:autoSpaceDN w:val="0"/>
        <w:adjustRightInd w:val="0"/>
        <w:jc w:val="both"/>
        <w:rPr>
          <w:rFonts w:ascii="Arial" w:eastAsiaTheme="minorHAnsi" w:hAnsi="Arial" w:cs="Arial"/>
          <w:color w:val="000000"/>
          <w:sz w:val="23"/>
          <w:szCs w:val="23"/>
        </w:rPr>
      </w:pPr>
    </w:p>
    <w:p w14:paraId="66F6104A" w14:textId="77777777" w:rsidR="0036312E" w:rsidRPr="0036312E" w:rsidRDefault="0036312E" w:rsidP="00280F75">
      <w:pPr>
        <w:autoSpaceDE w:val="0"/>
        <w:autoSpaceDN w:val="0"/>
        <w:adjustRightInd w:val="0"/>
        <w:jc w:val="both"/>
        <w:rPr>
          <w:rFonts w:ascii="Arial" w:eastAsiaTheme="minorHAnsi" w:hAnsi="Arial" w:cs="Arial"/>
          <w:color w:val="000000"/>
          <w:sz w:val="23"/>
          <w:szCs w:val="23"/>
        </w:rPr>
      </w:pPr>
      <w:r w:rsidRPr="0036312E">
        <w:rPr>
          <w:rFonts w:ascii="Arial" w:eastAsiaTheme="minorHAnsi" w:hAnsi="Arial" w:cs="Arial"/>
          <w:color w:val="000000"/>
          <w:sz w:val="23"/>
          <w:szCs w:val="23"/>
        </w:rPr>
        <w:t xml:space="preserve">9.1 </w:t>
      </w:r>
      <w:r w:rsidRPr="0036312E">
        <w:rPr>
          <w:rFonts w:ascii="Arial" w:eastAsiaTheme="minorHAnsi" w:hAnsi="Arial" w:cs="Arial"/>
          <w:color w:val="000000"/>
          <w:sz w:val="23"/>
          <w:szCs w:val="23"/>
          <w:u w:val="single"/>
        </w:rPr>
        <w:t>Sampling considerations</w:t>
      </w:r>
      <w:r w:rsidRPr="0036312E">
        <w:rPr>
          <w:rFonts w:ascii="Arial" w:eastAsiaTheme="minorHAnsi" w:hAnsi="Arial" w:cs="Arial"/>
          <w:color w:val="000000"/>
          <w:sz w:val="23"/>
          <w:szCs w:val="23"/>
        </w:rPr>
        <w:t xml:space="preserve"> </w:t>
      </w:r>
    </w:p>
    <w:p w14:paraId="6336252C" w14:textId="77777777" w:rsidR="0036312E" w:rsidRDefault="0036312E" w:rsidP="00280F75">
      <w:pPr>
        <w:autoSpaceDE w:val="0"/>
        <w:autoSpaceDN w:val="0"/>
        <w:adjustRightInd w:val="0"/>
        <w:jc w:val="both"/>
        <w:rPr>
          <w:rFonts w:ascii="Arial" w:eastAsiaTheme="minorHAnsi" w:hAnsi="Arial" w:cs="Arial"/>
          <w:color w:val="000000"/>
          <w:sz w:val="23"/>
          <w:szCs w:val="23"/>
        </w:rPr>
      </w:pPr>
    </w:p>
    <w:p w14:paraId="08DBC85E" w14:textId="260B259F" w:rsidR="0036312E" w:rsidRDefault="0036312E" w:rsidP="00280F75">
      <w:pPr>
        <w:autoSpaceDE w:val="0"/>
        <w:autoSpaceDN w:val="0"/>
        <w:adjustRightInd w:val="0"/>
        <w:jc w:val="both"/>
        <w:rPr>
          <w:rFonts w:ascii="Arial" w:eastAsiaTheme="minorHAnsi" w:hAnsi="Arial" w:cs="Arial"/>
          <w:color w:val="000000"/>
          <w:sz w:val="23"/>
          <w:szCs w:val="23"/>
        </w:rPr>
      </w:pPr>
      <w:r w:rsidRPr="0036312E">
        <w:rPr>
          <w:rFonts w:ascii="Arial" w:eastAsiaTheme="minorHAnsi" w:hAnsi="Arial" w:cs="Arial"/>
          <w:color w:val="000000"/>
          <w:sz w:val="23"/>
          <w:szCs w:val="23"/>
        </w:rPr>
        <w:t xml:space="preserve">For containers with a sufficient capacity (for example greater than 60mL), individual units may be regarded as a batch and multiple samples taken from them, pulled dosage units being replaced in storage condition. Note that samples must be removed aseptically to prevent the risk of spoilage. For containers with an insufficient capacity (for example less than 60mL) in order to carry out analysis at all data points it will be necessary to prepare a fully mixed bulk before filling into its storage container to ensure all such containers contain an identical homogenous solution. </w:t>
      </w:r>
    </w:p>
    <w:p w14:paraId="14AF16E3" w14:textId="77777777" w:rsidR="0036312E" w:rsidRPr="0036312E" w:rsidRDefault="0036312E" w:rsidP="00280F75">
      <w:pPr>
        <w:autoSpaceDE w:val="0"/>
        <w:autoSpaceDN w:val="0"/>
        <w:adjustRightInd w:val="0"/>
        <w:jc w:val="both"/>
        <w:rPr>
          <w:rFonts w:ascii="Arial" w:eastAsiaTheme="minorHAnsi" w:hAnsi="Arial" w:cs="Arial"/>
          <w:color w:val="000000"/>
          <w:sz w:val="23"/>
          <w:szCs w:val="23"/>
        </w:rPr>
      </w:pPr>
    </w:p>
    <w:p w14:paraId="6CB6A9ED" w14:textId="5D59A33D" w:rsidR="0036312E" w:rsidRPr="00280F75" w:rsidRDefault="0036312E" w:rsidP="00280F75">
      <w:pPr>
        <w:jc w:val="both"/>
        <w:rPr>
          <w:rFonts w:ascii="Arial" w:hAnsi="Arial" w:cs="Arial"/>
          <w:sz w:val="23"/>
          <w:szCs w:val="23"/>
        </w:rPr>
      </w:pPr>
      <w:r w:rsidRPr="0036312E">
        <w:rPr>
          <w:rFonts w:ascii="Arial" w:eastAsiaTheme="minorHAnsi" w:hAnsi="Arial" w:cs="Arial"/>
          <w:color w:val="000000"/>
          <w:sz w:val="23"/>
          <w:szCs w:val="23"/>
        </w:rPr>
        <w:t>For elastomeric infusors the solution homogeneity needs to be assured and it is suggested that dilutions are made before the device itself is filled since mixing within the device itself is difficult due to the lack of air in the device and also the solution</w:t>
      </w:r>
      <w:r>
        <w:rPr>
          <w:rFonts w:ascii="Arial" w:eastAsiaTheme="minorHAnsi" w:hAnsi="Arial" w:cs="Arial"/>
          <w:color w:val="000000"/>
          <w:sz w:val="23"/>
          <w:szCs w:val="23"/>
        </w:rPr>
        <w:t xml:space="preserve"> </w:t>
      </w:r>
      <w:r w:rsidRPr="0036312E">
        <w:rPr>
          <w:rFonts w:ascii="Arial" w:hAnsi="Arial" w:cs="Arial"/>
          <w:sz w:val="23"/>
          <w:szCs w:val="23"/>
        </w:rPr>
        <w:t>added may start to fill the delivery tubing meaning that the initial sample will not be homogeneous. Removal and discarding a validated volume prior to sample removal can also be considered for these devices</w:t>
      </w:r>
    </w:p>
    <w:p w14:paraId="7AF63282" w14:textId="51FCA80D" w:rsidR="0036312E" w:rsidRDefault="0036312E" w:rsidP="00280F75">
      <w:pPr>
        <w:jc w:val="both"/>
        <w:rPr>
          <w:rFonts w:ascii="Arial" w:hAnsi="Arial" w:cs="Arial"/>
          <w:sz w:val="23"/>
          <w:szCs w:val="23"/>
        </w:rPr>
      </w:pPr>
    </w:p>
    <w:p w14:paraId="73B60FE2" w14:textId="06270345" w:rsidR="0036312E" w:rsidRDefault="0036312E" w:rsidP="00280F75">
      <w:pPr>
        <w:autoSpaceDE w:val="0"/>
        <w:autoSpaceDN w:val="0"/>
        <w:adjustRightInd w:val="0"/>
        <w:jc w:val="both"/>
        <w:rPr>
          <w:rFonts w:ascii="Arial" w:eastAsiaTheme="minorHAnsi" w:hAnsi="Arial" w:cs="Arial"/>
          <w:color w:val="000000"/>
          <w:sz w:val="23"/>
          <w:szCs w:val="23"/>
        </w:rPr>
      </w:pPr>
      <w:r w:rsidRPr="0036312E">
        <w:rPr>
          <w:rFonts w:ascii="Arial" w:eastAsiaTheme="minorHAnsi" w:hAnsi="Arial" w:cs="Arial"/>
          <w:color w:val="000000"/>
          <w:sz w:val="23"/>
          <w:szCs w:val="23"/>
        </w:rPr>
        <w:t xml:space="preserve">It is vital that the sample is representative of the product to be delivered to the patient; there is some concern that products susceptible to adsorption to tubing may be adversely affected if sampled from the terminal end of giving sets for elastomeric devices. In this case it may be better to cut and clamp the tubing nearer to the reservoir, although it is important that the impact of any adsorption to the tubing is understood. </w:t>
      </w:r>
    </w:p>
    <w:p w14:paraId="21B5109C" w14:textId="77777777" w:rsidR="0036312E" w:rsidRPr="0036312E" w:rsidRDefault="0036312E" w:rsidP="00280F75">
      <w:pPr>
        <w:autoSpaceDE w:val="0"/>
        <w:autoSpaceDN w:val="0"/>
        <w:adjustRightInd w:val="0"/>
        <w:jc w:val="both"/>
        <w:rPr>
          <w:rFonts w:ascii="Arial" w:eastAsiaTheme="minorHAnsi" w:hAnsi="Arial" w:cs="Arial"/>
          <w:color w:val="000000"/>
          <w:sz w:val="23"/>
          <w:szCs w:val="23"/>
        </w:rPr>
      </w:pPr>
    </w:p>
    <w:p w14:paraId="2A8C38BB" w14:textId="3A4B0065" w:rsidR="0036312E" w:rsidRDefault="0036312E" w:rsidP="00280F75">
      <w:pPr>
        <w:autoSpaceDE w:val="0"/>
        <w:autoSpaceDN w:val="0"/>
        <w:adjustRightInd w:val="0"/>
        <w:jc w:val="both"/>
        <w:rPr>
          <w:rFonts w:ascii="Arial" w:eastAsiaTheme="minorHAnsi" w:hAnsi="Arial" w:cs="Arial"/>
          <w:color w:val="000000"/>
          <w:sz w:val="23"/>
          <w:szCs w:val="23"/>
        </w:rPr>
      </w:pPr>
      <w:r w:rsidRPr="0036312E">
        <w:rPr>
          <w:rFonts w:ascii="Arial" w:eastAsiaTheme="minorHAnsi" w:hAnsi="Arial" w:cs="Arial"/>
          <w:color w:val="000000"/>
          <w:sz w:val="23"/>
          <w:szCs w:val="23"/>
        </w:rPr>
        <w:t xml:space="preserve">For sub-visible particle counts it is paramount to sample ahead of any in-line filters and so for these samples the tubing will need to be cut ahead of the filter to allow representative sampling. </w:t>
      </w:r>
    </w:p>
    <w:p w14:paraId="6A5B06B8" w14:textId="77777777" w:rsidR="0036312E" w:rsidRPr="0036312E" w:rsidRDefault="0036312E" w:rsidP="00280F75">
      <w:pPr>
        <w:autoSpaceDE w:val="0"/>
        <w:autoSpaceDN w:val="0"/>
        <w:adjustRightInd w:val="0"/>
        <w:jc w:val="both"/>
        <w:rPr>
          <w:rFonts w:ascii="Arial" w:eastAsiaTheme="minorHAnsi" w:hAnsi="Arial" w:cs="Arial"/>
          <w:color w:val="000000"/>
          <w:sz w:val="23"/>
          <w:szCs w:val="23"/>
        </w:rPr>
      </w:pPr>
    </w:p>
    <w:p w14:paraId="60691980" w14:textId="77777777" w:rsidR="0036312E" w:rsidRPr="0036312E" w:rsidRDefault="0036312E" w:rsidP="00280F75">
      <w:pPr>
        <w:autoSpaceDE w:val="0"/>
        <w:autoSpaceDN w:val="0"/>
        <w:adjustRightInd w:val="0"/>
        <w:jc w:val="both"/>
        <w:rPr>
          <w:rFonts w:ascii="Arial" w:eastAsiaTheme="minorHAnsi" w:hAnsi="Arial" w:cs="Arial"/>
          <w:color w:val="000000"/>
          <w:sz w:val="23"/>
          <w:szCs w:val="23"/>
        </w:rPr>
      </w:pPr>
      <w:r w:rsidRPr="0036312E">
        <w:rPr>
          <w:rFonts w:ascii="Arial" w:eastAsiaTheme="minorHAnsi" w:hAnsi="Arial" w:cs="Arial"/>
          <w:b/>
          <w:bCs/>
          <w:color w:val="000000"/>
          <w:sz w:val="23"/>
          <w:szCs w:val="23"/>
        </w:rPr>
        <w:t>10</w:t>
      </w:r>
      <w:r w:rsidRPr="0036312E">
        <w:rPr>
          <w:rFonts w:ascii="Arial" w:eastAsiaTheme="minorHAnsi" w:hAnsi="Arial" w:cs="Arial"/>
          <w:b/>
          <w:bCs/>
          <w:color w:val="000000"/>
          <w:sz w:val="23"/>
          <w:szCs w:val="23"/>
          <w:u w:val="single"/>
        </w:rPr>
        <w:t>. Testing Protocols</w:t>
      </w:r>
      <w:r w:rsidRPr="0036312E">
        <w:rPr>
          <w:rFonts w:ascii="Arial" w:eastAsiaTheme="minorHAnsi" w:hAnsi="Arial" w:cs="Arial"/>
          <w:b/>
          <w:bCs/>
          <w:color w:val="000000"/>
          <w:sz w:val="23"/>
          <w:szCs w:val="23"/>
        </w:rPr>
        <w:t xml:space="preserve"> </w:t>
      </w:r>
    </w:p>
    <w:p w14:paraId="2A957CC9" w14:textId="77777777" w:rsidR="0036312E" w:rsidRDefault="0036312E" w:rsidP="00280F75">
      <w:pPr>
        <w:autoSpaceDE w:val="0"/>
        <w:autoSpaceDN w:val="0"/>
        <w:adjustRightInd w:val="0"/>
        <w:jc w:val="both"/>
        <w:rPr>
          <w:rFonts w:ascii="Arial" w:eastAsiaTheme="minorHAnsi" w:hAnsi="Arial" w:cs="Arial"/>
          <w:color w:val="000000"/>
          <w:sz w:val="23"/>
          <w:szCs w:val="23"/>
        </w:rPr>
      </w:pPr>
    </w:p>
    <w:p w14:paraId="3B042CDA" w14:textId="43E105D5" w:rsidR="0036312E" w:rsidRDefault="0036312E" w:rsidP="00280F75">
      <w:pPr>
        <w:autoSpaceDE w:val="0"/>
        <w:autoSpaceDN w:val="0"/>
        <w:adjustRightInd w:val="0"/>
        <w:jc w:val="both"/>
        <w:rPr>
          <w:rFonts w:ascii="Arial" w:eastAsiaTheme="minorHAnsi" w:hAnsi="Arial" w:cs="Arial"/>
          <w:color w:val="000000"/>
          <w:sz w:val="23"/>
          <w:szCs w:val="23"/>
        </w:rPr>
      </w:pPr>
      <w:r w:rsidRPr="0036312E">
        <w:rPr>
          <w:rFonts w:ascii="Arial" w:eastAsiaTheme="minorHAnsi" w:hAnsi="Arial" w:cs="Arial"/>
          <w:color w:val="000000"/>
          <w:sz w:val="23"/>
          <w:szCs w:val="23"/>
        </w:rPr>
        <w:t xml:space="preserve">The minimum testing protocol should include a consideration of the following points. </w:t>
      </w:r>
    </w:p>
    <w:p w14:paraId="2AA99BEA" w14:textId="77777777" w:rsidR="0036312E" w:rsidRPr="0036312E" w:rsidRDefault="0036312E" w:rsidP="00280F75">
      <w:pPr>
        <w:autoSpaceDE w:val="0"/>
        <w:autoSpaceDN w:val="0"/>
        <w:adjustRightInd w:val="0"/>
        <w:jc w:val="both"/>
        <w:rPr>
          <w:rFonts w:ascii="Arial" w:eastAsiaTheme="minorHAnsi" w:hAnsi="Arial" w:cs="Arial"/>
          <w:color w:val="000000"/>
          <w:sz w:val="23"/>
          <w:szCs w:val="23"/>
        </w:rPr>
      </w:pPr>
    </w:p>
    <w:p w14:paraId="2A396982" w14:textId="47CF2A30" w:rsidR="0036312E" w:rsidRDefault="0036312E" w:rsidP="00280F75">
      <w:pPr>
        <w:autoSpaceDE w:val="0"/>
        <w:autoSpaceDN w:val="0"/>
        <w:adjustRightInd w:val="0"/>
        <w:jc w:val="both"/>
        <w:rPr>
          <w:rFonts w:ascii="Arial" w:eastAsiaTheme="minorHAnsi" w:hAnsi="Arial" w:cs="Arial"/>
          <w:color w:val="000000"/>
          <w:sz w:val="23"/>
          <w:szCs w:val="23"/>
        </w:rPr>
      </w:pPr>
      <w:r w:rsidRPr="0036312E">
        <w:rPr>
          <w:rFonts w:ascii="Arial" w:eastAsiaTheme="minorHAnsi" w:hAnsi="Arial" w:cs="Arial"/>
          <w:color w:val="000000"/>
          <w:sz w:val="23"/>
          <w:szCs w:val="23"/>
        </w:rPr>
        <w:t xml:space="preserve">10.1 </w:t>
      </w:r>
      <w:r w:rsidRPr="0036312E">
        <w:rPr>
          <w:rFonts w:ascii="Arial" w:eastAsiaTheme="minorHAnsi" w:hAnsi="Arial" w:cs="Arial"/>
          <w:color w:val="000000"/>
          <w:sz w:val="23"/>
          <w:szCs w:val="23"/>
          <w:u w:val="single"/>
        </w:rPr>
        <w:t>Colour, clarity and precipitation</w:t>
      </w:r>
      <w:r w:rsidRPr="0036312E">
        <w:rPr>
          <w:rFonts w:ascii="Arial" w:eastAsiaTheme="minorHAnsi" w:hAnsi="Arial" w:cs="Arial"/>
          <w:color w:val="000000"/>
          <w:sz w:val="23"/>
          <w:szCs w:val="23"/>
        </w:rPr>
        <w:t xml:space="preserve"> </w:t>
      </w:r>
    </w:p>
    <w:p w14:paraId="71924688" w14:textId="77777777" w:rsidR="0036312E" w:rsidRPr="0036312E" w:rsidRDefault="0036312E" w:rsidP="00280F75">
      <w:pPr>
        <w:autoSpaceDE w:val="0"/>
        <w:autoSpaceDN w:val="0"/>
        <w:adjustRightInd w:val="0"/>
        <w:jc w:val="both"/>
        <w:rPr>
          <w:rFonts w:ascii="Arial" w:eastAsiaTheme="minorHAnsi" w:hAnsi="Arial" w:cs="Arial"/>
          <w:color w:val="000000"/>
          <w:sz w:val="23"/>
          <w:szCs w:val="23"/>
        </w:rPr>
      </w:pPr>
    </w:p>
    <w:p w14:paraId="7791708C" w14:textId="13A8BA1B" w:rsidR="0036312E" w:rsidRDefault="0036312E" w:rsidP="00280F75">
      <w:pPr>
        <w:autoSpaceDE w:val="0"/>
        <w:autoSpaceDN w:val="0"/>
        <w:adjustRightInd w:val="0"/>
        <w:jc w:val="both"/>
        <w:rPr>
          <w:rFonts w:ascii="Arial" w:eastAsiaTheme="minorHAnsi" w:hAnsi="Arial" w:cs="Arial"/>
          <w:color w:val="000000"/>
          <w:sz w:val="23"/>
          <w:szCs w:val="23"/>
        </w:rPr>
      </w:pPr>
      <w:r w:rsidRPr="0036312E">
        <w:rPr>
          <w:rFonts w:ascii="Arial" w:eastAsiaTheme="minorHAnsi" w:hAnsi="Arial" w:cs="Arial"/>
          <w:color w:val="000000"/>
          <w:sz w:val="23"/>
          <w:szCs w:val="23"/>
        </w:rPr>
        <w:t xml:space="preserve">The appearance of the product may be the stability limiting factor, particularly with the formation of visible particles / precipitates. Significant colour changes, even when associated with relatively low levels of degradation, may make the product unacceptable or non-compliant with standards (see relevant BP Monograph). </w:t>
      </w:r>
    </w:p>
    <w:p w14:paraId="4AF86A76" w14:textId="77777777" w:rsidR="0036312E" w:rsidRPr="0036312E" w:rsidRDefault="0036312E" w:rsidP="00280F75">
      <w:pPr>
        <w:autoSpaceDE w:val="0"/>
        <w:autoSpaceDN w:val="0"/>
        <w:adjustRightInd w:val="0"/>
        <w:jc w:val="both"/>
        <w:rPr>
          <w:rFonts w:ascii="Arial" w:eastAsiaTheme="minorHAnsi" w:hAnsi="Arial" w:cs="Arial"/>
          <w:color w:val="000000"/>
          <w:sz w:val="23"/>
          <w:szCs w:val="23"/>
        </w:rPr>
      </w:pPr>
    </w:p>
    <w:p w14:paraId="2197A046" w14:textId="77777777" w:rsidR="0036312E" w:rsidRPr="0036312E" w:rsidRDefault="0036312E" w:rsidP="00280F75">
      <w:pPr>
        <w:autoSpaceDE w:val="0"/>
        <w:autoSpaceDN w:val="0"/>
        <w:adjustRightInd w:val="0"/>
        <w:jc w:val="both"/>
        <w:rPr>
          <w:rFonts w:ascii="Arial" w:eastAsiaTheme="minorHAnsi" w:hAnsi="Arial" w:cs="Arial"/>
          <w:color w:val="000000"/>
          <w:sz w:val="23"/>
          <w:szCs w:val="23"/>
          <w:u w:val="single"/>
        </w:rPr>
      </w:pPr>
      <w:r w:rsidRPr="0036312E">
        <w:rPr>
          <w:rFonts w:ascii="Arial" w:eastAsiaTheme="minorHAnsi" w:hAnsi="Arial" w:cs="Arial"/>
          <w:color w:val="000000"/>
          <w:sz w:val="23"/>
          <w:szCs w:val="23"/>
        </w:rPr>
        <w:t xml:space="preserve">10.2 </w:t>
      </w:r>
      <w:r w:rsidRPr="0036312E">
        <w:rPr>
          <w:rFonts w:ascii="Arial" w:eastAsiaTheme="minorHAnsi" w:hAnsi="Arial" w:cs="Arial"/>
          <w:color w:val="000000"/>
          <w:sz w:val="23"/>
          <w:szCs w:val="23"/>
          <w:u w:val="single"/>
        </w:rPr>
        <w:t xml:space="preserve">pH </w:t>
      </w:r>
    </w:p>
    <w:p w14:paraId="55B13F74" w14:textId="77777777" w:rsidR="0036312E" w:rsidRDefault="0036312E" w:rsidP="00280F75">
      <w:pPr>
        <w:autoSpaceDE w:val="0"/>
        <w:autoSpaceDN w:val="0"/>
        <w:adjustRightInd w:val="0"/>
        <w:jc w:val="both"/>
        <w:rPr>
          <w:rFonts w:ascii="Arial" w:eastAsiaTheme="minorHAnsi" w:hAnsi="Arial" w:cs="Arial"/>
          <w:color w:val="000000"/>
          <w:sz w:val="23"/>
          <w:szCs w:val="23"/>
        </w:rPr>
      </w:pPr>
    </w:p>
    <w:p w14:paraId="50EC692E" w14:textId="0BDC1E29" w:rsidR="0036312E" w:rsidRDefault="0036312E" w:rsidP="00280F75">
      <w:pPr>
        <w:autoSpaceDE w:val="0"/>
        <w:autoSpaceDN w:val="0"/>
        <w:adjustRightInd w:val="0"/>
        <w:jc w:val="both"/>
        <w:rPr>
          <w:rFonts w:ascii="Arial" w:eastAsiaTheme="minorHAnsi" w:hAnsi="Arial" w:cs="Arial"/>
          <w:color w:val="000000"/>
          <w:sz w:val="23"/>
          <w:szCs w:val="23"/>
        </w:rPr>
      </w:pPr>
      <w:r w:rsidRPr="0036312E">
        <w:rPr>
          <w:rFonts w:ascii="Arial" w:eastAsiaTheme="minorHAnsi" w:hAnsi="Arial" w:cs="Arial"/>
          <w:color w:val="000000"/>
          <w:sz w:val="23"/>
          <w:szCs w:val="23"/>
        </w:rPr>
        <w:t xml:space="preserve">The pH is likely to be critical to the stability of most drugs and changes in pH are likely to be indicative of other changes in the stored container that need investigation. </w:t>
      </w:r>
    </w:p>
    <w:p w14:paraId="167DB648" w14:textId="52D83320" w:rsidR="0036312E" w:rsidRDefault="0036312E" w:rsidP="00280F75">
      <w:pPr>
        <w:autoSpaceDE w:val="0"/>
        <w:autoSpaceDN w:val="0"/>
        <w:adjustRightInd w:val="0"/>
        <w:jc w:val="both"/>
        <w:rPr>
          <w:rFonts w:ascii="Arial" w:eastAsiaTheme="minorHAnsi" w:hAnsi="Arial" w:cs="Arial"/>
          <w:color w:val="000000"/>
          <w:sz w:val="23"/>
          <w:szCs w:val="23"/>
        </w:rPr>
      </w:pPr>
    </w:p>
    <w:p w14:paraId="4B2E35E8" w14:textId="46D6D29B" w:rsidR="00280F75" w:rsidRDefault="00280F75" w:rsidP="00280F75">
      <w:pPr>
        <w:autoSpaceDE w:val="0"/>
        <w:autoSpaceDN w:val="0"/>
        <w:adjustRightInd w:val="0"/>
        <w:jc w:val="both"/>
        <w:rPr>
          <w:rFonts w:ascii="Arial" w:eastAsiaTheme="minorHAnsi" w:hAnsi="Arial" w:cs="Arial"/>
          <w:color w:val="000000"/>
          <w:sz w:val="23"/>
          <w:szCs w:val="23"/>
        </w:rPr>
      </w:pPr>
    </w:p>
    <w:p w14:paraId="3A5A6F88" w14:textId="3A758B79" w:rsidR="00280F75" w:rsidRDefault="00280F75" w:rsidP="00280F75">
      <w:pPr>
        <w:autoSpaceDE w:val="0"/>
        <w:autoSpaceDN w:val="0"/>
        <w:adjustRightInd w:val="0"/>
        <w:jc w:val="both"/>
        <w:rPr>
          <w:rFonts w:ascii="Arial" w:eastAsiaTheme="minorHAnsi" w:hAnsi="Arial" w:cs="Arial"/>
          <w:color w:val="000000"/>
          <w:sz w:val="23"/>
          <w:szCs w:val="23"/>
        </w:rPr>
      </w:pPr>
    </w:p>
    <w:p w14:paraId="4A747D58" w14:textId="77777777" w:rsidR="00280F75" w:rsidRPr="0036312E" w:rsidRDefault="00280F75" w:rsidP="00280F75">
      <w:pPr>
        <w:autoSpaceDE w:val="0"/>
        <w:autoSpaceDN w:val="0"/>
        <w:adjustRightInd w:val="0"/>
        <w:jc w:val="both"/>
        <w:rPr>
          <w:rFonts w:ascii="Arial" w:eastAsiaTheme="minorHAnsi" w:hAnsi="Arial" w:cs="Arial"/>
          <w:color w:val="000000"/>
          <w:sz w:val="23"/>
          <w:szCs w:val="23"/>
        </w:rPr>
      </w:pPr>
    </w:p>
    <w:p w14:paraId="188BFC0E" w14:textId="77777777" w:rsidR="0036312E" w:rsidRPr="0036312E" w:rsidRDefault="0036312E" w:rsidP="00280F75">
      <w:pPr>
        <w:autoSpaceDE w:val="0"/>
        <w:autoSpaceDN w:val="0"/>
        <w:adjustRightInd w:val="0"/>
        <w:jc w:val="both"/>
        <w:rPr>
          <w:rFonts w:ascii="Arial" w:eastAsiaTheme="minorHAnsi" w:hAnsi="Arial" w:cs="Arial"/>
          <w:color w:val="000000"/>
          <w:sz w:val="23"/>
          <w:szCs w:val="23"/>
        </w:rPr>
      </w:pPr>
      <w:r w:rsidRPr="0036312E">
        <w:rPr>
          <w:rFonts w:ascii="Arial" w:eastAsiaTheme="minorHAnsi" w:hAnsi="Arial" w:cs="Arial"/>
          <w:color w:val="000000"/>
          <w:sz w:val="23"/>
          <w:szCs w:val="23"/>
        </w:rPr>
        <w:lastRenderedPageBreak/>
        <w:t xml:space="preserve">10.3 </w:t>
      </w:r>
      <w:r w:rsidRPr="0036312E">
        <w:rPr>
          <w:rFonts w:ascii="Arial" w:eastAsiaTheme="minorHAnsi" w:hAnsi="Arial" w:cs="Arial"/>
          <w:color w:val="000000"/>
          <w:sz w:val="23"/>
          <w:szCs w:val="23"/>
          <w:u w:val="single"/>
        </w:rPr>
        <w:t>API concentration</w:t>
      </w:r>
      <w:r w:rsidRPr="0036312E">
        <w:rPr>
          <w:rFonts w:ascii="Arial" w:eastAsiaTheme="minorHAnsi" w:hAnsi="Arial" w:cs="Arial"/>
          <w:color w:val="000000"/>
          <w:sz w:val="23"/>
          <w:szCs w:val="23"/>
        </w:rPr>
        <w:t xml:space="preserve"> </w:t>
      </w:r>
    </w:p>
    <w:p w14:paraId="32477C46" w14:textId="77777777" w:rsidR="0036312E" w:rsidRDefault="0036312E" w:rsidP="00280F75">
      <w:pPr>
        <w:autoSpaceDE w:val="0"/>
        <w:autoSpaceDN w:val="0"/>
        <w:adjustRightInd w:val="0"/>
        <w:jc w:val="both"/>
        <w:rPr>
          <w:rFonts w:ascii="Arial" w:eastAsiaTheme="minorHAnsi" w:hAnsi="Arial" w:cs="Arial"/>
          <w:color w:val="000000"/>
          <w:sz w:val="23"/>
          <w:szCs w:val="23"/>
        </w:rPr>
      </w:pPr>
    </w:p>
    <w:p w14:paraId="4D515F9B" w14:textId="0EEAA231" w:rsidR="0036312E" w:rsidRDefault="0036312E" w:rsidP="00280F75">
      <w:pPr>
        <w:autoSpaceDE w:val="0"/>
        <w:autoSpaceDN w:val="0"/>
        <w:adjustRightInd w:val="0"/>
        <w:jc w:val="both"/>
        <w:rPr>
          <w:rFonts w:ascii="Arial" w:eastAsiaTheme="minorHAnsi" w:hAnsi="Arial" w:cs="Arial"/>
          <w:color w:val="000000"/>
          <w:sz w:val="23"/>
          <w:szCs w:val="23"/>
        </w:rPr>
      </w:pPr>
      <w:r w:rsidRPr="0036312E">
        <w:rPr>
          <w:rFonts w:ascii="Arial" w:eastAsiaTheme="minorHAnsi" w:hAnsi="Arial" w:cs="Arial"/>
          <w:color w:val="000000"/>
          <w:sz w:val="23"/>
          <w:szCs w:val="23"/>
        </w:rPr>
        <w:t xml:space="preserve">Often API concentration is the critical shelf life limiting factor, usually assayed by HPLC either linked to Diode Array Detector (DAD) or with a standard UV detector, other stability indicating methods may be suitable including UHPLC-MS-MS (see further section 10.5). Analytical method validation needs to be in line with the documents referenced in point 3 above whichever method is used. </w:t>
      </w:r>
    </w:p>
    <w:p w14:paraId="5A5CF9A8" w14:textId="77777777" w:rsidR="00421FD9" w:rsidRPr="0036312E" w:rsidRDefault="00421FD9" w:rsidP="00280F75">
      <w:pPr>
        <w:autoSpaceDE w:val="0"/>
        <w:autoSpaceDN w:val="0"/>
        <w:adjustRightInd w:val="0"/>
        <w:jc w:val="both"/>
        <w:rPr>
          <w:rFonts w:ascii="Arial" w:eastAsiaTheme="minorHAnsi" w:hAnsi="Arial" w:cs="Arial"/>
          <w:color w:val="000000"/>
          <w:sz w:val="23"/>
          <w:szCs w:val="23"/>
        </w:rPr>
      </w:pPr>
    </w:p>
    <w:p w14:paraId="45CD91D4" w14:textId="77777777" w:rsidR="0036312E" w:rsidRPr="0036312E" w:rsidRDefault="0036312E" w:rsidP="00280F75">
      <w:pPr>
        <w:autoSpaceDE w:val="0"/>
        <w:autoSpaceDN w:val="0"/>
        <w:adjustRightInd w:val="0"/>
        <w:jc w:val="both"/>
        <w:rPr>
          <w:rFonts w:ascii="Arial" w:eastAsiaTheme="minorHAnsi" w:hAnsi="Arial" w:cs="Arial"/>
          <w:color w:val="000000"/>
          <w:sz w:val="23"/>
          <w:szCs w:val="23"/>
        </w:rPr>
      </w:pPr>
      <w:r w:rsidRPr="0036312E">
        <w:rPr>
          <w:rFonts w:ascii="Arial" w:eastAsiaTheme="minorHAnsi" w:hAnsi="Arial" w:cs="Arial"/>
          <w:color w:val="000000"/>
          <w:sz w:val="23"/>
          <w:szCs w:val="23"/>
        </w:rPr>
        <w:t xml:space="preserve">10.4 </w:t>
      </w:r>
      <w:r w:rsidRPr="0036312E">
        <w:rPr>
          <w:rFonts w:ascii="Arial" w:eastAsiaTheme="minorHAnsi" w:hAnsi="Arial" w:cs="Arial"/>
          <w:color w:val="000000"/>
          <w:sz w:val="23"/>
          <w:szCs w:val="23"/>
          <w:u w:val="single"/>
        </w:rPr>
        <w:t>Sub-visible particle counts</w:t>
      </w:r>
      <w:r w:rsidRPr="0036312E">
        <w:rPr>
          <w:rFonts w:ascii="Arial" w:eastAsiaTheme="minorHAnsi" w:hAnsi="Arial" w:cs="Arial"/>
          <w:color w:val="000000"/>
          <w:sz w:val="23"/>
          <w:szCs w:val="23"/>
        </w:rPr>
        <w:t xml:space="preserve"> </w:t>
      </w:r>
    </w:p>
    <w:p w14:paraId="7BD37EE1" w14:textId="77777777" w:rsidR="00421FD9" w:rsidRDefault="00421FD9" w:rsidP="00280F75">
      <w:pPr>
        <w:jc w:val="both"/>
        <w:rPr>
          <w:rFonts w:ascii="Arial" w:eastAsiaTheme="minorHAnsi" w:hAnsi="Arial" w:cs="Arial"/>
          <w:color w:val="000000"/>
          <w:sz w:val="23"/>
          <w:szCs w:val="23"/>
        </w:rPr>
      </w:pPr>
    </w:p>
    <w:p w14:paraId="64C7DA41" w14:textId="4E9885CD" w:rsidR="0036312E" w:rsidRDefault="0036312E" w:rsidP="00280F75">
      <w:pPr>
        <w:jc w:val="both"/>
        <w:rPr>
          <w:rFonts w:ascii="Arial" w:eastAsiaTheme="minorHAnsi" w:hAnsi="Arial" w:cs="Arial"/>
          <w:color w:val="000000"/>
          <w:sz w:val="23"/>
          <w:szCs w:val="23"/>
        </w:rPr>
      </w:pPr>
      <w:r w:rsidRPr="0036312E">
        <w:rPr>
          <w:rFonts w:ascii="Arial" w:eastAsiaTheme="minorHAnsi" w:hAnsi="Arial" w:cs="Arial"/>
          <w:color w:val="000000"/>
          <w:sz w:val="23"/>
          <w:szCs w:val="23"/>
        </w:rPr>
        <w:t>The test for sub-visible particulates is an important part of any stability protocol and will normal follow the BP Light Obscuration technique, and if carried out to the Pharmacopoeial standard tests this technique does need relatively large sample volumes. There is evidence that a smaller sample volume will provide equivalent accuracy in terms of particle level analysis</w:t>
      </w:r>
      <w:r w:rsidRPr="0036312E">
        <w:rPr>
          <w:rFonts w:ascii="Arial" w:eastAsiaTheme="minorHAnsi" w:hAnsi="Arial" w:cs="Arial"/>
          <w:color w:val="000000"/>
          <w:sz w:val="16"/>
          <w:szCs w:val="16"/>
        </w:rPr>
        <w:t xml:space="preserve">16 </w:t>
      </w:r>
      <w:r w:rsidRPr="0036312E">
        <w:rPr>
          <w:rFonts w:ascii="Arial" w:eastAsiaTheme="minorHAnsi" w:hAnsi="Arial" w:cs="Arial"/>
          <w:color w:val="000000"/>
          <w:sz w:val="23"/>
          <w:szCs w:val="23"/>
        </w:rPr>
        <w:t>and therefore smaller sample sizes for particle analysis may be acceptable. The Microscopic Particle Count test may also be used if appropriate</w:t>
      </w:r>
      <w:r w:rsidRPr="0036312E">
        <w:rPr>
          <w:rFonts w:ascii="Arial" w:eastAsiaTheme="minorHAnsi" w:hAnsi="Arial" w:cs="Arial"/>
          <w:color w:val="000000"/>
          <w:sz w:val="16"/>
          <w:szCs w:val="16"/>
        </w:rPr>
        <w:t>17</w:t>
      </w:r>
      <w:r w:rsidRPr="0036312E">
        <w:rPr>
          <w:rFonts w:ascii="Arial" w:eastAsiaTheme="minorHAnsi" w:hAnsi="Arial" w:cs="Arial"/>
          <w:color w:val="000000"/>
          <w:sz w:val="23"/>
          <w:szCs w:val="23"/>
        </w:rPr>
        <w:t>. For suspensions for injection it is expected that assessment of the particle size of the suspension be included in the stability protocol.</w:t>
      </w:r>
    </w:p>
    <w:p w14:paraId="60F2DA08" w14:textId="5FA35EBD" w:rsidR="00421FD9" w:rsidRDefault="00421FD9" w:rsidP="00280F75">
      <w:pPr>
        <w:jc w:val="both"/>
        <w:rPr>
          <w:rFonts w:ascii="Arial" w:eastAsiaTheme="minorHAnsi" w:hAnsi="Arial" w:cs="Arial"/>
          <w:color w:val="000000"/>
          <w:sz w:val="23"/>
          <w:szCs w:val="23"/>
        </w:rPr>
      </w:pPr>
    </w:p>
    <w:p w14:paraId="7592C4CF" w14:textId="77777777" w:rsidR="00421FD9" w:rsidRPr="00421FD9" w:rsidRDefault="00421FD9" w:rsidP="00280F75">
      <w:pPr>
        <w:autoSpaceDE w:val="0"/>
        <w:autoSpaceDN w:val="0"/>
        <w:adjustRightInd w:val="0"/>
        <w:jc w:val="both"/>
        <w:rPr>
          <w:rFonts w:ascii="Arial" w:eastAsiaTheme="minorHAnsi" w:hAnsi="Arial" w:cs="Arial"/>
          <w:color w:val="000000"/>
          <w:sz w:val="23"/>
          <w:szCs w:val="23"/>
          <w:u w:val="single"/>
        </w:rPr>
      </w:pPr>
      <w:r w:rsidRPr="00421FD9">
        <w:rPr>
          <w:rFonts w:ascii="Arial" w:eastAsiaTheme="minorHAnsi" w:hAnsi="Arial" w:cs="Arial"/>
          <w:color w:val="000000"/>
          <w:sz w:val="23"/>
          <w:szCs w:val="23"/>
        </w:rPr>
        <w:t xml:space="preserve">10.5 </w:t>
      </w:r>
      <w:r w:rsidRPr="00421FD9">
        <w:rPr>
          <w:rFonts w:ascii="Arial" w:eastAsiaTheme="minorHAnsi" w:hAnsi="Arial" w:cs="Arial"/>
          <w:color w:val="000000"/>
          <w:sz w:val="23"/>
          <w:szCs w:val="23"/>
          <w:u w:val="single"/>
        </w:rPr>
        <w:t xml:space="preserve">Degradation product concentration </w:t>
      </w:r>
    </w:p>
    <w:p w14:paraId="5287BFF5" w14:textId="77777777" w:rsidR="00421FD9" w:rsidRPr="00421FD9" w:rsidRDefault="00421FD9" w:rsidP="00280F75">
      <w:pPr>
        <w:autoSpaceDE w:val="0"/>
        <w:autoSpaceDN w:val="0"/>
        <w:adjustRightInd w:val="0"/>
        <w:jc w:val="both"/>
        <w:rPr>
          <w:rFonts w:ascii="Arial" w:eastAsiaTheme="minorHAnsi" w:hAnsi="Arial" w:cs="Arial"/>
          <w:color w:val="000000"/>
          <w:sz w:val="23"/>
          <w:szCs w:val="23"/>
          <w:u w:val="single"/>
        </w:rPr>
      </w:pPr>
    </w:p>
    <w:p w14:paraId="1A951D28" w14:textId="3CDBFDE2" w:rsidR="00421FD9" w:rsidRDefault="00421FD9" w:rsidP="00280F75">
      <w:pPr>
        <w:autoSpaceDE w:val="0"/>
        <w:autoSpaceDN w:val="0"/>
        <w:adjustRightInd w:val="0"/>
        <w:jc w:val="both"/>
        <w:rPr>
          <w:rFonts w:ascii="Arial" w:eastAsiaTheme="minorHAnsi" w:hAnsi="Arial" w:cs="Arial"/>
          <w:color w:val="000000"/>
          <w:sz w:val="23"/>
          <w:szCs w:val="23"/>
        </w:rPr>
      </w:pPr>
      <w:r w:rsidRPr="00421FD9">
        <w:rPr>
          <w:rFonts w:ascii="Arial" w:eastAsiaTheme="minorHAnsi" w:hAnsi="Arial" w:cs="Arial"/>
          <w:color w:val="000000"/>
          <w:sz w:val="23"/>
          <w:szCs w:val="23"/>
        </w:rPr>
        <w:t xml:space="preserve">Degradation product concentration may be a critical parameter in shelf life assignment, together with an understanding of the degradation mechanism and/or a risk assessment of the properties of the degradation products. With a validated HPLC assay, the resolution factor between the active ingredient and degradation products is a critical stage of the assay validation procedure. </w:t>
      </w:r>
    </w:p>
    <w:p w14:paraId="5EA7A5CF" w14:textId="77777777" w:rsidR="00421FD9" w:rsidRPr="00421FD9" w:rsidRDefault="00421FD9" w:rsidP="00280F75">
      <w:pPr>
        <w:autoSpaceDE w:val="0"/>
        <w:autoSpaceDN w:val="0"/>
        <w:adjustRightInd w:val="0"/>
        <w:jc w:val="both"/>
        <w:rPr>
          <w:rFonts w:ascii="Arial" w:eastAsiaTheme="minorHAnsi" w:hAnsi="Arial" w:cs="Arial"/>
          <w:color w:val="000000"/>
          <w:sz w:val="23"/>
          <w:szCs w:val="23"/>
        </w:rPr>
      </w:pPr>
    </w:p>
    <w:p w14:paraId="658C46FE" w14:textId="6090E6D1" w:rsidR="00421FD9" w:rsidRDefault="00421FD9" w:rsidP="00280F75">
      <w:pPr>
        <w:autoSpaceDE w:val="0"/>
        <w:autoSpaceDN w:val="0"/>
        <w:adjustRightInd w:val="0"/>
        <w:jc w:val="both"/>
        <w:rPr>
          <w:rFonts w:ascii="Arial" w:eastAsiaTheme="minorHAnsi" w:hAnsi="Arial" w:cs="Arial"/>
          <w:color w:val="000000"/>
          <w:sz w:val="23"/>
          <w:szCs w:val="23"/>
        </w:rPr>
      </w:pPr>
      <w:r w:rsidRPr="00421FD9">
        <w:rPr>
          <w:rFonts w:ascii="Arial" w:eastAsiaTheme="minorHAnsi" w:hAnsi="Arial" w:cs="Arial"/>
          <w:color w:val="000000"/>
          <w:sz w:val="23"/>
          <w:szCs w:val="23"/>
        </w:rPr>
        <w:t xml:space="preserve">UHPLC with dual Mass Spectrophotometer detection (UHPLC-MS-MS) allows chemical species to be separated both temporally and spatially and it does not rely upon achieving a physical separation in the same way as standard HPLC methodology. </w:t>
      </w:r>
    </w:p>
    <w:p w14:paraId="31F3B9FE" w14:textId="77777777" w:rsidR="00421FD9" w:rsidRPr="00421FD9" w:rsidRDefault="00421FD9" w:rsidP="00280F75">
      <w:pPr>
        <w:autoSpaceDE w:val="0"/>
        <w:autoSpaceDN w:val="0"/>
        <w:adjustRightInd w:val="0"/>
        <w:jc w:val="both"/>
        <w:rPr>
          <w:rFonts w:ascii="Arial" w:eastAsiaTheme="minorHAnsi" w:hAnsi="Arial" w:cs="Arial"/>
          <w:color w:val="000000"/>
          <w:sz w:val="23"/>
          <w:szCs w:val="23"/>
        </w:rPr>
      </w:pPr>
    </w:p>
    <w:p w14:paraId="518C78B5" w14:textId="6E33057C" w:rsidR="00421FD9" w:rsidRDefault="00421FD9" w:rsidP="00280F75">
      <w:pPr>
        <w:autoSpaceDE w:val="0"/>
        <w:autoSpaceDN w:val="0"/>
        <w:adjustRightInd w:val="0"/>
        <w:jc w:val="both"/>
        <w:rPr>
          <w:rFonts w:ascii="Arial" w:eastAsiaTheme="minorHAnsi" w:hAnsi="Arial" w:cs="Arial"/>
          <w:color w:val="000000"/>
          <w:sz w:val="23"/>
          <w:szCs w:val="23"/>
        </w:rPr>
      </w:pPr>
      <w:r w:rsidRPr="00421FD9">
        <w:rPr>
          <w:rFonts w:ascii="Arial" w:eastAsiaTheme="minorHAnsi" w:hAnsi="Arial" w:cs="Arial"/>
          <w:color w:val="000000"/>
          <w:sz w:val="23"/>
          <w:szCs w:val="23"/>
        </w:rPr>
        <w:t xml:space="preserve">Provided the system suitability is demonstrated in terms of the instrument response factor for each compound being determined (if analysing a mixture without a physical separation being achieved) it allows the simultaneous quantitative determination of different chemical species in a very short analysis time without prior physical separation. This technique may alleviate the need for forced degradation studies as species detected will enable full identification of the degradants. </w:t>
      </w:r>
    </w:p>
    <w:p w14:paraId="36665970" w14:textId="77777777" w:rsidR="00421FD9" w:rsidRPr="00421FD9" w:rsidRDefault="00421FD9" w:rsidP="00280F75">
      <w:pPr>
        <w:autoSpaceDE w:val="0"/>
        <w:autoSpaceDN w:val="0"/>
        <w:adjustRightInd w:val="0"/>
        <w:jc w:val="both"/>
        <w:rPr>
          <w:rFonts w:ascii="Arial" w:eastAsiaTheme="minorHAnsi" w:hAnsi="Arial" w:cs="Arial"/>
          <w:color w:val="000000"/>
          <w:sz w:val="23"/>
          <w:szCs w:val="23"/>
        </w:rPr>
      </w:pPr>
    </w:p>
    <w:p w14:paraId="14FF89F4" w14:textId="0F81ED0A" w:rsidR="00421FD9" w:rsidRDefault="00421FD9" w:rsidP="00280F75">
      <w:pPr>
        <w:autoSpaceDE w:val="0"/>
        <w:autoSpaceDN w:val="0"/>
        <w:adjustRightInd w:val="0"/>
        <w:jc w:val="both"/>
        <w:rPr>
          <w:rFonts w:ascii="Arial" w:eastAsiaTheme="minorHAnsi" w:hAnsi="Arial" w:cs="Arial"/>
          <w:color w:val="000000"/>
          <w:sz w:val="23"/>
          <w:szCs w:val="23"/>
        </w:rPr>
      </w:pPr>
      <w:r w:rsidRPr="00421FD9">
        <w:rPr>
          <w:rFonts w:ascii="Arial" w:eastAsiaTheme="minorHAnsi" w:hAnsi="Arial" w:cs="Arial"/>
          <w:color w:val="000000"/>
          <w:sz w:val="23"/>
          <w:szCs w:val="23"/>
        </w:rPr>
        <w:t xml:space="preserve">There is generally no need to include other related substance tests where those substances are process impurities from the original manufacturing process, and would not change as a result of aseptic manipulation and subsequent storage of the product. However, these may still impact on compliance with the BP monograph for overall related substance limits and this should be considered. </w:t>
      </w:r>
    </w:p>
    <w:p w14:paraId="066F59D3" w14:textId="77777777" w:rsidR="00421FD9" w:rsidRPr="00421FD9" w:rsidRDefault="00421FD9" w:rsidP="00280F75">
      <w:pPr>
        <w:autoSpaceDE w:val="0"/>
        <w:autoSpaceDN w:val="0"/>
        <w:adjustRightInd w:val="0"/>
        <w:jc w:val="both"/>
        <w:rPr>
          <w:rFonts w:ascii="Arial" w:eastAsiaTheme="minorHAnsi" w:hAnsi="Arial" w:cs="Arial"/>
          <w:color w:val="000000"/>
          <w:sz w:val="23"/>
          <w:szCs w:val="23"/>
        </w:rPr>
      </w:pPr>
    </w:p>
    <w:p w14:paraId="2A5C1315" w14:textId="78D5A82D" w:rsidR="00421FD9" w:rsidRDefault="00421FD9" w:rsidP="00280F75">
      <w:pPr>
        <w:autoSpaceDE w:val="0"/>
        <w:autoSpaceDN w:val="0"/>
        <w:adjustRightInd w:val="0"/>
        <w:jc w:val="both"/>
        <w:rPr>
          <w:rFonts w:ascii="Arial" w:eastAsiaTheme="minorHAnsi" w:hAnsi="Arial" w:cs="Arial"/>
          <w:color w:val="000000"/>
          <w:sz w:val="23"/>
          <w:szCs w:val="23"/>
        </w:rPr>
      </w:pPr>
      <w:r w:rsidRPr="00421FD9">
        <w:rPr>
          <w:rFonts w:ascii="Arial" w:eastAsiaTheme="minorHAnsi" w:hAnsi="Arial" w:cs="Arial"/>
          <w:color w:val="000000"/>
          <w:sz w:val="23"/>
          <w:szCs w:val="23"/>
        </w:rPr>
        <w:t xml:space="preserve">Additional tests are to be included where applicable. </w:t>
      </w:r>
    </w:p>
    <w:p w14:paraId="37A1ACDA" w14:textId="77777777" w:rsidR="00421FD9" w:rsidRPr="00421FD9" w:rsidRDefault="00421FD9" w:rsidP="00280F75">
      <w:pPr>
        <w:autoSpaceDE w:val="0"/>
        <w:autoSpaceDN w:val="0"/>
        <w:adjustRightInd w:val="0"/>
        <w:jc w:val="both"/>
        <w:rPr>
          <w:rFonts w:ascii="Arial" w:eastAsiaTheme="minorHAnsi" w:hAnsi="Arial" w:cs="Arial"/>
          <w:color w:val="000000"/>
          <w:sz w:val="23"/>
          <w:szCs w:val="23"/>
        </w:rPr>
      </w:pPr>
    </w:p>
    <w:p w14:paraId="2954E45F" w14:textId="77777777" w:rsidR="00421FD9" w:rsidRPr="00421FD9" w:rsidRDefault="00421FD9" w:rsidP="00280F75">
      <w:pPr>
        <w:autoSpaceDE w:val="0"/>
        <w:autoSpaceDN w:val="0"/>
        <w:adjustRightInd w:val="0"/>
        <w:jc w:val="both"/>
        <w:rPr>
          <w:rFonts w:ascii="Arial" w:eastAsiaTheme="minorHAnsi" w:hAnsi="Arial" w:cs="Arial"/>
          <w:color w:val="000000"/>
          <w:sz w:val="23"/>
          <w:szCs w:val="23"/>
        </w:rPr>
      </w:pPr>
      <w:r w:rsidRPr="00421FD9">
        <w:rPr>
          <w:rFonts w:ascii="Arial" w:eastAsiaTheme="minorHAnsi" w:hAnsi="Arial" w:cs="Arial"/>
          <w:color w:val="000000"/>
          <w:sz w:val="23"/>
          <w:szCs w:val="23"/>
        </w:rPr>
        <w:t xml:space="preserve">10.6 </w:t>
      </w:r>
      <w:r w:rsidRPr="00421FD9">
        <w:rPr>
          <w:rFonts w:ascii="Arial" w:eastAsiaTheme="minorHAnsi" w:hAnsi="Arial" w:cs="Arial"/>
          <w:color w:val="000000"/>
          <w:sz w:val="23"/>
          <w:szCs w:val="23"/>
          <w:u w:val="single"/>
        </w:rPr>
        <w:t>Moisture loss</w:t>
      </w:r>
      <w:r w:rsidRPr="00421FD9">
        <w:rPr>
          <w:rFonts w:ascii="Arial" w:eastAsiaTheme="minorHAnsi" w:hAnsi="Arial" w:cs="Arial"/>
          <w:color w:val="000000"/>
          <w:sz w:val="23"/>
          <w:szCs w:val="23"/>
        </w:rPr>
        <w:t xml:space="preserve"> </w:t>
      </w:r>
    </w:p>
    <w:p w14:paraId="174AAA16" w14:textId="77777777" w:rsidR="00421FD9" w:rsidRDefault="00421FD9" w:rsidP="00280F75">
      <w:pPr>
        <w:autoSpaceDE w:val="0"/>
        <w:autoSpaceDN w:val="0"/>
        <w:adjustRightInd w:val="0"/>
        <w:jc w:val="both"/>
        <w:rPr>
          <w:rFonts w:ascii="Arial" w:eastAsiaTheme="minorHAnsi" w:hAnsi="Arial" w:cs="Arial"/>
          <w:color w:val="000000"/>
          <w:sz w:val="23"/>
          <w:szCs w:val="23"/>
        </w:rPr>
      </w:pPr>
    </w:p>
    <w:p w14:paraId="38C9DEE3" w14:textId="266BCECF" w:rsidR="00421FD9" w:rsidRDefault="00421FD9" w:rsidP="00280F75">
      <w:pPr>
        <w:autoSpaceDE w:val="0"/>
        <w:autoSpaceDN w:val="0"/>
        <w:adjustRightInd w:val="0"/>
        <w:jc w:val="both"/>
        <w:rPr>
          <w:rFonts w:ascii="Arial" w:eastAsiaTheme="minorHAnsi" w:hAnsi="Arial" w:cs="Arial"/>
          <w:color w:val="000000"/>
          <w:sz w:val="23"/>
          <w:szCs w:val="23"/>
        </w:rPr>
      </w:pPr>
      <w:r w:rsidRPr="00421FD9">
        <w:rPr>
          <w:rFonts w:ascii="Arial" w:eastAsiaTheme="minorHAnsi" w:hAnsi="Arial" w:cs="Arial"/>
          <w:color w:val="000000"/>
          <w:sz w:val="23"/>
          <w:szCs w:val="23"/>
        </w:rPr>
        <w:t xml:space="preserve">Moisture loss is usually measured by weight change over time, which may be particularly applicable to infusion bags (storage condition 2 in Table 1). </w:t>
      </w:r>
    </w:p>
    <w:p w14:paraId="10E99340" w14:textId="71F97162" w:rsidR="00421FD9" w:rsidRDefault="00421FD9" w:rsidP="00280F75">
      <w:pPr>
        <w:autoSpaceDE w:val="0"/>
        <w:autoSpaceDN w:val="0"/>
        <w:adjustRightInd w:val="0"/>
        <w:jc w:val="both"/>
        <w:rPr>
          <w:rFonts w:ascii="Arial" w:eastAsiaTheme="minorHAnsi" w:hAnsi="Arial" w:cs="Arial"/>
          <w:color w:val="000000"/>
          <w:sz w:val="23"/>
          <w:szCs w:val="23"/>
        </w:rPr>
      </w:pPr>
    </w:p>
    <w:p w14:paraId="097FA355" w14:textId="77777777" w:rsidR="00280F75" w:rsidRPr="00421FD9" w:rsidRDefault="00280F75" w:rsidP="00280F75">
      <w:pPr>
        <w:autoSpaceDE w:val="0"/>
        <w:autoSpaceDN w:val="0"/>
        <w:adjustRightInd w:val="0"/>
        <w:jc w:val="both"/>
        <w:rPr>
          <w:rFonts w:ascii="Arial" w:eastAsiaTheme="minorHAnsi" w:hAnsi="Arial" w:cs="Arial"/>
          <w:color w:val="000000"/>
          <w:sz w:val="23"/>
          <w:szCs w:val="23"/>
        </w:rPr>
      </w:pPr>
    </w:p>
    <w:p w14:paraId="33788428" w14:textId="77777777" w:rsidR="00421FD9" w:rsidRPr="00421FD9" w:rsidRDefault="00421FD9" w:rsidP="00280F75">
      <w:pPr>
        <w:autoSpaceDE w:val="0"/>
        <w:autoSpaceDN w:val="0"/>
        <w:adjustRightInd w:val="0"/>
        <w:jc w:val="both"/>
        <w:rPr>
          <w:rFonts w:ascii="Arial" w:eastAsiaTheme="minorHAnsi" w:hAnsi="Arial" w:cs="Arial"/>
          <w:color w:val="000000"/>
          <w:sz w:val="23"/>
          <w:szCs w:val="23"/>
        </w:rPr>
      </w:pPr>
      <w:r w:rsidRPr="00421FD9">
        <w:rPr>
          <w:rFonts w:ascii="Arial" w:eastAsiaTheme="minorHAnsi" w:hAnsi="Arial" w:cs="Arial"/>
          <w:color w:val="000000"/>
          <w:sz w:val="23"/>
          <w:szCs w:val="23"/>
        </w:rPr>
        <w:lastRenderedPageBreak/>
        <w:t xml:space="preserve">10.7 </w:t>
      </w:r>
      <w:r w:rsidRPr="00421FD9">
        <w:rPr>
          <w:rFonts w:ascii="Arial" w:eastAsiaTheme="minorHAnsi" w:hAnsi="Arial" w:cs="Arial"/>
          <w:color w:val="000000"/>
          <w:sz w:val="23"/>
          <w:szCs w:val="23"/>
          <w:u w:val="single"/>
        </w:rPr>
        <w:t>Container extractables and leachables</w:t>
      </w:r>
      <w:r w:rsidRPr="00421FD9">
        <w:rPr>
          <w:rFonts w:ascii="Arial" w:eastAsiaTheme="minorHAnsi" w:hAnsi="Arial" w:cs="Arial"/>
          <w:color w:val="000000"/>
          <w:sz w:val="23"/>
          <w:szCs w:val="23"/>
        </w:rPr>
        <w:t xml:space="preserve">. </w:t>
      </w:r>
    </w:p>
    <w:p w14:paraId="2665870A" w14:textId="77777777" w:rsidR="00421FD9" w:rsidRDefault="00421FD9" w:rsidP="00280F75">
      <w:pPr>
        <w:autoSpaceDE w:val="0"/>
        <w:autoSpaceDN w:val="0"/>
        <w:adjustRightInd w:val="0"/>
        <w:jc w:val="both"/>
        <w:rPr>
          <w:rFonts w:ascii="Arial" w:eastAsiaTheme="minorHAnsi" w:hAnsi="Arial" w:cs="Arial"/>
          <w:color w:val="000000"/>
          <w:sz w:val="23"/>
          <w:szCs w:val="23"/>
        </w:rPr>
      </w:pPr>
    </w:p>
    <w:p w14:paraId="3172B645" w14:textId="1FFA4980" w:rsidR="00421FD9" w:rsidRDefault="00421FD9" w:rsidP="00280F75">
      <w:pPr>
        <w:autoSpaceDE w:val="0"/>
        <w:autoSpaceDN w:val="0"/>
        <w:adjustRightInd w:val="0"/>
        <w:jc w:val="both"/>
        <w:rPr>
          <w:rFonts w:ascii="Arial" w:eastAsiaTheme="minorHAnsi" w:hAnsi="Arial" w:cs="Arial"/>
          <w:color w:val="000000"/>
          <w:sz w:val="23"/>
          <w:szCs w:val="23"/>
        </w:rPr>
      </w:pPr>
      <w:r w:rsidRPr="00421FD9">
        <w:rPr>
          <w:rFonts w:ascii="Arial" w:eastAsiaTheme="minorHAnsi" w:hAnsi="Arial" w:cs="Arial"/>
          <w:color w:val="000000"/>
          <w:sz w:val="23"/>
          <w:szCs w:val="23"/>
        </w:rPr>
        <w:t xml:space="preserve">For many studies with water soluble drugs, understanding the container leachables is more of a generic issue connected to the container type. If, however, the drug formulation contains solubilising agents or other excipients the level of extractables may need to form part of the stability study. </w:t>
      </w:r>
    </w:p>
    <w:p w14:paraId="5FE2762F" w14:textId="77777777" w:rsidR="00421FD9" w:rsidRPr="00421FD9" w:rsidRDefault="00421FD9" w:rsidP="00280F75">
      <w:pPr>
        <w:autoSpaceDE w:val="0"/>
        <w:autoSpaceDN w:val="0"/>
        <w:adjustRightInd w:val="0"/>
        <w:jc w:val="both"/>
        <w:rPr>
          <w:rFonts w:ascii="Arial" w:eastAsiaTheme="minorHAnsi" w:hAnsi="Arial" w:cs="Arial"/>
          <w:color w:val="000000"/>
          <w:sz w:val="23"/>
          <w:szCs w:val="23"/>
        </w:rPr>
      </w:pPr>
    </w:p>
    <w:p w14:paraId="18C73056" w14:textId="77777777" w:rsidR="00421FD9" w:rsidRPr="00421FD9" w:rsidRDefault="00421FD9" w:rsidP="00280F75">
      <w:pPr>
        <w:autoSpaceDE w:val="0"/>
        <w:autoSpaceDN w:val="0"/>
        <w:adjustRightInd w:val="0"/>
        <w:jc w:val="both"/>
        <w:rPr>
          <w:rFonts w:ascii="Arial" w:eastAsiaTheme="minorHAnsi" w:hAnsi="Arial" w:cs="Arial"/>
          <w:color w:val="000000"/>
          <w:sz w:val="23"/>
          <w:szCs w:val="23"/>
          <w:u w:val="single"/>
        </w:rPr>
      </w:pPr>
      <w:r w:rsidRPr="00421FD9">
        <w:rPr>
          <w:rFonts w:ascii="Arial" w:eastAsiaTheme="minorHAnsi" w:hAnsi="Arial" w:cs="Arial"/>
          <w:color w:val="000000"/>
          <w:sz w:val="23"/>
          <w:szCs w:val="23"/>
        </w:rPr>
        <w:t xml:space="preserve">10.8 </w:t>
      </w:r>
      <w:r w:rsidRPr="00421FD9">
        <w:rPr>
          <w:rFonts w:ascii="Arial" w:eastAsiaTheme="minorHAnsi" w:hAnsi="Arial" w:cs="Arial"/>
          <w:color w:val="000000"/>
          <w:sz w:val="23"/>
          <w:szCs w:val="23"/>
          <w:u w:val="single"/>
        </w:rPr>
        <w:t xml:space="preserve">Excipient concentrations </w:t>
      </w:r>
    </w:p>
    <w:p w14:paraId="6CF9F0F7" w14:textId="77777777" w:rsidR="00421FD9" w:rsidRDefault="00421FD9" w:rsidP="00280F75">
      <w:pPr>
        <w:jc w:val="both"/>
        <w:rPr>
          <w:rFonts w:ascii="Arial" w:eastAsiaTheme="minorHAnsi" w:hAnsi="Arial" w:cs="Arial"/>
          <w:color w:val="000000"/>
          <w:sz w:val="23"/>
          <w:szCs w:val="23"/>
        </w:rPr>
      </w:pPr>
    </w:p>
    <w:p w14:paraId="19765FD7" w14:textId="77D2959F" w:rsidR="00421FD9" w:rsidRDefault="00421FD9" w:rsidP="00280F75">
      <w:pPr>
        <w:jc w:val="both"/>
        <w:rPr>
          <w:rFonts w:ascii="Arial" w:eastAsiaTheme="minorHAnsi" w:hAnsi="Arial" w:cs="Arial"/>
          <w:color w:val="000000"/>
          <w:sz w:val="23"/>
          <w:szCs w:val="23"/>
        </w:rPr>
      </w:pPr>
      <w:r w:rsidRPr="00421FD9">
        <w:rPr>
          <w:rFonts w:ascii="Arial" w:eastAsiaTheme="minorHAnsi" w:hAnsi="Arial" w:cs="Arial"/>
          <w:color w:val="000000"/>
          <w:sz w:val="23"/>
          <w:szCs w:val="23"/>
        </w:rPr>
        <w:t>Excipients can be critical to both physical and chemical drug stability and may also be important for the clinical usage of the product (for example the inclusion of tissue permeability enhancers in subcutaneous injections). In these cases the concentration of excipient should be an important consideration of the study.</w:t>
      </w:r>
    </w:p>
    <w:p w14:paraId="38737900" w14:textId="40F5C15A" w:rsidR="00421FD9" w:rsidRDefault="00421FD9" w:rsidP="00280F75">
      <w:pPr>
        <w:jc w:val="both"/>
        <w:rPr>
          <w:rFonts w:ascii="Arial" w:eastAsiaTheme="minorHAnsi" w:hAnsi="Arial" w:cs="Arial"/>
          <w:color w:val="000000"/>
          <w:sz w:val="23"/>
          <w:szCs w:val="23"/>
        </w:rPr>
      </w:pPr>
    </w:p>
    <w:p w14:paraId="3665A2D8" w14:textId="6CD261AF" w:rsidR="00421FD9" w:rsidRDefault="00421FD9" w:rsidP="00280F75">
      <w:pPr>
        <w:autoSpaceDE w:val="0"/>
        <w:autoSpaceDN w:val="0"/>
        <w:adjustRightInd w:val="0"/>
        <w:jc w:val="both"/>
        <w:rPr>
          <w:rFonts w:ascii="Arial" w:eastAsiaTheme="minorHAnsi" w:hAnsi="Arial" w:cs="Arial"/>
          <w:b/>
          <w:bCs/>
          <w:color w:val="000000"/>
          <w:sz w:val="23"/>
          <w:szCs w:val="23"/>
        </w:rPr>
      </w:pPr>
      <w:r w:rsidRPr="00421FD9">
        <w:rPr>
          <w:rFonts w:ascii="Arial" w:eastAsiaTheme="minorHAnsi" w:hAnsi="Arial" w:cs="Arial"/>
          <w:b/>
          <w:bCs/>
          <w:color w:val="000000"/>
          <w:sz w:val="23"/>
          <w:szCs w:val="23"/>
        </w:rPr>
        <w:t xml:space="preserve">11. </w:t>
      </w:r>
      <w:r w:rsidRPr="00421FD9">
        <w:rPr>
          <w:rFonts w:ascii="Arial" w:eastAsiaTheme="minorHAnsi" w:hAnsi="Arial" w:cs="Arial"/>
          <w:b/>
          <w:bCs/>
          <w:color w:val="000000"/>
          <w:sz w:val="23"/>
          <w:szCs w:val="23"/>
          <w:u w:val="single"/>
        </w:rPr>
        <w:t>Shelf Life allocation</w:t>
      </w:r>
      <w:r w:rsidRPr="00421FD9">
        <w:rPr>
          <w:rFonts w:ascii="Arial" w:eastAsiaTheme="minorHAnsi" w:hAnsi="Arial" w:cs="Arial"/>
          <w:b/>
          <w:bCs/>
          <w:color w:val="000000"/>
          <w:sz w:val="23"/>
          <w:szCs w:val="23"/>
        </w:rPr>
        <w:t xml:space="preserve"> </w:t>
      </w:r>
    </w:p>
    <w:p w14:paraId="5DFA6BFC" w14:textId="77777777" w:rsidR="00421FD9" w:rsidRPr="00421FD9" w:rsidRDefault="00421FD9" w:rsidP="00280F75">
      <w:pPr>
        <w:autoSpaceDE w:val="0"/>
        <w:autoSpaceDN w:val="0"/>
        <w:adjustRightInd w:val="0"/>
        <w:jc w:val="both"/>
        <w:rPr>
          <w:rFonts w:ascii="Arial" w:eastAsiaTheme="minorHAnsi" w:hAnsi="Arial" w:cs="Arial"/>
          <w:color w:val="000000"/>
          <w:sz w:val="23"/>
          <w:szCs w:val="23"/>
        </w:rPr>
      </w:pPr>
    </w:p>
    <w:p w14:paraId="742518C0" w14:textId="77777777" w:rsidR="00421FD9" w:rsidRPr="00421FD9" w:rsidRDefault="00421FD9" w:rsidP="00280F75">
      <w:pPr>
        <w:autoSpaceDE w:val="0"/>
        <w:autoSpaceDN w:val="0"/>
        <w:adjustRightInd w:val="0"/>
        <w:jc w:val="both"/>
        <w:rPr>
          <w:rFonts w:ascii="Arial" w:eastAsiaTheme="minorHAnsi" w:hAnsi="Arial" w:cs="Arial"/>
          <w:color w:val="000000"/>
          <w:sz w:val="23"/>
          <w:szCs w:val="23"/>
        </w:rPr>
      </w:pPr>
      <w:r w:rsidRPr="00421FD9">
        <w:rPr>
          <w:rFonts w:ascii="Arial" w:eastAsiaTheme="minorHAnsi" w:hAnsi="Arial" w:cs="Arial"/>
          <w:color w:val="000000"/>
          <w:sz w:val="23"/>
          <w:szCs w:val="23"/>
        </w:rPr>
        <w:t xml:space="preserve">11.1 </w:t>
      </w:r>
      <w:r w:rsidRPr="00421FD9">
        <w:rPr>
          <w:rFonts w:ascii="Arial" w:eastAsiaTheme="minorHAnsi" w:hAnsi="Arial" w:cs="Arial"/>
          <w:color w:val="000000"/>
          <w:sz w:val="23"/>
          <w:szCs w:val="23"/>
          <w:u w:val="single"/>
        </w:rPr>
        <w:t>Data Analysis</w:t>
      </w:r>
      <w:r w:rsidRPr="00421FD9">
        <w:rPr>
          <w:rFonts w:ascii="Arial" w:eastAsiaTheme="minorHAnsi" w:hAnsi="Arial" w:cs="Arial"/>
          <w:color w:val="000000"/>
          <w:sz w:val="23"/>
          <w:szCs w:val="23"/>
        </w:rPr>
        <w:t xml:space="preserve"> </w:t>
      </w:r>
    </w:p>
    <w:p w14:paraId="030D09BD" w14:textId="77777777" w:rsidR="00421FD9" w:rsidRDefault="00421FD9" w:rsidP="00280F75">
      <w:pPr>
        <w:autoSpaceDE w:val="0"/>
        <w:autoSpaceDN w:val="0"/>
        <w:adjustRightInd w:val="0"/>
        <w:jc w:val="both"/>
        <w:rPr>
          <w:rFonts w:ascii="Arial" w:eastAsiaTheme="minorHAnsi" w:hAnsi="Arial" w:cs="Arial"/>
          <w:color w:val="000000"/>
          <w:sz w:val="23"/>
          <w:szCs w:val="23"/>
        </w:rPr>
      </w:pPr>
    </w:p>
    <w:p w14:paraId="4E336740" w14:textId="6B0D94A9" w:rsidR="00421FD9" w:rsidRPr="00421FD9" w:rsidRDefault="00421FD9" w:rsidP="00280F75">
      <w:pPr>
        <w:autoSpaceDE w:val="0"/>
        <w:autoSpaceDN w:val="0"/>
        <w:adjustRightInd w:val="0"/>
        <w:jc w:val="both"/>
        <w:rPr>
          <w:rFonts w:ascii="Arial" w:eastAsiaTheme="minorHAnsi" w:hAnsi="Arial" w:cs="Arial"/>
          <w:color w:val="000000"/>
          <w:sz w:val="23"/>
          <w:szCs w:val="23"/>
        </w:rPr>
      </w:pPr>
      <w:r w:rsidRPr="00421FD9">
        <w:rPr>
          <w:rFonts w:ascii="Arial" w:eastAsiaTheme="minorHAnsi" w:hAnsi="Arial" w:cs="Arial"/>
          <w:color w:val="000000"/>
          <w:sz w:val="23"/>
          <w:szCs w:val="23"/>
        </w:rPr>
        <w:t xml:space="preserve">A simple plot of analytical results against time is usually insufficient for assignment of a shelf life. Various options are available for data handling and the most appropriate choice is dependent on the specific data set. </w:t>
      </w:r>
    </w:p>
    <w:p w14:paraId="250CD280" w14:textId="263B5255" w:rsidR="00421FD9" w:rsidRDefault="00421FD9" w:rsidP="00280F75">
      <w:pPr>
        <w:autoSpaceDE w:val="0"/>
        <w:autoSpaceDN w:val="0"/>
        <w:adjustRightInd w:val="0"/>
        <w:jc w:val="both"/>
        <w:rPr>
          <w:rFonts w:ascii="Arial" w:eastAsiaTheme="minorHAnsi" w:hAnsi="Arial" w:cs="Arial"/>
          <w:color w:val="000000"/>
          <w:sz w:val="23"/>
          <w:szCs w:val="23"/>
        </w:rPr>
      </w:pPr>
      <w:r w:rsidRPr="00421FD9">
        <w:rPr>
          <w:rFonts w:ascii="Arial" w:eastAsiaTheme="minorHAnsi" w:hAnsi="Arial" w:cs="Arial"/>
          <w:color w:val="000000"/>
          <w:sz w:val="23"/>
          <w:szCs w:val="23"/>
        </w:rPr>
        <w:t>The principles of ICH Q1E (Evaluation of Stability Data)</w:t>
      </w:r>
      <w:r w:rsidRPr="00421FD9">
        <w:rPr>
          <w:rFonts w:ascii="Arial" w:eastAsiaTheme="minorHAnsi" w:hAnsi="Arial" w:cs="Arial"/>
          <w:color w:val="000000"/>
          <w:sz w:val="16"/>
          <w:szCs w:val="16"/>
        </w:rPr>
        <w:t>18</w:t>
      </w:r>
      <w:r w:rsidRPr="00421FD9">
        <w:rPr>
          <w:rFonts w:ascii="Arial" w:eastAsiaTheme="minorHAnsi" w:hAnsi="Arial" w:cs="Arial"/>
          <w:color w:val="000000"/>
          <w:sz w:val="23"/>
          <w:szCs w:val="23"/>
        </w:rPr>
        <w:t xml:space="preserve">, implemented as CPMP/ICH/420/02, should be followed where possible. The method favoured by ICH Q1E is where analytical data is subjected to linear regression analysis after determination of the appropriate relationship between critical parameter and time. An appropriate method of shelf life calculation for an attribute which is known to decrease with time utilises the lower one-sided 95% confidence limit of the regression analysis, and calculation of the time required for the critical parameter to reach the specification limit. For example, if Active Pharmaceutical Ingredient (API) loss is the critical parameter the lower 95% confidence limit of the time to reach 95% of the stated amount is the physico-chemical shelf life. </w:t>
      </w:r>
    </w:p>
    <w:p w14:paraId="4CD242F9" w14:textId="77777777" w:rsidR="00421FD9" w:rsidRPr="00421FD9" w:rsidRDefault="00421FD9" w:rsidP="00280F75">
      <w:pPr>
        <w:autoSpaceDE w:val="0"/>
        <w:autoSpaceDN w:val="0"/>
        <w:adjustRightInd w:val="0"/>
        <w:jc w:val="both"/>
        <w:rPr>
          <w:rFonts w:ascii="Arial" w:eastAsiaTheme="minorHAnsi" w:hAnsi="Arial" w:cs="Arial"/>
          <w:color w:val="000000"/>
          <w:sz w:val="23"/>
          <w:szCs w:val="23"/>
        </w:rPr>
      </w:pPr>
    </w:p>
    <w:p w14:paraId="77F44094" w14:textId="39602EDD" w:rsidR="00421FD9" w:rsidRDefault="00421FD9" w:rsidP="00280F75">
      <w:pPr>
        <w:autoSpaceDE w:val="0"/>
        <w:autoSpaceDN w:val="0"/>
        <w:adjustRightInd w:val="0"/>
        <w:jc w:val="both"/>
        <w:rPr>
          <w:rFonts w:ascii="Arial" w:eastAsiaTheme="minorHAnsi" w:hAnsi="Arial" w:cs="Arial"/>
          <w:color w:val="000000"/>
          <w:sz w:val="23"/>
          <w:szCs w:val="23"/>
        </w:rPr>
      </w:pPr>
      <w:r w:rsidRPr="00421FD9">
        <w:rPr>
          <w:rFonts w:ascii="Arial" w:eastAsiaTheme="minorHAnsi" w:hAnsi="Arial" w:cs="Arial"/>
          <w:color w:val="000000"/>
          <w:sz w:val="23"/>
          <w:szCs w:val="23"/>
        </w:rPr>
        <w:t xml:space="preserve">This technique, however, requires specialised knowledge and statistical software and unless the data are carefully analysed, misinterpretation could occur. This method can therefore only be used if clear statistical conditions and expert knowledge of the analytical system are applied. The potential errors are particularly exacerbated in short-term studies as generally used with aseptic compounded products. </w:t>
      </w:r>
    </w:p>
    <w:p w14:paraId="39F2970C" w14:textId="77777777" w:rsidR="00421FD9" w:rsidRPr="00421FD9" w:rsidRDefault="00421FD9" w:rsidP="00280F75">
      <w:pPr>
        <w:autoSpaceDE w:val="0"/>
        <w:autoSpaceDN w:val="0"/>
        <w:adjustRightInd w:val="0"/>
        <w:jc w:val="both"/>
        <w:rPr>
          <w:rFonts w:ascii="Arial" w:eastAsiaTheme="minorHAnsi" w:hAnsi="Arial" w:cs="Arial"/>
          <w:color w:val="000000"/>
          <w:sz w:val="23"/>
          <w:szCs w:val="23"/>
        </w:rPr>
      </w:pPr>
    </w:p>
    <w:p w14:paraId="705E63ED" w14:textId="2A997B21" w:rsidR="00421FD9" w:rsidRDefault="00421FD9" w:rsidP="00280F75">
      <w:pPr>
        <w:autoSpaceDE w:val="0"/>
        <w:autoSpaceDN w:val="0"/>
        <w:adjustRightInd w:val="0"/>
        <w:jc w:val="both"/>
        <w:rPr>
          <w:rFonts w:ascii="Arial" w:eastAsiaTheme="minorHAnsi" w:hAnsi="Arial" w:cs="Arial"/>
          <w:color w:val="000000"/>
          <w:sz w:val="23"/>
          <w:szCs w:val="23"/>
        </w:rPr>
      </w:pPr>
      <w:r w:rsidRPr="00421FD9">
        <w:rPr>
          <w:rFonts w:ascii="Arial" w:eastAsiaTheme="minorHAnsi" w:hAnsi="Arial" w:cs="Arial"/>
          <w:color w:val="000000"/>
          <w:sz w:val="23"/>
          <w:szCs w:val="23"/>
        </w:rPr>
        <w:t xml:space="preserve">This document offers flexibility of approach and therefore a simplified statistical approach may be acceptable where the one-sided lower 95% confidence limit of the slope is used to calculate the time to 5% degradation (see 11.2 below). </w:t>
      </w:r>
    </w:p>
    <w:p w14:paraId="5D157DAC" w14:textId="77777777" w:rsidR="00421FD9" w:rsidRPr="00421FD9" w:rsidRDefault="00421FD9" w:rsidP="00280F75">
      <w:pPr>
        <w:autoSpaceDE w:val="0"/>
        <w:autoSpaceDN w:val="0"/>
        <w:adjustRightInd w:val="0"/>
        <w:jc w:val="both"/>
        <w:rPr>
          <w:rFonts w:ascii="Arial" w:eastAsiaTheme="minorHAnsi" w:hAnsi="Arial" w:cs="Arial"/>
          <w:color w:val="000000"/>
          <w:sz w:val="23"/>
          <w:szCs w:val="23"/>
        </w:rPr>
      </w:pPr>
    </w:p>
    <w:p w14:paraId="702C662B" w14:textId="1C8323C7" w:rsidR="00421FD9" w:rsidRDefault="00421FD9" w:rsidP="00280F75">
      <w:pPr>
        <w:autoSpaceDE w:val="0"/>
        <w:autoSpaceDN w:val="0"/>
        <w:adjustRightInd w:val="0"/>
        <w:jc w:val="both"/>
        <w:rPr>
          <w:rFonts w:ascii="Arial" w:eastAsiaTheme="minorHAnsi" w:hAnsi="Arial" w:cs="Arial"/>
          <w:color w:val="000000"/>
          <w:sz w:val="23"/>
          <w:szCs w:val="23"/>
        </w:rPr>
      </w:pPr>
      <w:r w:rsidRPr="00421FD9">
        <w:rPr>
          <w:rFonts w:ascii="Arial" w:eastAsiaTheme="minorHAnsi" w:hAnsi="Arial" w:cs="Arial"/>
          <w:color w:val="000000"/>
          <w:sz w:val="23"/>
          <w:szCs w:val="23"/>
        </w:rPr>
        <w:t xml:space="preserve">It is often not desirable to use a statistical approach where little or no degradation occurs over the course of the study. Section 8 indicates that a well-designed study should allow for a significant level of degradation to support a good understanding of the reaction kinetics but this is not always possible for stable materials. It is likely for very stable products that shelf life will be assigned for other reasons such as length of study, maximum storage time in syringes, and so on. </w:t>
      </w:r>
    </w:p>
    <w:p w14:paraId="6E00392B" w14:textId="00A9A88F" w:rsidR="00421FD9" w:rsidRDefault="00421FD9" w:rsidP="00280F75">
      <w:pPr>
        <w:autoSpaceDE w:val="0"/>
        <w:autoSpaceDN w:val="0"/>
        <w:adjustRightInd w:val="0"/>
        <w:jc w:val="both"/>
        <w:rPr>
          <w:rFonts w:ascii="Arial" w:eastAsiaTheme="minorHAnsi" w:hAnsi="Arial" w:cs="Arial"/>
          <w:color w:val="000000"/>
          <w:sz w:val="23"/>
          <w:szCs w:val="23"/>
        </w:rPr>
      </w:pPr>
    </w:p>
    <w:p w14:paraId="07B41DAA" w14:textId="23E2C094" w:rsidR="00280F75" w:rsidRDefault="00280F75" w:rsidP="00280F75">
      <w:pPr>
        <w:autoSpaceDE w:val="0"/>
        <w:autoSpaceDN w:val="0"/>
        <w:adjustRightInd w:val="0"/>
        <w:jc w:val="both"/>
        <w:rPr>
          <w:rFonts w:ascii="Arial" w:eastAsiaTheme="minorHAnsi" w:hAnsi="Arial" w:cs="Arial"/>
          <w:color w:val="000000"/>
          <w:sz w:val="23"/>
          <w:szCs w:val="23"/>
        </w:rPr>
      </w:pPr>
    </w:p>
    <w:p w14:paraId="4D02A71F" w14:textId="79D23F0A" w:rsidR="00280F75" w:rsidRDefault="00280F75" w:rsidP="00280F75">
      <w:pPr>
        <w:autoSpaceDE w:val="0"/>
        <w:autoSpaceDN w:val="0"/>
        <w:adjustRightInd w:val="0"/>
        <w:jc w:val="both"/>
        <w:rPr>
          <w:rFonts w:ascii="Arial" w:eastAsiaTheme="minorHAnsi" w:hAnsi="Arial" w:cs="Arial"/>
          <w:color w:val="000000"/>
          <w:sz w:val="23"/>
          <w:szCs w:val="23"/>
        </w:rPr>
      </w:pPr>
    </w:p>
    <w:p w14:paraId="11C96503" w14:textId="77777777" w:rsidR="00280F75" w:rsidRPr="00421FD9" w:rsidRDefault="00280F75" w:rsidP="00280F75">
      <w:pPr>
        <w:autoSpaceDE w:val="0"/>
        <w:autoSpaceDN w:val="0"/>
        <w:adjustRightInd w:val="0"/>
        <w:jc w:val="both"/>
        <w:rPr>
          <w:rFonts w:ascii="Arial" w:eastAsiaTheme="minorHAnsi" w:hAnsi="Arial" w:cs="Arial"/>
          <w:color w:val="000000"/>
          <w:sz w:val="23"/>
          <w:szCs w:val="23"/>
        </w:rPr>
      </w:pPr>
    </w:p>
    <w:p w14:paraId="72586F30" w14:textId="77777777" w:rsidR="00421FD9" w:rsidRPr="00421FD9" w:rsidRDefault="00421FD9" w:rsidP="00280F75">
      <w:pPr>
        <w:autoSpaceDE w:val="0"/>
        <w:autoSpaceDN w:val="0"/>
        <w:adjustRightInd w:val="0"/>
        <w:jc w:val="both"/>
        <w:rPr>
          <w:rFonts w:ascii="Arial" w:eastAsiaTheme="minorHAnsi" w:hAnsi="Arial" w:cs="Arial"/>
          <w:color w:val="000000"/>
          <w:sz w:val="23"/>
          <w:szCs w:val="23"/>
          <w:u w:val="single"/>
        </w:rPr>
      </w:pPr>
      <w:r w:rsidRPr="00421FD9">
        <w:rPr>
          <w:rFonts w:ascii="Arial" w:eastAsiaTheme="minorHAnsi" w:hAnsi="Arial" w:cs="Arial"/>
          <w:color w:val="000000"/>
          <w:sz w:val="23"/>
          <w:szCs w:val="23"/>
        </w:rPr>
        <w:lastRenderedPageBreak/>
        <w:t xml:space="preserve">11.2 </w:t>
      </w:r>
      <w:r w:rsidRPr="00421FD9">
        <w:rPr>
          <w:rFonts w:ascii="Arial" w:eastAsiaTheme="minorHAnsi" w:hAnsi="Arial" w:cs="Arial"/>
          <w:color w:val="000000"/>
          <w:sz w:val="23"/>
          <w:szCs w:val="23"/>
          <w:u w:val="single"/>
        </w:rPr>
        <w:t xml:space="preserve">Acceptance criteria </w:t>
      </w:r>
    </w:p>
    <w:p w14:paraId="63A8D9F2" w14:textId="77777777" w:rsidR="00421FD9" w:rsidRDefault="00421FD9" w:rsidP="00280F75">
      <w:pPr>
        <w:autoSpaceDE w:val="0"/>
        <w:autoSpaceDN w:val="0"/>
        <w:adjustRightInd w:val="0"/>
        <w:jc w:val="both"/>
        <w:rPr>
          <w:rFonts w:ascii="Arial" w:eastAsiaTheme="minorHAnsi" w:hAnsi="Arial" w:cs="Arial"/>
          <w:color w:val="000000"/>
          <w:sz w:val="23"/>
          <w:szCs w:val="23"/>
        </w:rPr>
      </w:pPr>
    </w:p>
    <w:p w14:paraId="45AE701C" w14:textId="199E2973" w:rsidR="00421FD9" w:rsidRPr="00421FD9" w:rsidRDefault="00421FD9" w:rsidP="00280F75">
      <w:pPr>
        <w:autoSpaceDE w:val="0"/>
        <w:autoSpaceDN w:val="0"/>
        <w:adjustRightInd w:val="0"/>
        <w:jc w:val="both"/>
        <w:rPr>
          <w:rFonts w:ascii="Arial" w:eastAsiaTheme="minorHAnsi" w:hAnsi="Arial" w:cs="Arial"/>
          <w:color w:val="000000"/>
          <w:sz w:val="23"/>
          <w:szCs w:val="23"/>
        </w:rPr>
      </w:pPr>
      <w:r w:rsidRPr="00421FD9">
        <w:rPr>
          <w:rFonts w:ascii="Arial" w:eastAsiaTheme="minorHAnsi" w:hAnsi="Arial" w:cs="Arial"/>
          <w:color w:val="000000"/>
          <w:sz w:val="23"/>
          <w:szCs w:val="23"/>
        </w:rPr>
        <w:t xml:space="preserve">The British Pharmacopoeia (BP) specification for a product is a shelf life specification to which the product must comply at the end of its shelf life. In general, for injections the BP specification is 95 – 105% of stated amount. For this reason it is suggested that, where loss of the active ingredient is the critical parameter, a loss of 5% should constitute the maximum shelf life. The starting concentration for the study must also be within the BP specification for the product. </w:t>
      </w:r>
    </w:p>
    <w:p w14:paraId="4CF80531" w14:textId="77777777" w:rsidR="00280F75" w:rsidRDefault="00280F75" w:rsidP="00280F75">
      <w:pPr>
        <w:jc w:val="both"/>
        <w:rPr>
          <w:rFonts w:ascii="Arial" w:eastAsiaTheme="minorHAnsi" w:hAnsi="Arial" w:cs="Arial"/>
          <w:color w:val="000000"/>
          <w:sz w:val="23"/>
          <w:szCs w:val="23"/>
        </w:rPr>
      </w:pPr>
    </w:p>
    <w:p w14:paraId="61278A37" w14:textId="42803EDA" w:rsidR="007371F6" w:rsidRPr="00280F75" w:rsidRDefault="00421FD9" w:rsidP="00280F75">
      <w:pPr>
        <w:jc w:val="both"/>
        <w:rPr>
          <w:rFonts w:ascii="Arial" w:hAnsi="Arial" w:cs="Arial"/>
          <w:sz w:val="23"/>
          <w:szCs w:val="23"/>
        </w:rPr>
      </w:pPr>
      <w:r w:rsidRPr="00421FD9">
        <w:rPr>
          <w:rFonts w:ascii="Arial" w:eastAsiaTheme="minorHAnsi" w:hAnsi="Arial" w:cs="Arial"/>
          <w:color w:val="000000"/>
          <w:sz w:val="23"/>
          <w:szCs w:val="23"/>
        </w:rPr>
        <w:t>It is acknowledged that many historical stability studies may not comply with the requirements of this document and that studies need to be optimally designed for certain container types, and particularly syringes, in order to maximise the confidence in the data generated. It is suggested that some pragmatism may be</w:t>
      </w:r>
      <w:r>
        <w:rPr>
          <w:rFonts w:ascii="Arial" w:eastAsiaTheme="minorHAnsi" w:hAnsi="Arial" w:cs="Arial"/>
          <w:color w:val="000000"/>
          <w:sz w:val="23"/>
          <w:szCs w:val="23"/>
        </w:rPr>
        <w:t xml:space="preserve"> </w:t>
      </w:r>
      <w:r w:rsidRPr="00421FD9">
        <w:rPr>
          <w:rFonts w:ascii="Arial" w:hAnsi="Arial" w:cs="Arial"/>
          <w:sz w:val="23"/>
          <w:szCs w:val="23"/>
        </w:rPr>
        <w:t>required in the interpretation of such historical studies, but the rationale for accepting more than 5% loss of an active ingredient within a shelf life needs expert consideration.</w:t>
      </w:r>
    </w:p>
    <w:p w14:paraId="02DC5713" w14:textId="5A053816" w:rsidR="007371F6" w:rsidRDefault="007371F6" w:rsidP="00280F75">
      <w:pPr>
        <w:jc w:val="both"/>
        <w:rPr>
          <w:rFonts w:ascii="Arial" w:hAnsi="Arial" w:cs="Arial"/>
          <w:sz w:val="23"/>
          <w:szCs w:val="23"/>
        </w:rPr>
      </w:pPr>
    </w:p>
    <w:p w14:paraId="715F6362" w14:textId="77777777" w:rsidR="007371F6" w:rsidRPr="007371F6" w:rsidRDefault="007371F6" w:rsidP="00280F75">
      <w:pPr>
        <w:autoSpaceDE w:val="0"/>
        <w:autoSpaceDN w:val="0"/>
        <w:adjustRightInd w:val="0"/>
        <w:jc w:val="both"/>
        <w:rPr>
          <w:rFonts w:ascii="Arial" w:eastAsiaTheme="minorHAnsi" w:hAnsi="Arial" w:cs="Arial"/>
          <w:color w:val="000000"/>
          <w:sz w:val="23"/>
          <w:szCs w:val="23"/>
        </w:rPr>
      </w:pPr>
      <w:r w:rsidRPr="007371F6">
        <w:rPr>
          <w:rFonts w:ascii="Arial" w:eastAsiaTheme="minorHAnsi" w:hAnsi="Arial" w:cs="Arial"/>
          <w:color w:val="000000"/>
          <w:sz w:val="23"/>
          <w:szCs w:val="23"/>
        </w:rPr>
        <w:t xml:space="preserve">This may also hold with new studies as there may be certain molecules and presentations where a 10% loss of active can be acceptable, particularly if the BP monograph accepts a larger range such as 90 – 110%. If working to a larger percentage loss then the clinical significance, including assessment of degradation products, must be fully assessed and understood. </w:t>
      </w:r>
    </w:p>
    <w:p w14:paraId="625A6FCF" w14:textId="77777777" w:rsidR="00280F75" w:rsidRDefault="00280F75" w:rsidP="00280F75">
      <w:pPr>
        <w:autoSpaceDE w:val="0"/>
        <w:autoSpaceDN w:val="0"/>
        <w:adjustRightInd w:val="0"/>
        <w:jc w:val="both"/>
        <w:rPr>
          <w:rFonts w:ascii="Arial" w:eastAsiaTheme="minorHAnsi" w:hAnsi="Arial" w:cs="Arial"/>
          <w:color w:val="000000"/>
          <w:sz w:val="23"/>
          <w:szCs w:val="23"/>
        </w:rPr>
      </w:pPr>
    </w:p>
    <w:p w14:paraId="73749677" w14:textId="648F23B9" w:rsidR="007371F6" w:rsidRDefault="007371F6" w:rsidP="00280F75">
      <w:pPr>
        <w:autoSpaceDE w:val="0"/>
        <w:autoSpaceDN w:val="0"/>
        <w:adjustRightInd w:val="0"/>
        <w:jc w:val="both"/>
        <w:rPr>
          <w:rFonts w:ascii="Arial" w:eastAsiaTheme="minorHAnsi" w:hAnsi="Arial" w:cs="Arial"/>
          <w:color w:val="000000"/>
          <w:sz w:val="23"/>
          <w:szCs w:val="23"/>
        </w:rPr>
      </w:pPr>
      <w:r w:rsidRPr="007371F6">
        <w:rPr>
          <w:rFonts w:ascii="Arial" w:eastAsiaTheme="minorHAnsi" w:hAnsi="Arial" w:cs="Arial"/>
          <w:color w:val="000000"/>
          <w:sz w:val="23"/>
          <w:szCs w:val="23"/>
        </w:rPr>
        <w:t>Other statistical approaches to data analysis may be used, particularly the Confidence Bound or Maximum Rate method</w:t>
      </w:r>
      <w:r w:rsidRPr="007371F6">
        <w:rPr>
          <w:rFonts w:ascii="Arial" w:eastAsiaTheme="minorHAnsi" w:hAnsi="Arial" w:cs="Arial"/>
          <w:color w:val="000000"/>
          <w:sz w:val="16"/>
          <w:szCs w:val="16"/>
        </w:rPr>
        <w:t>19</w:t>
      </w:r>
      <w:r w:rsidRPr="007371F6">
        <w:rPr>
          <w:rFonts w:ascii="Arial" w:eastAsiaTheme="minorHAnsi" w:hAnsi="Arial" w:cs="Arial"/>
          <w:color w:val="000000"/>
          <w:sz w:val="23"/>
          <w:szCs w:val="23"/>
        </w:rPr>
        <w:t xml:space="preserve">. </w:t>
      </w:r>
    </w:p>
    <w:p w14:paraId="0F67182C" w14:textId="77777777" w:rsidR="007371F6" w:rsidRPr="007371F6" w:rsidRDefault="007371F6" w:rsidP="00280F75">
      <w:pPr>
        <w:autoSpaceDE w:val="0"/>
        <w:autoSpaceDN w:val="0"/>
        <w:adjustRightInd w:val="0"/>
        <w:jc w:val="both"/>
        <w:rPr>
          <w:rFonts w:ascii="Arial" w:eastAsiaTheme="minorHAnsi" w:hAnsi="Arial" w:cs="Arial"/>
          <w:color w:val="000000"/>
          <w:sz w:val="23"/>
          <w:szCs w:val="23"/>
        </w:rPr>
      </w:pPr>
    </w:p>
    <w:p w14:paraId="5ABD5AC6" w14:textId="01171765" w:rsidR="007371F6" w:rsidRDefault="007371F6" w:rsidP="00280F75">
      <w:pPr>
        <w:autoSpaceDE w:val="0"/>
        <w:autoSpaceDN w:val="0"/>
        <w:adjustRightInd w:val="0"/>
        <w:jc w:val="both"/>
        <w:rPr>
          <w:rFonts w:ascii="Arial" w:eastAsiaTheme="minorHAnsi" w:hAnsi="Arial" w:cs="Arial"/>
          <w:color w:val="000000"/>
          <w:sz w:val="23"/>
          <w:szCs w:val="23"/>
        </w:rPr>
      </w:pPr>
      <w:r w:rsidRPr="007371F6">
        <w:rPr>
          <w:rFonts w:ascii="Arial" w:eastAsiaTheme="minorHAnsi" w:hAnsi="Arial" w:cs="Arial"/>
          <w:color w:val="000000"/>
          <w:sz w:val="23"/>
          <w:szCs w:val="23"/>
        </w:rPr>
        <w:t xml:space="preserve">It is important that, when using semi-permeable containers, the impact of water loss is accounted for when calculating API concentrations. Water loss will concentrate solutions and therefore could mask degradation if not accounted for. In these cases the two-sided confidence limits of the slope may be appropriate and should be calculated and compared to both the upper and lower specification limits. </w:t>
      </w:r>
    </w:p>
    <w:p w14:paraId="6DE93523" w14:textId="77777777" w:rsidR="007371F6" w:rsidRPr="007371F6" w:rsidRDefault="007371F6" w:rsidP="00280F75">
      <w:pPr>
        <w:autoSpaceDE w:val="0"/>
        <w:autoSpaceDN w:val="0"/>
        <w:adjustRightInd w:val="0"/>
        <w:jc w:val="both"/>
        <w:rPr>
          <w:rFonts w:ascii="Arial" w:eastAsiaTheme="minorHAnsi" w:hAnsi="Arial" w:cs="Arial"/>
          <w:color w:val="000000"/>
          <w:sz w:val="23"/>
          <w:szCs w:val="23"/>
        </w:rPr>
      </w:pPr>
    </w:p>
    <w:p w14:paraId="2D504E66" w14:textId="26A86971" w:rsidR="007371F6" w:rsidRDefault="007371F6" w:rsidP="00280F75">
      <w:pPr>
        <w:autoSpaceDE w:val="0"/>
        <w:autoSpaceDN w:val="0"/>
        <w:adjustRightInd w:val="0"/>
        <w:jc w:val="both"/>
        <w:rPr>
          <w:rFonts w:ascii="Arial" w:eastAsiaTheme="minorHAnsi" w:hAnsi="Arial" w:cs="Arial"/>
          <w:color w:val="000000"/>
          <w:sz w:val="23"/>
          <w:szCs w:val="23"/>
        </w:rPr>
      </w:pPr>
      <w:r w:rsidRPr="007371F6">
        <w:rPr>
          <w:rFonts w:ascii="Arial" w:eastAsiaTheme="minorHAnsi" w:hAnsi="Arial" w:cs="Arial"/>
          <w:color w:val="000000"/>
          <w:sz w:val="23"/>
          <w:szCs w:val="23"/>
        </w:rPr>
        <w:t xml:space="preserve">Knowledge of degradation products will be critical, the structure and identity and toxicology, metabolism and clinical effects need to be understood. The level of a degradation product may be a critical parameter in assigning shelf life. </w:t>
      </w:r>
    </w:p>
    <w:p w14:paraId="25E1DE75" w14:textId="77777777" w:rsidR="007371F6" w:rsidRPr="007371F6" w:rsidRDefault="007371F6" w:rsidP="00280F75">
      <w:pPr>
        <w:autoSpaceDE w:val="0"/>
        <w:autoSpaceDN w:val="0"/>
        <w:adjustRightInd w:val="0"/>
        <w:jc w:val="both"/>
        <w:rPr>
          <w:rFonts w:ascii="Arial" w:eastAsiaTheme="minorHAnsi" w:hAnsi="Arial" w:cs="Arial"/>
          <w:color w:val="000000"/>
          <w:sz w:val="23"/>
          <w:szCs w:val="23"/>
        </w:rPr>
      </w:pPr>
    </w:p>
    <w:p w14:paraId="7CDC6B2E" w14:textId="651FF024" w:rsidR="007371F6" w:rsidRDefault="007371F6" w:rsidP="00280F75">
      <w:pPr>
        <w:autoSpaceDE w:val="0"/>
        <w:autoSpaceDN w:val="0"/>
        <w:adjustRightInd w:val="0"/>
        <w:jc w:val="both"/>
        <w:rPr>
          <w:rFonts w:ascii="Arial" w:eastAsiaTheme="minorHAnsi" w:hAnsi="Arial" w:cs="Arial"/>
          <w:color w:val="000000"/>
          <w:sz w:val="23"/>
          <w:szCs w:val="23"/>
        </w:rPr>
      </w:pPr>
      <w:r w:rsidRPr="007371F6">
        <w:rPr>
          <w:rFonts w:ascii="Arial" w:eastAsiaTheme="minorHAnsi" w:hAnsi="Arial" w:cs="Arial"/>
          <w:color w:val="000000"/>
          <w:sz w:val="23"/>
          <w:szCs w:val="23"/>
        </w:rPr>
        <w:t xml:space="preserve">It is important to understand the difference between related substances that arise as process impurities and genuine degradation products. Where a BP limit exists for a degradation product it will need to be the limit applied to the study, and any other approach will require robust justification. </w:t>
      </w:r>
    </w:p>
    <w:p w14:paraId="154C736A" w14:textId="77777777" w:rsidR="007371F6" w:rsidRPr="007371F6" w:rsidRDefault="007371F6" w:rsidP="00280F75">
      <w:pPr>
        <w:autoSpaceDE w:val="0"/>
        <w:autoSpaceDN w:val="0"/>
        <w:adjustRightInd w:val="0"/>
        <w:jc w:val="both"/>
        <w:rPr>
          <w:rFonts w:ascii="Arial" w:eastAsiaTheme="minorHAnsi" w:hAnsi="Arial" w:cs="Arial"/>
          <w:color w:val="000000"/>
          <w:sz w:val="23"/>
          <w:szCs w:val="23"/>
        </w:rPr>
      </w:pPr>
    </w:p>
    <w:p w14:paraId="2F08B288" w14:textId="77777777" w:rsidR="007371F6" w:rsidRPr="007371F6" w:rsidRDefault="007371F6" w:rsidP="00280F75">
      <w:pPr>
        <w:autoSpaceDE w:val="0"/>
        <w:autoSpaceDN w:val="0"/>
        <w:adjustRightInd w:val="0"/>
        <w:jc w:val="both"/>
        <w:rPr>
          <w:rFonts w:ascii="Arial" w:eastAsiaTheme="minorHAnsi" w:hAnsi="Arial" w:cs="Arial"/>
          <w:color w:val="000000"/>
          <w:sz w:val="23"/>
          <w:szCs w:val="23"/>
        </w:rPr>
      </w:pPr>
      <w:r w:rsidRPr="007371F6">
        <w:rPr>
          <w:rFonts w:ascii="Arial" w:eastAsiaTheme="minorHAnsi" w:hAnsi="Arial" w:cs="Arial"/>
          <w:color w:val="000000"/>
          <w:sz w:val="23"/>
          <w:szCs w:val="23"/>
        </w:rPr>
        <w:t xml:space="preserve">11.3 </w:t>
      </w:r>
      <w:r w:rsidRPr="007371F6">
        <w:rPr>
          <w:rFonts w:ascii="Arial" w:eastAsiaTheme="minorHAnsi" w:hAnsi="Arial" w:cs="Arial"/>
          <w:color w:val="000000"/>
          <w:sz w:val="23"/>
          <w:szCs w:val="23"/>
          <w:u w:val="single"/>
        </w:rPr>
        <w:t>In-use storage</w:t>
      </w:r>
      <w:r w:rsidRPr="007371F6">
        <w:rPr>
          <w:rFonts w:ascii="Arial" w:eastAsiaTheme="minorHAnsi" w:hAnsi="Arial" w:cs="Arial"/>
          <w:color w:val="000000"/>
          <w:sz w:val="23"/>
          <w:szCs w:val="23"/>
        </w:rPr>
        <w:t xml:space="preserve"> </w:t>
      </w:r>
    </w:p>
    <w:p w14:paraId="2D90F3D4" w14:textId="77777777" w:rsidR="007371F6" w:rsidRDefault="007371F6" w:rsidP="00280F75">
      <w:pPr>
        <w:autoSpaceDE w:val="0"/>
        <w:autoSpaceDN w:val="0"/>
        <w:adjustRightInd w:val="0"/>
        <w:jc w:val="both"/>
        <w:rPr>
          <w:rFonts w:ascii="Arial" w:eastAsiaTheme="minorHAnsi" w:hAnsi="Arial" w:cs="Arial"/>
          <w:color w:val="000000"/>
          <w:sz w:val="23"/>
          <w:szCs w:val="23"/>
        </w:rPr>
      </w:pPr>
    </w:p>
    <w:p w14:paraId="7BB5D7C1" w14:textId="2CE6CA5C" w:rsidR="007371F6" w:rsidRDefault="007371F6" w:rsidP="00280F75">
      <w:pPr>
        <w:autoSpaceDE w:val="0"/>
        <w:autoSpaceDN w:val="0"/>
        <w:adjustRightInd w:val="0"/>
        <w:jc w:val="both"/>
        <w:rPr>
          <w:rFonts w:ascii="Arial" w:eastAsiaTheme="minorHAnsi" w:hAnsi="Arial" w:cs="Arial"/>
          <w:color w:val="000000"/>
          <w:sz w:val="23"/>
          <w:szCs w:val="23"/>
        </w:rPr>
      </w:pPr>
      <w:r w:rsidRPr="007371F6">
        <w:rPr>
          <w:rFonts w:ascii="Arial" w:eastAsiaTheme="minorHAnsi" w:hAnsi="Arial" w:cs="Arial"/>
          <w:color w:val="000000"/>
          <w:sz w:val="23"/>
          <w:szCs w:val="23"/>
        </w:rPr>
        <w:t xml:space="preserve">It is important to understand the use of the product and its storage in clinical areas. If light sensitivity has not been assessed during the stability study then the product should be provided in light protective packaging with the instruction to keep the product protected from light. </w:t>
      </w:r>
    </w:p>
    <w:p w14:paraId="2CEDE3B2" w14:textId="77777777" w:rsidR="007371F6" w:rsidRPr="007371F6" w:rsidRDefault="007371F6" w:rsidP="00280F75">
      <w:pPr>
        <w:autoSpaceDE w:val="0"/>
        <w:autoSpaceDN w:val="0"/>
        <w:adjustRightInd w:val="0"/>
        <w:jc w:val="both"/>
        <w:rPr>
          <w:rFonts w:ascii="Arial" w:eastAsiaTheme="minorHAnsi" w:hAnsi="Arial" w:cs="Arial"/>
          <w:color w:val="000000"/>
          <w:sz w:val="23"/>
          <w:szCs w:val="23"/>
        </w:rPr>
      </w:pPr>
    </w:p>
    <w:p w14:paraId="0A230AD7" w14:textId="22CF0AF6" w:rsidR="007371F6" w:rsidRDefault="007371F6" w:rsidP="00280F75">
      <w:pPr>
        <w:autoSpaceDE w:val="0"/>
        <w:autoSpaceDN w:val="0"/>
        <w:adjustRightInd w:val="0"/>
        <w:jc w:val="both"/>
        <w:rPr>
          <w:rFonts w:ascii="Arial" w:eastAsiaTheme="minorHAnsi" w:hAnsi="Arial" w:cs="Arial"/>
          <w:color w:val="000000"/>
          <w:sz w:val="23"/>
          <w:szCs w:val="23"/>
        </w:rPr>
      </w:pPr>
      <w:r w:rsidRPr="007371F6">
        <w:rPr>
          <w:rFonts w:ascii="Arial" w:eastAsiaTheme="minorHAnsi" w:hAnsi="Arial" w:cs="Arial"/>
          <w:color w:val="000000"/>
          <w:sz w:val="23"/>
          <w:szCs w:val="23"/>
        </w:rPr>
        <w:t>Similarly</w:t>
      </w:r>
      <w:r w:rsidR="00280F75">
        <w:rPr>
          <w:rFonts w:ascii="Arial" w:eastAsiaTheme="minorHAnsi" w:hAnsi="Arial" w:cs="Arial"/>
          <w:color w:val="000000"/>
          <w:sz w:val="23"/>
          <w:szCs w:val="23"/>
        </w:rPr>
        <w:t>,</w:t>
      </w:r>
      <w:r w:rsidRPr="007371F6">
        <w:rPr>
          <w:rFonts w:ascii="Arial" w:eastAsiaTheme="minorHAnsi" w:hAnsi="Arial" w:cs="Arial"/>
          <w:color w:val="000000"/>
          <w:sz w:val="23"/>
          <w:szCs w:val="23"/>
        </w:rPr>
        <w:t xml:space="preserve"> in-use temperatures must not exceed those studied in the stability testing. It is important that robust change management is used if making changes to clinical protocols particularly if the result is an increase in infusion time. </w:t>
      </w:r>
    </w:p>
    <w:p w14:paraId="175CD677" w14:textId="61EBF407" w:rsidR="007371F6" w:rsidRDefault="007371F6" w:rsidP="00280F75">
      <w:pPr>
        <w:autoSpaceDE w:val="0"/>
        <w:autoSpaceDN w:val="0"/>
        <w:adjustRightInd w:val="0"/>
        <w:jc w:val="both"/>
        <w:rPr>
          <w:rFonts w:ascii="Arial" w:eastAsiaTheme="minorHAnsi" w:hAnsi="Arial" w:cs="Arial"/>
          <w:color w:val="000000"/>
          <w:sz w:val="23"/>
          <w:szCs w:val="23"/>
        </w:rPr>
      </w:pPr>
    </w:p>
    <w:p w14:paraId="33FD9878" w14:textId="77777777" w:rsidR="00280F75" w:rsidRPr="007371F6" w:rsidRDefault="00280F75" w:rsidP="00280F75">
      <w:pPr>
        <w:autoSpaceDE w:val="0"/>
        <w:autoSpaceDN w:val="0"/>
        <w:adjustRightInd w:val="0"/>
        <w:jc w:val="both"/>
        <w:rPr>
          <w:rFonts w:ascii="Arial" w:eastAsiaTheme="minorHAnsi" w:hAnsi="Arial" w:cs="Arial"/>
          <w:color w:val="000000"/>
          <w:sz w:val="23"/>
          <w:szCs w:val="23"/>
        </w:rPr>
      </w:pPr>
    </w:p>
    <w:p w14:paraId="7D639A2A" w14:textId="77777777" w:rsidR="007371F6" w:rsidRPr="007371F6" w:rsidRDefault="007371F6" w:rsidP="00280F75">
      <w:pPr>
        <w:autoSpaceDE w:val="0"/>
        <w:autoSpaceDN w:val="0"/>
        <w:adjustRightInd w:val="0"/>
        <w:jc w:val="both"/>
        <w:rPr>
          <w:rFonts w:ascii="Arial" w:eastAsiaTheme="minorHAnsi" w:hAnsi="Arial" w:cs="Arial"/>
          <w:color w:val="000000"/>
          <w:sz w:val="23"/>
          <w:szCs w:val="23"/>
        </w:rPr>
      </w:pPr>
      <w:r w:rsidRPr="007371F6">
        <w:rPr>
          <w:rFonts w:ascii="Arial" w:eastAsiaTheme="minorHAnsi" w:hAnsi="Arial" w:cs="Arial"/>
          <w:b/>
          <w:bCs/>
          <w:color w:val="000000"/>
          <w:sz w:val="23"/>
          <w:szCs w:val="23"/>
        </w:rPr>
        <w:lastRenderedPageBreak/>
        <w:t xml:space="preserve">12. </w:t>
      </w:r>
      <w:r w:rsidRPr="007371F6">
        <w:rPr>
          <w:rFonts w:ascii="Arial" w:eastAsiaTheme="minorHAnsi" w:hAnsi="Arial" w:cs="Arial"/>
          <w:b/>
          <w:bCs/>
          <w:color w:val="000000"/>
          <w:sz w:val="23"/>
          <w:szCs w:val="23"/>
          <w:u w:val="single"/>
        </w:rPr>
        <w:t>Stability Study Reports</w:t>
      </w:r>
      <w:r w:rsidRPr="007371F6">
        <w:rPr>
          <w:rFonts w:ascii="Arial" w:eastAsiaTheme="minorHAnsi" w:hAnsi="Arial" w:cs="Arial"/>
          <w:b/>
          <w:bCs/>
          <w:color w:val="000000"/>
          <w:sz w:val="23"/>
          <w:szCs w:val="23"/>
        </w:rPr>
        <w:t xml:space="preserve"> </w:t>
      </w:r>
    </w:p>
    <w:p w14:paraId="0B2BAA17" w14:textId="77777777" w:rsidR="007371F6" w:rsidRDefault="007371F6" w:rsidP="00280F75">
      <w:pPr>
        <w:autoSpaceDE w:val="0"/>
        <w:autoSpaceDN w:val="0"/>
        <w:adjustRightInd w:val="0"/>
        <w:jc w:val="both"/>
        <w:rPr>
          <w:rFonts w:ascii="Arial" w:eastAsiaTheme="minorHAnsi" w:hAnsi="Arial" w:cs="Arial"/>
          <w:color w:val="000000"/>
          <w:sz w:val="23"/>
          <w:szCs w:val="23"/>
        </w:rPr>
      </w:pPr>
    </w:p>
    <w:p w14:paraId="711E4912" w14:textId="2528F1F3" w:rsidR="007371F6" w:rsidRDefault="007371F6" w:rsidP="00280F75">
      <w:pPr>
        <w:autoSpaceDE w:val="0"/>
        <w:autoSpaceDN w:val="0"/>
        <w:adjustRightInd w:val="0"/>
        <w:jc w:val="both"/>
        <w:rPr>
          <w:rFonts w:ascii="Arial" w:eastAsiaTheme="minorHAnsi" w:hAnsi="Arial" w:cs="Arial"/>
          <w:color w:val="000000"/>
          <w:sz w:val="23"/>
          <w:szCs w:val="23"/>
        </w:rPr>
      </w:pPr>
      <w:r w:rsidRPr="007371F6">
        <w:rPr>
          <w:rFonts w:ascii="Arial" w:eastAsiaTheme="minorHAnsi" w:hAnsi="Arial" w:cs="Arial"/>
          <w:color w:val="000000"/>
          <w:sz w:val="23"/>
          <w:szCs w:val="23"/>
        </w:rPr>
        <w:t xml:space="preserve">Stability study reports should be submitted following a format consistent with the below recommendations. </w:t>
      </w:r>
    </w:p>
    <w:p w14:paraId="2ED6B698" w14:textId="77777777" w:rsidR="007371F6" w:rsidRPr="007371F6" w:rsidRDefault="007371F6" w:rsidP="00280F75">
      <w:pPr>
        <w:autoSpaceDE w:val="0"/>
        <w:autoSpaceDN w:val="0"/>
        <w:adjustRightInd w:val="0"/>
        <w:jc w:val="both"/>
        <w:rPr>
          <w:rFonts w:ascii="Arial" w:eastAsiaTheme="minorHAnsi" w:hAnsi="Arial" w:cs="Arial"/>
          <w:color w:val="000000"/>
          <w:sz w:val="23"/>
          <w:szCs w:val="23"/>
        </w:rPr>
      </w:pPr>
    </w:p>
    <w:p w14:paraId="31E635A5" w14:textId="77777777" w:rsidR="007371F6" w:rsidRPr="007371F6" w:rsidRDefault="007371F6" w:rsidP="00280F75">
      <w:pPr>
        <w:autoSpaceDE w:val="0"/>
        <w:autoSpaceDN w:val="0"/>
        <w:adjustRightInd w:val="0"/>
        <w:jc w:val="both"/>
        <w:rPr>
          <w:rFonts w:ascii="Arial" w:eastAsiaTheme="minorHAnsi" w:hAnsi="Arial" w:cs="Arial"/>
          <w:color w:val="000000"/>
          <w:sz w:val="23"/>
          <w:szCs w:val="23"/>
        </w:rPr>
      </w:pPr>
      <w:r w:rsidRPr="007371F6">
        <w:rPr>
          <w:rFonts w:ascii="Arial" w:eastAsiaTheme="minorHAnsi" w:hAnsi="Arial" w:cs="Arial"/>
          <w:color w:val="000000"/>
          <w:sz w:val="23"/>
          <w:szCs w:val="23"/>
        </w:rPr>
        <w:t xml:space="preserve">Introduction </w:t>
      </w:r>
    </w:p>
    <w:p w14:paraId="67A4C964" w14:textId="7E27AB59" w:rsidR="007371F6" w:rsidRDefault="007371F6" w:rsidP="00280F75">
      <w:pPr>
        <w:autoSpaceDE w:val="0"/>
        <w:autoSpaceDN w:val="0"/>
        <w:adjustRightInd w:val="0"/>
        <w:jc w:val="both"/>
        <w:rPr>
          <w:rFonts w:ascii="Arial" w:eastAsiaTheme="minorHAnsi" w:hAnsi="Arial" w:cs="Arial"/>
          <w:color w:val="000000"/>
          <w:sz w:val="23"/>
          <w:szCs w:val="23"/>
        </w:rPr>
      </w:pPr>
      <w:r w:rsidRPr="007371F6">
        <w:rPr>
          <w:rFonts w:ascii="Arial" w:eastAsiaTheme="minorHAnsi" w:hAnsi="Arial" w:cs="Arial"/>
          <w:color w:val="000000"/>
          <w:sz w:val="23"/>
          <w:szCs w:val="23"/>
        </w:rPr>
        <w:t xml:space="preserve">• Giving the reasons why the study was undertaken. </w:t>
      </w:r>
    </w:p>
    <w:p w14:paraId="52E57622" w14:textId="77777777" w:rsidR="007371F6" w:rsidRPr="007371F6" w:rsidRDefault="007371F6" w:rsidP="00280F75">
      <w:pPr>
        <w:autoSpaceDE w:val="0"/>
        <w:autoSpaceDN w:val="0"/>
        <w:adjustRightInd w:val="0"/>
        <w:jc w:val="both"/>
        <w:rPr>
          <w:rFonts w:ascii="Arial" w:eastAsiaTheme="minorHAnsi" w:hAnsi="Arial" w:cs="Arial"/>
          <w:color w:val="000000"/>
          <w:sz w:val="23"/>
          <w:szCs w:val="23"/>
        </w:rPr>
      </w:pPr>
    </w:p>
    <w:p w14:paraId="37CEE1FD" w14:textId="77777777" w:rsidR="007371F6" w:rsidRPr="007371F6" w:rsidRDefault="007371F6" w:rsidP="00280F75">
      <w:pPr>
        <w:autoSpaceDE w:val="0"/>
        <w:autoSpaceDN w:val="0"/>
        <w:adjustRightInd w:val="0"/>
        <w:jc w:val="both"/>
        <w:rPr>
          <w:rFonts w:ascii="Arial" w:eastAsiaTheme="minorHAnsi" w:hAnsi="Arial" w:cs="Arial"/>
          <w:color w:val="000000"/>
          <w:sz w:val="23"/>
          <w:szCs w:val="23"/>
        </w:rPr>
      </w:pPr>
      <w:r w:rsidRPr="007371F6">
        <w:rPr>
          <w:rFonts w:ascii="Arial" w:eastAsiaTheme="minorHAnsi" w:hAnsi="Arial" w:cs="Arial"/>
          <w:color w:val="000000"/>
          <w:sz w:val="23"/>
          <w:szCs w:val="23"/>
        </w:rPr>
        <w:t xml:space="preserve">Literature Search </w:t>
      </w:r>
    </w:p>
    <w:p w14:paraId="6C0B7F00" w14:textId="7BE45143" w:rsidR="007371F6" w:rsidRPr="00280F75" w:rsidRDefault="007371F6" w:rsidP="00280F75">
      <w:pPr>
        <w:jc w:val="both"/>
        <w:rPr>
          <w:rFonts w:ascii="Arial" w:eastAsiaTheme="minorHAnsi" w:hAnsi="Arial" w:cs="Arial"/>
          <w:color w:val="000000"/>
          <w:sz w:val="23"/>
          <w:szCs w:val="23"/>
        </w:rPr>
      </w:pPr>
      <w:r w:rsidRPr="007371F6">
        <w:rPr>
          <w:rFonts w:ascii="Arial" w:eastAsiaTheme="minorHAnsi" w:hAnsi="Arial" w:cs="Arial"/>
          <w:color w:val="000000"/>
          <w:sz w:val="23"/>
          <w:szCs w:val="23"/>
        </w:rPr>
        <w:t>• Describing how this was undertaken and summarising relevant published prior work.</w:t>
      </w:r>
    </w:p>
    <w:p w14:paraId="6C589916" w14:textId="1DF5CA0B" w:rsidR="007371F6" w:rsidRPr="007371F6" w:rsidRDefault="007371F6" w:rsidP="00280F75">
      <w:pPr>
        <w:jc w:val="both"/>
        <w:rPr>
          <w:rFonts w:ascii="Arial" w:hAnsi="Arial" w:cs="Arial"/>
        </w:rPr>
      </w:pPr>
    </w:p>
    <w:p w14:paraId="4708FC62" w14:textId="77777777" w:rsidR="007371F6" w:rsidRPr="007371F6" w:rsidRDefault="007371F6" w:rsidP="00280F75">
      <w:pPr>
        <w:autoSpaceDE w:val="0"/>
        <w:autoSpaceDN w:val="0"/>
        <w:adjustRightInd w:val="0"/>
        <w:jc w:val="both"/>
        <w:rPr>
          <w:rFonts w:ascii="Arial" w:eastAsiaTheme="minorHAnsi" w:hAnsi="Arial" w:cs="Arial"/>
          <w:color w:val="000000"/>
          <w:sz w:val="23"/>
          <w:szCs w:val="23"/>
        </w:rPr>
      </w:pPr>
      <w:r w:rsidRPr="007371F6">
        <w:rPr>
          <w:rFonts w:ascii="Arial" w:eastAsiaTheme="minorHAnsi" w:hAnsi="Arial" w:cs="Arial"/>
          <w:color w:val="000000"/>
          <w:sz w:val="23"/>
          <w:szCs w:val="23"/>
        </w:rPr>
        <w:t xml:space="preserve">Analytical Methods </w:t>
      </w:r>
    </w:p>
    <w:p w14:paraId="0AA3B76C" w14:textId="77777777" w:rsidR="007371F6" w:rsidRDefault="007371F6" w:rsidP="00280F75">
      <w:pPr>
        <w:autoSpaceDE w:val="0"/>
        <w:autoSpaceDN w:val="0"/>
        <w:adjustRightInd w:val="0"/>
        <w:jc w:val="both"/>
        <w:rPr>
          <w:rFonts w:ascii="Arial" w:eastAsiaTheme="minorHAnsi" w:hAnsi="Arial" w:cs="Arial"/>
          <w:color w:val="000000"/>
          <w:sz w:val="23"/>
          <w:szCs w:val="23"/>
        </w:rPr>
      </w:pPr>
      <w:r w:rsidRPr="007371F6">
        <w:rPr>
          <w:rFonts w:ascii="Arial" w:eastAsiaTheme="minorHAnsi" w:hAnsi="Arial" w:cs="Arial"/>
          <w:color w:val="000000"/>
          <w:sz w:val="23"/>
          <w:szCs w:val="23"/>
        </w:rPr>
        <w:t>• Describing the development, validation, and/or adoption of analytical methods used. The specificity of the method together with its ability to detect degradants must be described. Justification for the techniques selected and the acceptance criteria assigned.</w:t>
      </w:r>
    </w:p>
    <w:p w14:paraId="5D32BE93" w14:textId="7EC5F061" w:rsidR="007371F6" w:rsidRDefault="007371F6" w:rsidP="00280F75">
      <w:pPr>
        <w:autoSpaceDE w:val="0"/>
        <w:autoSpaceDN w:val="0"/>
        <w:adjustRightInd w:val="0"/>
        <w:jc w:val="both"/>
        <w:rPr>
          <w:rFonts w:ascii="Arial" w:eastAsiaTheme="minorHAnsi" w:hAnsi="Arial" w:cs="Arial"/>
          <w:color w:val="000000"/>
          <w:sz w:val="23"/>
          <w:szCs w:val="23"/>
        </w:rPr>
      </w:pPr>
      <w:r w:rsidRPr="007371F6">
        <w:rPr>
          <w:rFonts w:ascii="Arial" w:eastAsiaTheme="minorHAnsi" w:hAnsi="Arial" w:cs="Arial"/>
          <w:color w:val="000000"/>
          <w:sz w:val="23"/>
          <w:szCs w:val="23"/>
        </w:rPr>
        <w:t xml:space="preserve"> </w:t>
      </w:r>
    </w:p>
    <w:p w14:paraId="7918047E" w14:textId="3CCE9B90" w:rsidR="007371F6" w:rsidRPr="007371F6" w:rsidRDefault="007371F6" w:rsidP="00280F75">
      <w:pPr>
        <w:autoSpaceDE w:val="0"/>
        <w:autoSpaceDN w:val="0"/>
        <w:adjustRightInd w:val="0"/>
        <w:jc w:val="both"/>
        <w:rPr>
          <w:rFonts w:ascii="Arial" w:eastAsiaTheme="minorHAnsi" w:hAnsi="Arial" w:cs="Arial"/>
          <w:color w:val="000000"/>
          <w:sz w:val="23"/>
          <w:szCs w:val="23"/>
        </w:rPr>
      </w:pPr>
      <w:r w:rsidRPr="007371F6">
        <w:rPr>
          <w:rFonts w:ascii="Arial" w:eastAsiaTheme="minorHAnsi" w:hAnsi="Arial" w:cs="Arial"/>
          <w:color w:val="000000"/>
          <w:sz w:val="23"/>
          <w:szCs w:val="23"/>
        </w:rPr>
        <w:t xml:space="preserve">Diluents </w:t>
      </w:r>
    </w:p>
    <w:p w14:paraId="29714AE3" w14:textId="45C05937" w:rsidR="007371F6" w:rsidRDefault="007371F6" w:rsidP="00280F75">
      <w:pPr>
        <w:autoSpaceDE w:val="0"/>
        <w:autoSpaceDN w:val="0"/>
        <w:adjustRightInd w:val="0"/>
        <w:jc w:val="both"/>
        <w:rPr>
          <w:rFonts w:ascii="Arial" w:eastAsiaTheme="minorHAnsi" w:hAnsi="Arial" w:cs="Arial"/>
          <w:color w:val="000000"/>
          <w:sz w:val="23"/>
          <w:szCs w:val="23"/>
        </w:rPr>
      </w:pPr>
      <w:r w:rsidRPr="007371F6">
        <w:rPr>
          <w:rFonts w:ascii="Arial" w:eastAsiaTheme="minorHAnsi" w:hAnsi="Arial" w:cs="Arial"/>
          <w:color w:val="000000"/>
          <w:sz w:val="23"/>
          <w:szCs w:val="23"/>
        </w:rPr>
        <w:t xml:space="preserve">• Describing the diluents used, and the rationale for their choice. </w:t>
      </w:r>
    </w:p>
    <w:p w14:paraId="7F2B688C" w14:textId="77777777" w:rsidR="007371F6" w:rsidRPr="007371F6" w:rsidRDefault="007371F6" w:rsidP="00280F75">
      <w:pPr>
        <w:autoSpaceDE w:val="0"/>
        <w:autoSpaceDN w:val="0"/>
        <w:adjustRightInd w:val="0"/>
        <w:jc w:val="both"/>
        <w:rPr>
          <w:rFonts w:ascii="Arial" w:eastAsiaTheme="minorHAnsi" w:hAnsi="Arial" w:cs="Arial"/>
          <w:color w:val="000000"/>
          <w:sz w:val="23"/>
          <w:szCs w:val="23"/>
        </w:rPr>
      </w:pPr>
    </w:p>
    <w:p w14:paraId="7A52BCB4" w14:textId="77777777" w:rsidR="007371F6" w:rsidRPr="007371F6" w:rsidRDefault="007371F6" w:rsidP="00280F75">
      <w:pPr>
        <w:autoSpaceDE w:val="0"/>
        <w:autoSpaceDN w:val="0"/>
        <w:adjustRightInd w:val="0"/>
        <w:jc w:val="both"/>
        <w:rPr>
          <w:rFonts w:ascii="Arial" w:eastAsiaTheme="minorHAnsi" w:hAnsi="Arial" w:cs="Arial"/>
          <w:color w:val="000000"/>
          <w:sz w:val="23"/>
          <w:szCs w:val="23"/>
        </w:rPr>
      </w:pPr>
      <w:r w:rsidRPr="007371F6">
        <w:rPr>
          <w:rFonts w:ascii="Arial" w:eastAsiaTheme="minorHAnsi" w:hAnsi="Arial" w:cs="Arial"/>
          <w:color w:val="000000"/>
          <w:sz w:val="23"/>
          <w:szCs w:val="23"/>
        </w:rPr>
        <w:t xml:space="preserve">Container </w:t>
      </w:r>
    </w:p>
    <w:p w14:paraId="531E4837" w14:textId="3F56AD55" w:rsidR="007371F6" w:rsidRDefault="007371F6" w:rsidP="00280F75">
      <w:pPr>
        <w:autoSpaceDE w:val="0"/>
        <w:autoSpaceDN w:val="0"/>
        <w:adjustRightInd w:val="0"/>
        <w:jc w:val="both"/>
        <w:rPr>
          <w:rFonts w:ascii="Arial" w:eastAsiaTheme="minorHAnsi" w:hAnsi="Arial" w:cs="Arial"/>
          <w:color w:val="000000"/>
          <w:sz w:val="23"/>
          <w:szCs w:val="23"/>
        </w:rPr>
      </w:pPr>
      <w:r w:rsidRPr="007371F6">
        <w:rPr>
          <w:rFonts w:ascii="Arial" w:eastAsiaTheme="minorHAnsi" w:hAnsi="Arial" w:cs="Arial"/>
          <w:color w:val="000000"/>
          <w:sz w:val="23"/>
          <w:szCs w:val="23"/>
        </w:rPr>
        <w:t xml:space="preserve">• Describing the containers used, and the rationale for their choice. </w:t>
      </w:r>
    </w:p>
    <w:p w14:paraId="7B44740F" w14:textId="77777777" w:rsidR="007371F6" w:rsidRPr="007371F6" w:rsidRDefault="007371F6" w:rsidP="00280F75">
      <w:pPr>
        <w:autoSpaceDE w:val="0"/>
        <w:autoSpaceDN w:val="0"/>
        <w:adjustRightInd w:val="0"/>
        <w:jc w:val="both"/>
        <w:rPr>
          <w:rFonts w:ascii="Arial" w:eastAsiaTheme="minorHAnsi" w:hAnsi="Arial" w:cs="Arial"/>
          <w:color w:val="000000"/>
          <w:sz w:val="23"/>
          <w:szCs w:val="23"/>
        </w:rPr>
      </w:pPr>
    </w:p>
    <w:p w14:paraId="4BC54583" w14:textId="77777777" w:rsidR="007371F6" w:rsidRPr="007371F6" w:rsidRDefault="007371F6" w:rsidP="00280F75">
      <w:pPr>
        <w:autoSpaceDE w:val="0"/>
        <w:autoSpaceDN w:val="0"/>
        <w:adjustRightInd w:val="0"/>
        <w:jc w:val="both"/>
        <w:rPr>
          <w:rFonts w:ascii="Arial" w:eastAsiaTheme="minorHAnsi" w:hAnsi="Arial" w:cs="Arial"/>
          <w:color w:val="000000"/>
          <w:sz w:val="23"/>
          <w:szCs w:val="23"/>
        </w:rPr>
      </w:pPr>
      <w:r w:rsidRPr="007371F6">
        <w:rPr>
          <w:rFonts w:ascii="Arial" w:eastAsiaTheme="minorHAnsi" w:hAnsi="Arial" w:cs="Arial"/>
          <w:color w:val="000000"/>
          <w:sz w:val="23"/>
          <w:szCs w:val="23"/>
        </w:rPr>
        <w:t xml:space="preserve">Concentrations </w:t>
      </w:r>
    </w:p>
    <w:p w14:paraId="6A08A321" w14:textId="4BFDAAEC" w:rsidR="007371F6" w:rsidRDefault="007371F6" w:rsidP="00280F75">
      <w:pPr>
        <w:autoSpaceDE w:val="0"/>
        <w:autoSpaceDN w:val="0"/>
        <w:adjustRightInd w:val="0"/>
        <w:jc w:val="both"/>
        <w:rPr>
          <w:rFonts w:ascii="Arial" w:eastAsiaTheme="minorHAnsi" w:hAnsi="Arial" w:cs="Arial"/>
          <w:color w:val="000000"/>
          <w:sz w:val="23"/>
          <w:szCs w:val="23"/>
        </w:rPr>
      </w:pPr>
      <w:r w:rsidRPr="007371F6">
        <w:rPr>
          <w:rFonts w:ascii="Arial" w:eastAsiaTheme="minorHAnsi" w:hAnsi="Arial" w:cs="Arial"/>
          <w:color w:val="000000"/>
          <w:sz w:val="23"/>
          <w:szCs w:val="23"/>
        </w:rPr>
        <w:t xml:space="preserve">• Describing the concentrations studied, and the rationale for their choice. </w:t>
      </w:r>
    </w:p>
    <w:p w14:paraId="5D92FA2C" w14:textId="77777777" w:rsidR="007371F6" w:rsidRPr="007371F6" w:rsidRDefault="007371F6" w:rsidP="00280F75">
      <w:pPr>
        <w:autoSpaceDE w:val="0"/>
        <w:autoSpaceDN w:val="0"/>
        <w:adjustRightInd w:val="0"/>
        <w:jc w:val="both"/>
        <w:rPr>
          <w:rFonts w:ascii="Arial" w:eastAsiaTheme="minorHAnsi" w:hAnsi="Arial" w:cs="Arial"/>
          <w:color w:val="000000"/>
          <w:sz w:val="23"/>
          <w:szCs w:val="23"/>
        </w:rPr>
      </w:pPr>
    </w:p>
    <w:p w14:paraId="68672272" w14:textId="77777777" w:rsidR="007371F6" w:rsidRPr="007371F6" w:rsidRDefault="007371F6" w:rsidP="00280F75">
      <w:pPr>
        <w:autoSpaceDE w:val="0"/>
        <w:autoSpaceDN w:val="0"/>
        <w:adjustRightInd w:val="0"/>
        <w:jc w:val="both"/>
        <w:rPr>
          <w:rFonts w:ascii="Arial" w:eastAsiaTheme="minorHAnsi" w:hAnsi="Arial" w:cs="Arial"/>
          <w:color w:val="000000"/>
          <w:sz w:val="23"/>
          <w:szCs w:val="23"/>
        </w:rPr>
      </w:pPr>
      <w:r w:rsidRPr="007371F6">
        <w:rPr>
          <w:rFonts w:ascii="Arial" w:eastAsiaTheme="minorHAnsi" w:hAnsi="Arial" w:cs="Arial"/>
          <w:color w:val="000000"/>
          <w:sz w:val="23"/>
          <w:szCs w:val="23"/>
        </w:rPr>
        <w:t xml:space="preserve">Storage Conditions </w:t>
      </w:r>
    </w:p>
    <w:p w14:paraId="57A15A1C" w14:textId="6A944D0A" w:rsidR="007371F6" w:rsidRDefault="007371F6" w:rsidP="00280F75">
      <w:pPr>
        <w:autoSpaceDE w:val="0"/>
        <w:autoSpaceDN w:val="0"/>
        <w:adjustRightInd w:val="0"/>
        <w:jc w:val="both"/>
        <w:rPr>
          <w:rFonts w:ascii="Arial" w:eastAsiaTheme="minorHAnsi" w:hAnsi="Arial" w:cs="Arial"/>
          <w:color w:val="000000"/>
          <w:sz w:val="23"/>
          <w:szCs w:val="23"/>
        </w:rPr>
      </w:pPr>
      <w:r w:rsidRPr="007371F6">
        <w:rPr>
          <w:rFonts w:ascii="Arial" w:eastAsiaTheme="minorHAnsi" w:hAnsi="Arial" w:cs="Arial"/>
          <w:color w:val="000000"/>
          <w:sz w:val="23"/>
          <w:szCs w:val="23"/>
        </w:rPr>
        <w:t xml:space="preserve">• Describing the storage conditions used, and the rationale for their choice. </w:t>
      </w:r>
    </w:p>
    <w:p w14:paraId="565C576B" w14:textId="77777777" w:rsidR="007371F6" w:rsidRPr="007371F6" w:rsidRDefault="007371F6" w:rsidP="00280F75">
      <w:pPr>
        <w:autoSpaceDE w:val="0"/>
        <w:autoSpaceDN w:val="0"/>
        <w:adjustRightInd w:val="0"/>
        <w:jc w:val="both"/>
        <w:rPr>
          <w:rFonts w:ascii="Arial" w:eastAsiaTheme="minorHAnsi" w:hAnsi="Arial" w:cs="Arial"/>
          <w:color w:val="000000"/>
          <w:sz w:val="23"/>
          <w:szCs w:val="23"/>
        </w:rPr>
      </w:pPr>
    </w:p>
    <w:p w14:paraId="640AD72F" w14:textId="77777777" w:rsidR="007371F6" w:rsidRPr="007371F6" w:rsidRDefault="007371F6" w:rsidP="00280F75">
      <w:pPr>
        <w:autoSpaceDE w:val="0"/>
        <w:autoSpaceDN w:val="0"/>
        <w:adjustRightInd w:val="0"/>
        <w:jc w:val="both"/>
        <w:rPr>
          <w:rFonts w:ascii="Arial" w:eastAsiaTheme="minorHAnsi" w:hAnsi="Arial" w:cs="Arial"/>
          <w:color w:val="000000"/>
          <w:sz w:val="23"/>
          <w:szCs w:val="23"/>
        </w:rPr>
      </w:pPr>
      <w:r w:rsidRPr="007371F6">
        <w:rPr>
          <w:rFonts w:ascii="Arial" w:eastAsiaTheme="minorHAnsi" w:hAnsi="Arial" w:cs="Arial"/>
          <w:color w:val="000000"/>
          <w:sz w:val="23"/>
          <w:szCs w:val="23"/>
        </w:rPr>
        <w:t xml:space="preserve">Storage Protocols </w:t>
      </w:r>
    </w:p>
    <w:p w14:paraId="0EEE1F50" w14:textId="2F927518" w:rsidR="007371F6" w:rsidRDefault="007371F6" w:rsidP="00280F75">
      <w:pPr>
        <w:autoSpaceDE w:val="0"/>
        <w:autoSpaceDN w:val="0"/>
        <w:adjustRightInd w:val="0"/>
        <w:jc w:val="both"/>
        <w:rPr>
          <w:rFonts w:ascii="Arial" w:eastAsiaTheme="minorHAnsi" w:hAnsi="Arial" w:cs="Arial"/>
          <w:color w:val="000000"/>
          <w:sz w:val="23"/>
          <w:szCs w:val="23"/>
        </w:rPr>
      </w:pPr>
      <w:r w:rsidRPr="007371F6">
        <w:rPr>
          <w:rFonts w:ascii="Arial" w:eastAsiaTheme="minorHAnsi" w:hAnsi="Arial" w:cs="Arial"/>
          <w:color w:val="000000"/>
          <w:sz w:val="23"/>
          <w:szCs w:val="23"/>
        </w:rPr>
        <w:t xml:space="preserve">• Describing the storage protocols used, and the rational for their choice. </w:t>
      </w:r>
    </w:p>
    <w:p w14:paraId="20A2EFAA" w14:textId="77777777" w:rsidR="007371F6" w:rsidRPr="007371F6" w:rsidRDefault="007371F6" w:rsidP="00280F75">
      <w:pPr>
        <w:autoSpaceDE w:val="0"/>
        <w:autoSpaceDN w:val="0"/>
        <w:adjustRightInd w:val="0"/>
        <w:jc w:val="both"/>
        <w:rPr>
          <w:rFonts w:ascii="Arial" w:eastAsiaTheme="minorHAnsi" w:hAnsi="Arial" w:cs="Arial"/>
          <w:color w:val="000000"/>
          <w:sz w:val="23"/>
          <w:szCs w:val="23"/>
        </w:rPr>
      </w:pPr>
    </w:p>
    <w:p w14:paraId="6033EF7E" w14:textId="77777777" w:rsidR="007371F6" w:rsidRPr="007371F6" w:rsidRDefault="007371F6" w:rsidP="00280F75">
      <w:pPr>
        <w:autoSpaceDE w:val="0"/>
        <w:autoSpaceDN w:val="0"/>
        <w:adjustRightInd w:val="0"/>
        <w:jc w:val="both"/>
        <w:rPr>
          <w:rFonts w:ascii="Arial" w:eastAsiaTheme="minorHAnsi" w:hAnsi="Arial" w:cs="Arial"/>
          <w:color w:val="000000"/>
          <w:sz w:val="23"/>
          <w:szCs w:val="23"/>
        </w:rPr>
      </w:pPr>
      <w:r w:rsidRPr="007371F6">
        <w:rPr>
          <w:rFonts w:ascii="Arial" w:eastAsiaTheme="minorHAnsi" w:hAnsi="Arial" w:cs="Arial"/>
          <w:color w:val="000000"/>
          <w:sz w:val="23"/>
          <w:szCs w:val="23"/>
        </w:rPr>
        <w:t xml:space="preserve">Sample Numbers </w:t>
      </w:r>
    </w:p>
    <w:p w14:paraId="43778DCA" w14:textId="25D10D59" w:rsidR="007371F6" w:rsidRDefault="007371F6" w:rsidP="00280F75">
      <w:pPr>
        <w:autoSpaceDE w:val="0"/>
        <w:autoSpaceDN w:val="0"/>
        <w:adjustRightInd w:val="0"/>
        <w:jc w:val="both"/>
        <w:rPr>
          <w:rFonts w:ascii="Arial" w:eastAsiaTheme="minorHAnsi" w:hAnsi="Arial" w:cs="Arial"/>
          <w:color w:val="000000"/>
          <w:sz w:val="23"/>
          <w:szCs w:val="23"/>
        </w:rPr>
      </w:pPr>
      <w:r w:rsidRPr="007371F6">
        <w:rPr>
          <w:rFonts w:ascii="Arial" w:eastAsiaTheme="minorHAnsi" w:hAnsi="Arial" w:cs="Arial"/>
          <w:color w:val="000000"/>
          <w:sz w:val="23"/>
          <w:szCs w:val="23"/>
        </w:rPr>
        <w:t xml:space="preserve">• Describing the number of samples and batches tested, and the rationale for their choice. </w:t>
      </w:r>
    </w:p>
    <w:p w14:paraId="5FF9D8D6" w14:textId="77777777" w:rsidR="007371F6" w:rsidRPr="007371F6" w:rsidRDefault="007371F6" w:rsidP="00280F75">
      <w:pPr>
        <w:autoSpaceDE w:val="0"/>
        <w:autoSpaceDN w:val="0"/>
        <w:adjustRightInd w:val="0"/>
        <w:jc w:val="both"/>
        <w:rPr>
          <w:rFonts w:ascii="Arial" w:eastAsiaTheme="minorHAnsi" w:hAnsi="Arial" w:cs="Arial"/>
          <w:color w:val="000000"/>
          <w:sz w:val="23"/>
          <w:szCs w:val="23"/>
        </w:rPr>
      </w:pPr>
    </w:p>
    <w:p w14:paraId="5C875021" w14:textId="77777777" w:rsidR="007371F6" w:rsidRPr="007371F6" w:rsidRDefault="007371F6" w:rsidP="00280F75">
      <w:pPr>
        <w:autoSpaceDE w:val="0"/>
        <w:autoSpaceDN w:val="0"/>
        <w:adjustRightInd w:val="0"/>
        <w:jc w:val="both"/>
        <w:rPr>
          <w:rFonts w:ascii="Arial" w:eastAsiaTheme="minorHAnsi" w:hAnsi="Arial" w:cs="Arial"/>
          <w:color w:val="000000"/>
          <w:sz w:val="23"/>
          <w:szCs w:val="23"/>
        </w:rPr>
      </w:pPr>
      <w:r w:rsidRPr="007371F6">
        <w:rPr>
          <w:rFonts w:ascii="Arial" w:eastAsiaTheme="minorHAnsi" w:hAnsi="Arial" w:cs="Arial"/>
          <w:color w:val="000000"/>
          <w:sz w:val="23"/>
          <w:szCs w:val="23"/>
        </w:rPr>
        <w:t xml:space="preserve">Testing Protocols </w:t>
      </w:r>
    </w:p>
    <w:p w14:paraId="4E19E258" w14:textId="0F006ADA" w:rsidR="007371F6" w:rsidRDefault="007371F6" w:rsidP="00280F75">
      <w:pPr>
        <w:autoSpaceDE w:val="0"/>
        <w:autoSpaceDN w:val="0"/>
        <w:adjustRightInd w:val="0"/>
        <w:jc w:val="both"/>
        <w:rPr>
          <w:rFonts w:ascii="Arial" w:eastAsiaTheme="minorHAnsi" w:hAnsi="Arial" w:cs="Arial"/>
          <w:color w:val="000000"/>
          <w:sz w:val="23"/>
          <w:szCs w:val="23"/>
        </w:rPr>
      </w:pPr>
      <w:r w:rsidRPr="007371F6">
        <w:rPr>
          <w:rFonts w:ascii="Arial" w:eastAsiaTheme="minorHAnsi" w:hAnsi="Arial" w:cs="Arial"/>
          <w:color w:val="000000"/>
          <w:sz w:val="23"/>
          <w:szCs w:val="23"/>
        </w:rPr>
        <w:t xml:space="preserve">• Describing the test protocols used, and the rationale for their choice. </w:t>
      </w:r>
    </w:p>
    <w:p w14:paraId="1E0FF042" w14:textId="77777777" w:rsidR="007371F6" w:rsidRPr="007371F6" w:rsidRDefault="007371F6" w:rsidP="00280F75">
      <w:pPr>
        <w:autoSpaceDE w:val="0"/>
        <w:autoSpaceDN w:val="0"/>
        <w:adjustRightInd w:val="0"/>
        <w:jc w:val="both"/>
        <w:rPr>
          <w:rFonts w:ascii="Arial" w:eastAsiaTheme="minorHAnsi" w:hAnsi="Arial" w:cs="Arial"/>
          <w:color w:val="000000"/>
          <w:sz w:val="23"/>
          <w:szCs w:val="23"/>
        </w:rPr>
      </w:pPr>
    </w:p>
    <w:p w14:paraId="520D3A6F" w14:textId="77777777" w:rsidR="007371F6" w:rsidRPr="007371F6" w:rsidRDefault="007371F6" w:rsidP="00280F75">
      <w:pPr>
        <w:autoSpaceDE w:val="0"/>
        <w:autoSpaceDN w:val="0"/>
        <w:adjustRightInd w:val="0"/>
        <w:jc w:val="both"/>
        <w:rPr>
          <w:rFonts w:ascii="Arial" w:eastAsiaTheme="minorHAnsi" w:hAnsi="Arial" w:cs="Arial"/>
          <w:color w:val="000000"/>
          <w:sz w:val="23"/>
          <w:szCs w:val="23"/>
        </w:rPr>
      </w:pPr>
      <w:r w:rsidRPr="007371F6">
        <w:rPr>
          <w:rFonts w:ascii="Arial" w:eastAsiaTheme="minorHAnsi" w:hAnsi="Arial" w:cs="Arial"/>
          <w:color w:val="000000"/>
          <w:sz w:val="23"/>
          <w:szCs w:val="23"/>
        </w:rPr>
        <w:t xml:space="preserve">Results </w:t>
      </w:r>
    </w:p>
    <w:p w14:paraId="6087A6D0" w14:textId="6480DD41" w:rsidR="007371F6" w:rsidRDefault="007371F6" w:rsidP="00280F75">
      <w:pPr>
        <w:autoSpaceDE w:val="0"/>
        <w:autoSpaceDN w:val="0"/>
        <w:adjustRightInd w:val="0"/>
        <w:jc w:val="both"/>
        <w:rPr>
          <w:rFonts w:ascii="Arial" w:eastAsiaTheme="minorHAnsi" w:hAnsi="Arial" w:cs="Arial"/>
          <w:color w:val="000000"/>
          <w:sz w:val="23"/>
          <w:szCs w:val="23"/>
        </w:rPr>
      </w:pPr>
      <w:r w:rsidRPr="007371F6">
        <w:rPr>
          <w:rFonts w:ascii="Arial" w:eastAsiaTheme="minorHAnsi" w:hAnsi="Arial" w:cs="Arial"/>
          <w:color w:val="000000"/>
          <w:sz w:val="23"/>
          <w:szCs w:val="23"/>
        </w:rPr>
        <w:t xml:space="preserve">• Detailed description of all analytical results. It is suggested that results are presented as a percentage of initial concentration; initial concentrations should be given in the report. </w:t>
      </w:r>
    </w:p>
    <w:p w14:paraId="3EB4F92E" w14:textId="77777777" w:rsidR="007371F6" w:rsidRPr="007371F6" w:rsidRDefault="007371F6" w:rsidP="00280F75">
      <w:pPr>
        <w:autoSpaceDE w:val="0"/>
        <w:autoSpaceDN w:val="0"/>
        <w:adjustRightInd w:val="0"/>
        <w:jc w:val="both"/>
        <w:rPr>
          <w:rFonts w:ascii="Arial" w:eastAsiaTheme="minorHAnsi" w:hAnsi="Arial" w:cs="Arial"/>
          <w:color w:val="000000"/>
          <w:sz w:val="23"/>
          <w:szCs w:val="23"/>
        </w:rPr>
      </w:pPr>
    </w:p>
    <w:p w14:paraId="4F176861" w14:textId="77777777" w:rsidR="007371F6" w:rsidRPr="007371F6" w:rsidRDefault="007371F6" w:rsidP="00280F75">
      <w:pPr>
        <w:autoSpaceDE w:val="0"/>
        <w:autoSpaceDN w:val="0"/>
        <w:adjustRightInd w:val="0"/>
        <w:jc w:val="both"/>
        <w:rPr>
          <w:rFonts w:ascii="Arial" w:eastAsiaTheme="minorHAnsi" w:hAnsi="Arial" w:cs="Arial"/>
          <w:color w:val="000000"/>
          <w:sz w:val="23"/>
          <w:szCs w:val="23"/>
        </w:rPr>
      </w:pPr>
      <w:r w:rsidRPr="007371F6">
        <w:rPr>
          <w:rFonts w:ascii="Arial" w:eastAsiaTheme="minorHAnsi" w:hAnsi="Arial" w:cs="Arial"/>
          <w:color w:val="000000"/>
          <w:sz w:val="23"/>
          <w:szCs w:val="23"/>
        </w:rPr>
        <w:t xml:space="preserve">Discussion </w:t>
      </w:r>
    </w:p>
    <w:p w14:paraId="500C43E1" w14:textId="3FC82923" w:rsidR="007371F6" w:rsidRDefault="007371F6" w:rsidP="00280F75">
      <w:pPr>
        <w:autoSpaceDE w:val="0"/>
        <w:autoSpaceDN w:val="0"/>
        <w:adjustRightInd w:val="0"/>
        <w:jc w:val="both"/>
        <w:rPr>
          <w:rFonts w:ascii="Arial" w:eastAsiaTheme="minorHAnsi" w:hAnsi="Arial" w:cs="Arial"/>
          <w:color w:val="000000"/>
          <w:sz w:val="23"/>
          <w:szCs w:val="23"/>
        </w:rPr>
      </w:pPr>
      <w:r w:rsidRPr="007371F6">
        <w:rPr>
          <w:rFonts w:ascii="Arial" w:eastAsiaTheme="minorHAnsi" w:hAnsi="Arial" w:cs="Arial"/>
          <w:color w:val="000000"/>
          <w:sz w:val="23"/>
          <w:szCs w:val="23"/>
        </w:rPr>
        <w:t xml:space="preserve">• Scientific critique and evaluation of the results including any statistical approach taken to analysis of the data. </w:t>
      </w:r>
    </w:p>
    <w:p w14:paraId="7CDEEBDE" w14:textId="77777777" w:rsidR="007371F6" w:rsidRPr="007371F6" w:rsidRDefault="007371F6" w:rsidP="00280F75">
      <w:pPr>
        <w:autoSpaceDE w:val="0"/>
        <w:autoSpaceDN w:val="0"/>
        <w:adjustRightInd w:val="0"/>
        <w:jc w:val="both"/>
        <w:rPr>
          <w:rFonts w:ascii="Arial" w:eastAsiaTheme="minorHAnsi" w:hAnsi="Arial" w:cs="Arial"/>
          <w:color w:val="000000"/>
          <w:sz w:val="23"/>
          <w:szCs w:val="23"/>
        </w:rPr>
      </w:pPr>
    </w:p>
    <w:p w14:paraId="0194E522" w14:textId="77777777" w:rsidR="007371F6" w:rsidRPr="007371F6" w:rsidRDefault="007371F6" w:rsidP="00280F75">
      <w:pPr>
        <w:autoSpaceDE w:val="0"/>
        <w:autoSpaceDN w:val="0"/>
        <w:adjustRightInd w:val="0"/>
        <w:jc w:val="both"/>
        <w:rPr>
          <w:rFonts w:ascii="Arial" w:eastAsiaTheme="minorHAnsi" w:hAnsi="Arial" w:cs="Arial"/>
          <w:color w:val="000000"/>
          <w:sz w:val="23"/>
          <w:szCs w:val="23"/>
        </w:rPr>
      </w:pPr>
      <w:r w:rsidRPr="007371F6">
        <w:rPr>
          <w:rFonts w:ascii="Arial" w:eastAsiaTheme="minorHAnsi" w:hAnsi="Arial" w:cs="Arial"/>
          <w:color w:val="000000"/>
          <w:sz w:val="23"/>
          <w:szCs w:val="23"/>
        </w:rPr>
        <w:t xml:space="preserve">Allocation of Shelf Lives </w:t>
      </w:r>
    </w:p>
    <w:p w14:paraId="48270D63" w14:textId="77777777" w:rsidR="007371F6" w:rsidRPr="007371F6" w:rsidRDefault="007371F6" w:rsidP="00280F75">
      <w:pPr>
        <w:autoSpaceDE w:val="0"/>
        <w:autoSpaceDN w:val="0"/>
        <w:adjustRightInd w:val="0"/>
        <w:jc w:val="both"/>
        <w:rPr>
          <w:rFonts w:ascii="Arial" w:eastAsiaTheme="minorHAnsi" w:hAnsi="Arial" w:cs="Arial"/>
          <w:color w:val="000000"/>
          <w:sz w:val="23"/>
          <w:szCs w:val="23"/>
        </w:rPr>
      </w:pPr>
      <w:r w:rsidRPr="007371F6">
        <w:rPr>
          <w:rFonts w:ascii="Arial" w:eastAsiaTheme="minorHAnsi" w:hAnsi="Arial" w:cs="Arial"/>
          <w:color w:val="000000"/>
          <w:sz w:val="23"/>
          <w:szCs w:val="23"/>
        </w:rPr>
        <w:t xml:space="preserve">• Description of the methods used to calculate shelf lives and the rationale for their use. </w:t>
      </w:r>
    </w:p>
    <w:p w14:paraId="1D39661C" w14:textId="0F0BA0C8" w:rsidR="007371F6" w:rsidRDefault="007371F6" w:rsidP="00280F75">
      <w:pPr>
        <w:autoSpaceDE w:val="0"/>
        <w:autoSpaceDN w:val="0"/>
        <w:adjustRightInd w:val="0"/>
        <w:jc w:val="both"/>
        <w:rPr>
          <w:rFonts w:ascii="Arial" w:eastAsiaTheme="minorHAnsi" w:hAnsi="Arial" w:cs="Arial"/>
          <w:color w:val="000000"/>
          <w:sz w:val="23"/>
          <w:szCs w:val="23"/>
        </w:rPr>
      </w:pPr>
      <w:r w:rsidRPr="007371F6">
        <w:rPr>
          <w:rFonts w:ascii="Arial" w:eastAsiaTheme="minorHAnsi" w:hAnsi="Arial" w:cs="Arial"/>
          <w:color w:val="000000"/>
          <w:sz w:val="23"/>
          <w:szCs w:val="23"/>
        </w:rPr>
        <w:t xml:space="preserve">• Description of proposed shelf lives determined from the study. </w:t>
      </w:r>
    </w:p>
    <w:p w14:paraId="4C23D952" w14:textId="010E65A3" w:rsidR="007371F6" w:rsidRDefault="007371F6" w:rsidP="00280F75">
      <w:pPr>
        <w:autoSpaceDE w:val="0"/>
        <w:autoSpaceDN w:val="0"/>
        <w:adjustRightInd w:val="0"/>
        <w:jc w:val="both"/>
        <w:rPr>
          <w:rFonts w:ascii="Arial" w:eastAsiaTheme="minorHAnsi" w:hAnsi="Arial" w:cs="Arial"/>
          <w:color w:val="000000"/>
          <w:sz w:val="23"/>
          <w:szCs w:val="23"/>
        </w:rPr>
      </w:pPr>
    </w:p>
    <w:p w14:paraId="205DE014" w14:textId="4C6A2C25" w:rsidR="00280F75" w:rsidRDefault="00280F75" w:rsidP="00280F75">
      <w:pPr>
        <w:autoSpaceDE w:val="0"/>
        <w:autoSpaceDN w:val="0"/>
        <w:adjustRightInd w:val="0"/>
        <w:jc w:val="both"/>
        <w:rPr>
          <w:rFonts w:ascii="Arial" w:eastAsiaTheme="minorHAnsi" w:hAnsi="Arial" w:cs="Arial"/>
          <w:color w:val="000000"/>
          <w:sz w:val="23"/>
          <w:szCs w:val="23"/>
        </w:rPr>
      </w:pPr>
    </w:p>
    <w:p w14:paraId="202C545C" w14:textId="5FACFF2C" w:rsidR="00280F75" w:rsidRDefault="00280F75" w:rsidP="00280F75">
      <w:pPr>
        <w:autoSpaceDE w:val="0"/>
        <w:autoSpaceDN w:val="0"/>
        <w:adjustRightInd w:val="0"/>
        <w:jc w:val="both"/>
        <w:rPr>
          <w:rFonts w:ascii="Arial" w:eastAsiaTheme="minorHAnsi" w:hAnsi="Arial" w:cs="Arial"/>
          <w:color w:val="000000"/>
          <w:sz w:val="23"/>
          <w:szCs w:val="23"/>
        </w:rPr>
      </w:pPr>
    </w:p>
    <w:p w14:paraId="0AC62C34" w14:textId="77777777" w:rsidR="00280F75" w:rsidRPr="007371F6" w:rsidRDefault="00280F75" w:rsidP="00280F75">
      <w:pPr>
        <w:autoSpaceDE w:val="0"/>
        <w:autoSpaceDN w:val="0"/>
        <w:adjustRightInd w:val="0"/>
        <w:jc w:val="both"/>
        <w:rPr>
          <w:rFonts w:ascii="Arial" w:eastAsiaTheme="minorHAnsi" w:hAnsi="Arial" w:cs="Arial"/>
          <w:color w:val="000000"/>
          <w:sz w:val="23"/>
          <w:szCs w:val="23"/>
        </w:rPr>
      </w:pPr>
    </w:p>
    <w:p w14:paraId="3E0F08A1" w14:textId="6F9A8BF9" w:rsidR="007371F6" w:rsidRDefault="007371F6" w:rsidP="00280F75">
      <w:pPr>
        <w:autoSpaceDE w:val="0"/>
        <w:autoSpaceDN w:val="0"/>
        <w:adjustRightInd w:val="0"/>
        <w:jc w:val="both"/>
        <w:rPr>
          <w:rFonts w:ascii="Arial" w:eastAsiaTheme="minorHAnsi" w:hAnsi="Arial" w:cs="Arial"/>
          <w:color w:val="000000"/>
          <w:sz w:val="23"/>
          <w:szCs w:val="23"/>
        </w:rPr>
      </w:pPr>
      <w:r w:rsidRPr="007371F6">
        <w:rPr>
          <w:rFonts w:ascii="Arial" w:eastAsiaTheme="minorHAnsi" w:hAnsi="Arial" w:cs="Arial"/>
          <w:color w:val="000000"/>
          <w:sz w:val="23"/>
          <w:szCs w:val="23"/>
        </w:rPr>
        <w:lastRenderedPageBreak/>
        <w:t xml:space="preserve">Conclusions </w:t>
      </w:r>
    </w:p>
    <w:p w14:paraId="16F8BB6E" w14:textId="77777777" w:rsidR="00280F75" w:rsidRPr="007371F6" w:rsidRDefault="00280F75" w:rsidP="00280F75">
      <w:pPr>
        <w:autoSpaceDE w:val="0"/>
        <w:autoSpaceDN w:val="0"/>
        <w:adjustRightInd w:val="0"/>
        <w:jc w:val="both"/>
        <w:rPr>
          <w:rFonts w:ascii="Arial" w:eastAsiaTheme="minorHAnsi" w:hAnsi="Arial" w:cs="Arial"/>
          <w:color w:val="000000"/>
          <w:sz w:val="23"/>
          <w:szCs w:val="23"/>
        </w:rPr>
      </w:pPr>
    </w:p>
    <w:p w14:paraId="598FB6DA" w14:textId="1375421A" w:rsidR="007371F6" w:rsidRDefault="007371F6" w:rsidP="00280F75">
      <w:pPr>
        <w:jc w:val="both"/>
        <w:rPr>
          <w:rFonts w:ascii="Arial" w:eastAsiaTheme="minorHAnsi" w:hAnsi="Arial" w:cs="Arial"/>
          <w:color w:val="000000"/>
          <w:sz w:val="23"/>
          <w:szCs w:val="23"/>
        </w:rPr>
      </w:pPr>
      <w:r w:rsidRPr="007371F6">
        <w:rPr>
          <w:rFonts w:ascii="Arial" w:eastAsiaTheme="minorHAnsi" w:hAnsi="Arial" w:cs="Arial"/>
          <w:color w:val="000000"/>
          <w:sz w:val="23"/>
          <w:szCs w:val="23"/>
        </w:rPr>
        <w:t>• Overall conclusions from the study. The report should also justify any omissions in the protocol, the testing programme or data availability and explain any non-conformances such as out of specification or out of trend results.</w:t>
      </w:r>
    </w:p>
    <w:p w14:paraId="594F9BFD" w14:textId="5E202554" w:rsidR="007371F6" w:rsidRDefault="007371F6" w:rsidP="00280F75">
      <w:pPr>
        <w:jc w:val="both"/>
        <w:rPr>
          <w:rFonts w:ascii="Arial" w:eastAsiaTheme="minorHAnsi" w:hAnsi="Arial" w:cs="Arial"/>
          <w:color w:val="000000"/>
          <w:sz w:val="23"/>
          <w:szCs w:val="23"/>
        </w:rPr>
      </w:pPr>
    </w:p>
    <w:p w14:paraId="3A832DB1" w14:textId="77777777" w:rsidR="007371F6" w:rsidRPr="007371F6" w:rsidRDefault="007371F6" w:rsidP="00280F75">
      <w:pPr>
        <w:autoSpaceDE w:val="0"/>
        <w:autoSpaceDN w:val="0"/>
        <w:adjustRightInd w:val="0"/>
        <w:jc w:val="both"/>
        <w:rPr>
          <w:rFonts w:ascii="Arial" w:eastAsiaTheme="minorHAnsi" w:hAnsi="Arial" w:cs="Arial"/>
          <w:color w:val="000000"/>
          <w:sz w:val="23"/>
          <w:szCs w:val="23"/>
        </w:rPr>
      </w:pPr>
      <w:r w:rsidRPr="007371F6">
        <w:rPr>
          <w:rFonts w:ascii="Arial" w:eastAsiaTheme="minorHAnsi" w:hAnsi="Arial" w:cs="Arial"/>
          <w:b/>
          <w:bCs/>
          <w:color w:val="000000"/>
          <w:sz w:val="23"/>
          <w:szCs w:val="23"/>
        </w:rPr>
        <w:t xml:space="preserve">13. </w:t>
      </w:r>
      <w:r w:rsidRPr="007371F6">
        <w:rPr>
          <w:rFonts w:ascii="Arial" w:eastAsiaTheme="minorHAnsi" w:hAnsi="Arial" w:cs="Arial"/>
          <w:b/>
          <w:bCs/>
          <w:color w:val="000000"/>
          <w:sz w:val="23"/>
          <w:szCs w:val="23"/>
          <w:u w:val="single"/>
        </w:rPr>
        <w:t>Extrapolation of data</w:t>
      </w:r>
      <w:r w:rsidRPr="007371F6">
        <w:rPr>
          <w:rFonts w:ascii="Arial" w:eastAsiaTheme="minorHAnsi" w:hAnsi="Arial" w:cs="Arial"/>
          <w:b/>
          <w:bCs/>
          <w:color w:val="000000"/>
          <w:sz w:val="23"/>
          <w:szCs w:val="23"/>
        </w:rPr>
        <w:t xml:space="preserve"> </w:t>
      </w:r>
    </w:p>
    <w:p w14:paraId="56E29983" w14:textId="77777777" w:rsidR="007371F6" w:rsidRDefault="007371F6" w:rsidP="00280F75">
      <w:pPr>
        <w:autoSpaceDE w:val="0"/>
        <w:autoSpaceDN w:val="0"/>
        <w:adjustRightInd w:val="0"/>
        <w:jc w:val="both"/>
        <w:rPr>
          <w:rFonts w:ascii="Arial" w:eastAsiaTheme="minorHAnsi" w:hAnsi="Arial" w:cs="Arial"/>
          <w:color w:val="000000"/>
          <w:sz w:val="23"/>
          <w:szCs w:val="23"/>
        </w:rPr>
      </w:pPr>
    </w:p>
    <w:p w14:paraId="557CB086" w14:textId="192C631A" w:rsidR="007371F6" w:rsidRPr="007371F6" w:rsidRDefault="007371F6" w:rsidP="00280F75">
      <w:pPr>
        <w:autoSpaceDE w:val="0"/>
        <w:autoSpaceDN w:val="0"/>
        <w:adjustRightInd w:val="0"/>
        <w:jc w:val="both"/>
        <w:rPr>
          <w:rFonts w:ascii="Arial" w:eastAsiaTheme="minorHAnsi" w:hAnsi="Arial" w:cs="Arial"/>
          <w:color w:val="000000"/>
          <w:sz w:val="23"/>
          <w:szCs w:val="23"/>
        </w:rPr>
      </w:pPr>
      <w:r w:rsidRPr="007371F6">
        <w:rPr>
          <w:rFonts w:ascii="Arial" w:eastAsiaTheme="minorHAnsi" w:hAnsi="Arial" w:cs="Arial"/>
          <w:color w:val="000000"/>
          <w:sz w:val="23"/>
          <w:szCs w:val="23"/>
        </w:rPr>
        <w:t xml:space="preserve">It can be reasonable to interpolate data within the range of the study (concentrations, storage temperatures etc.) as long as consistent results are obtained from the concentrations studied. Extrapolation of data beyond that studied is a risk based process and a good understanding of the drug concerned, its reaction kinetics, its solubility and its ability to adsorb to surfaces are all important considerations that require an expert opinion before a decision is made. Extrapolation to different types of container will require an understanding of the differences in properties between the two containers. Robust change control is required for all changes and extrapolations. </w:t>
      </w:r>
    </w:p>
    <w:p w14:paraId="2B8CDAA0" w14:textId="77777777" w:rsidR="007371F6" w:rsidRPr="007371F6" w:rsidRDefault="007371F6" w:rsidP="00280F75">
      <w:pPr>
        <w:autoSpaceDE w:val="0"/>
        <w:autoSpaceDN w:val="0"/>
        <w:adjustRightInd w:val="0"/>
        <w:jc w:val="both"/>
        <w:rPr>
          <w:rFonts w:ascii="Arial" w:eastAsiaTheme="minorHAnsi" w:hAnsi="Arial" w:cs="Arial"/>
          <w:color w:val="000000"/>
          <w:sz w:val="23"/>
          <w:szCs w:val="23"/>
        </w:rPr>
      </w:pPr>
      <w:r w:rsidRPr="007371F6">
        <w:rPr>
          <w:rFonts w:ascii="Arial" w:eastAsiaTheme="minorHAnsi" w:hAnsi="Arial" w:cs="Arial"/>
          <w:b/>
          <w:bCs/>
          <w:color w:val="000000"/>
          <w:sz w:val="23"/>
          <w:szCs w:val="23"/>
        </w:rPr>
        <w:t xml:space="preserve">Glossary </w:t>
      </w:r>
    </w:p>
    <w:p w14:paraId="7241BB2C" w14:textId="77777777" w:rsidR="007371F6" w:rsidRDefault="007371F6" w:rsidP="00280F75">
      <w:pPr>
        <w:autoSpaceDE w:val="0"/>
        <w:autoSpaceDN w:val="0"/>
        <w:adjustRightInd w:val="0"/>
        <w:jc w:val="both"/>
        <w:rPr>
          <w:rFonts w:ascii="Arial" w:eastAsiaTheme="minorHAnsi" w:hAnsi="Arial" w:cs="Arial"/>
          <w:color w:val="000000"/>
          <w:sz w:val="23"/>
          <w:szCs w:val="23"/>
        </w:rPr>
      </w:pPr>
    </w:p>
    <w:p w14:paraId="55ABECB6" w14:textId="5EB68529" w:rsidR="007371F6" w:rsidRDefault="007371F6" w:rsidP="00280F75">
      <w:pPr>
        <w:autoSpaceDE w:val="0"/>
        <w:autoSpaceDN w:val="0"/>
        <w:adjustRightInd w:val="0"/>
        <w:jc w:val="both"/>
        <w:rPr>
          <w:rFonts w:ascii="Arial" w:eastAsiaTheme="minorHAnsi" w:hAnsi="Arial" w:cs="Arial"/>
          <w:color w:val="000000"/>
          <w:sz w:val="23"/>
          <w:szCs w:val="23"/>
        </w:rPr>
      </w:pPr>
      <w:r w:rsidRPr="007371F6">
        <w:rPr>
          <w:rFonts w:ascii="Arial" w:eastAsiaTheme="minorHAnsi" w:hAnsi="Arial" w:cs="Arial"/>
          <w:color w:val="000000"/>
          <w:sz w:val="23"/>
          <w:szCs w:val="23"/>
        </w:rPr>
        <w:t xml:space="preserve">API - Active Pharmaceutical Ingredient </w:t>
      </w:r>
    </w:p>
    <w:p w14:paraId="1B1F719B" w14:textId="77777777" w:rsidR="007371F6" w:rsidRPr="007371F6" w:rsidRDefault="007371F6" w:rsidP="00280F75">
      <w:pPr>
        <w:autoSpaceDE w:val="0"/>
        <w:autoSpaceDN w:val="0"/>
        <w:adjustRightInd w:val="0"/>
        <w:jc w:val="both"/>
        <w:rPr>
          <w:rFonts w:ascii="Arial" w:eastAsiaTheme="minorHAnsi" w:hAnsi="Arial" w:cs="Arial"/>
          <w:color w:val="000000"/>
          <w:sz w:val="23"/>
          <w:szCs w:val="23"/>
        </w:rPr>
      </w:pPr>
    </w:p>
    <w:p w14:paraId="3FA4F1FC" w14:textId="2055F684" w:rsidR="007371F6" w:rsidRDefault="007371F6" w:rsidP="00280F75">
      <w:pPr>
        <w:autoSpaceDE w:val="0"/>
        <w:autoSpaceDN w:val="0"/>
        <w:adjustRightInd w:val="0"/>
        <w:jc w:val="both"/>
        <w:rPr>
          <w:rFonts w:ascii="Arial" w:eastAsiaTheme="minorHAnsi" w:hAnsi="Arial" w:cs="Arial"/>
          <w:color w:val="000000"/>
          <w:sz w:val="23"/>
          <w:szCs w:val="23"/>
        </w:rPr>
      </w:pPr>
      <w:r w:rsidRPr="007371F6">
        <w:rPr>
          <w:rFonts w:ascii="Arial" w:eastAsiaTheme="minorHAnsi" w:hAnsi="Arial" w:cs="Arial"/>
          <w:color w:val="000000"/>
          <w:sz w:val="23"/>
          <w:szCs w:val="23"/>
        </w:rPr>
        <w:t xml:space="preserve">BP – British Pharmacopoeia </w:t>
      </w:r>
    </w:p>
    <w:p w14:paraId="1CDEEA11" w14:textId="77777777" w:rsidR="007371F6" w:rsidRPr="007371F6" w:rsidRDefault="007371F6" w:rsidP="00280F75">
      <w:pPr>
        <w:autoSpaceDE w:val="0"/>
        <w:autoSpaceDN w:val="0"/>
        <w:adjustRightInd w:val="0"/>
        <w:jc w:val="both"/>
        <w:rPr>
          <w:rFonts w:ascii="Arial" w:eastAsiaTheme="minorHAnsi" w:hAnsi="Arial" w:cs="Arial"/>
          <w:color w:val="000000"/>
          <w:sz w:val="23"/>
          <w:szCs w:val="23"/>
        </w:rPr>
      </w:pPr>
    </w:p>
    <w:p w14:paraId="35E431A8" w14:textId="2EC645EC" w:rsidR="007371F6" w:rsidRDefault="007371F6" w:rsidP="00280F75">
      <w:pPr>
        <w:autoSpaceDE w:val="0"/>
        <w:autoSpaceDN w:val="0"/>
        <w:adjustRightInd w:val="0"/>
        <w:jc w:val="both"/>
        <w:rPr>
          <w:rFonts w:ascii="Arial" w:eastAsiaTheme="minorHAnsi" w:hAnsi="Arial" w:cs="Arial"/>
          <w:color w:val="000000"/>
          <w:sz w:val="23"/>
          <w:szCs w:val="23"/>
        </w:rPr>
      </w:pPr>
      <w:r w:rsidRPr="007371F6">
        <w:rPr>
          <w:rFonts w:ascii="Arial" w:eastAsiaTheme="minorHAnsi" w:hAnsi="Arial" w:cs="Arial"/>
          <w:color w:val="000000"/>
          <w:sz w:val="23"/>
          <w:szCs w:val="23"/>
        </w:rPr>
        <w:t xml:space="preserve">DAD – Diode Array Detector </w:t>
      </w:r>
    </w:p>
    <w:p w14:paraId="07754DF9" w14:textId="77777777" w:rsidR="007371F6" w:rsidRPr="007371F6" w:rsidRDefault="007371F6" w:rsidP="00280F75">
      <w:pPr>
        <w:autoSpaceDE w:val="0"/>
        <w:autoSpaceDN w:val="0"/>
        <w:adjustRightInd w:val="0"/>
        <w:jc w:val="both"/>
        <w:rPr>
          <w:rFonts w:ascii="Arial" w:eastAsiaTheme="minorHAnsi" w:hAnsi="Arial" w:cs="Arial"/>
          <w:color w:val="000000"/>
          <w:sz w:val="23"/>
          <w:szCs w:val="23"/>
        </w:rPr>
      </w:pPr>
    </w:p>
    <w:p w14:paraId="0E51BD18" w14:textId="3A3CF7C3" w:rsidR="007371F6" w:rsidRDefault="007371F6" w:rsidP="00280F75">
      <w:pPr>
        <w:autoSpaceDE w:val="0"/>
        <w:autoSpaceDN w:val="0"/>
        <w:adjustRightInd w:val="0"/>
        <w:jc w:val="both"/>
        <w:rPr>
          <w:rFonts w:ascii="Arial" w:eastAsiaTheme="minorHAnsi" w:hAnsi="Arial" w:cs="Arial"/>
          <w:color w:val="000000"/>
          <w:sz w:val="23"/>
          <w:szCs w:val="23"/>
        </w:rPr>
      </w:pPr>
      <w:r w:rsidRPr="007371F6">
        <w:rPr>
          <w:rFonts w:ascii="Arial" w:eastAsiaTheme="minorHAnsi" w:hAnsi="Arial" w:cs="Arial"/>
          <w:color w:val="000000"/>
          <w:sz w:val="23"/>
          <w:szCs w:val="23"/>
        </w:rPr>
        <w:t xml:space="preserve">EP – European Pharmacopoeia </w:t>
      </w:r>
    </w:p>
    <w:p w14:paraId="4FF9D76B" w14:textId="77777777" w:rsidR="007371F6" w:rsidRPr="007371F6" w:rsidRDefault="007371F6" w:rsidP="00280F75">
      <w:pPr>
        <w:autoSpaceDE w:val="0"/>
        <w:autoSpaceDN w:val="0"/>
        <w:adjustRightInd w:val="0"/>
        <w:jc w:val="both"/>
        <w:rPr>
          <w:rFonts w:ascii="Arial" w:eastAsiaTheme="minorHAnsi" w:hAnsi="Arial" w:cs="Arial"/>
          <w:color w:val="000000"/>
          <w:sz w:val="23"/>
          <w:szCs w:val="23"/>
        </w:rPr>
      </w:pPr>
    </w:p>
    <w:p w14:paraId="70D00AFF" w14:textId="3ECA0D12" w:rsidR="007371F6" w:rsidRDefault="007371F6" w:rsidP="00280F75">
      <w:pPr>
        <w:autoSpaceDE w:val="0"/>
        <w:autoSpaceDN w:val="0"/>
        <w:adjustRightInd w:val="0"/>
        <w:jc w:val="both"/>
        <w:rPr>
          <w:rFonts w:ascii="Arial" w:eastAsiaTheme="minorHAnsi" w:hAnsi="Arial" w:cs="Arial"/>
          <w:color w:val="000000"/>
          <w:sz w:val="23"/>
          <w:szCs w:val="23"/>
        </w:rPr>
      </w:pPr>
      <w:r w:rsidRPr="007371F6">
        <w:rPr>
          <w:rFonts w:ascii="Arial" w:eastAsiaTheme="minorHAnsi" w:hAnsi="Arial" w:cs="Arial"/>
          <w:color w:val="000000"/>
          <w:sz w:val="23"/>
          <w:szCs w:val="23"/>
        </w:rPr>
        <w:t xml:space="preserve">HPLC – High Performance Liquid Chromatography </w:t>
      </w:r>
    </w:p>
    <w:p w14:paraId="68644646" w14:textId="77777777" w:rsidR="007371F6" w:rsidRPr="007371F6" w:rsidRDefault="007371F6" w:rsidP="00280F75">
      <w:pPr>
        <w:autoSpaceDE w:val="0"/>
        <w:autoSpaceDN w:val="0"/>
        <w:adjustRightInd w:val="0"/>
        <w:jc w:val="both"/>
        <w:rPr>
          <w:rFonts w:ascii="Arial" w:eastAsiaTheme="minorHAnsi" w:hAnsi="Arial" w:cs="Arial"/>
          <w:color w:val="000000"/>
          <w:sz w:val="23"/>
          <w:szCs w:val="23"/>
        </w:rPr>
      </w:pPr>
    </w:p>
    <w:p w14:paraId="277399B9" w14:textId="77777777" w:rsidR="007371F6" w:rsidRDefault="007371F6" w:rsidP="00280F75">
      <w:pPr>
        <w:autoSpaceDE w:val="0"/>
        <w:autoSpaceDN w:val="0"/>
        <w:adjustRightInd w:val="0"/>
        <w:jc w:val="both"/>
        <w:rPr>
          <w:rFonts w:ascii="Arial" w:eastAsiaTheme="minorHAnsi" w:hAnsi="Arial" w:cs="Arial"/>
          <w:color w:val="000000"/>
          <w:sz w:val="23"/>
          <w:szCs w:val="23"/>
        </w:rPr>
      </w:pPr>
      <w:r w:rsidRPr="007371F6">
        <w:rPr>
          <w:rFonts w:ascii="Arial" w:eastAsiaTheme="minorHAnsi" w:hAnsi="Arial" w:cs="Arial"/>
          <w:color w:val="000000"/>
          <w:sz w:val="23"/>
          <w:szCs w:val="23"/>
        </w:rPr>
        <w:t xml:space="preserve">ICH - International Conference on Harmonisation of Technical Requirements for </w:t>
      </w:r>
    </w:p>
    <w:p w14:paraId="7842CB33" w14:textId="18DD20EE" w:rsidR="007371F6" w:rsidRDefault="007371F6" w:rsidP="00280F75">
      <w:pPr>
        <w:autoSpaceDE w:val="0"/>
        <w:autoSpaceDN w:val="0"/>
        <w:adjustRightInd w:val="0"/>
        <w:jc w:val="both"/>
        <w:rPr>
          <w:rFonts w:ascii="Arial" w:eastAsiaTheme="minorHAnsi" w:hAnsi="Arial" w:cs="Arial"/>
          <w:color w:val="000000"/>
          <w:sz w:val="23"/>
          <w:szCs w:val="23"/>
        </w:rPr>
      </w:pPr>
      <w:r w:rsidRPr="007371F6">
        <w:rPr>
          <w:rFonts w:ascii="Arial" w:eastAsiaTheme="minorHAnsi" w:hAnsi="Arial" w:cs="Arial"/>
          <w:color w:val="000000"/>
          <w:sz w:val="23"/>
          <w:szCs w:val="23"/>
        </w:rPr>
        <w:t xml:space="preserve">Registration of Pharmaceuticals for Human Use </w:t>
      </w:r>
    </w:p>
    <w:p w14:paraId="76451250" w14:textId="77777777" w:rsidR="007371F6" w:rsidRPr="007371F6" w:rsidRDefault="007371F6" w:rsidP="00280F75">
      <w:pPr>
        <w:autoSpaceDE w:val="0"/>
        <w:autoSpaceDN w:val="0"/>
        <w:adjustRightInd w:val="0"/>
        <w:jc w:val="both"/>
        <w:rPr>
          <w:rFonts w:ascii="Arial" w:eastAsiaTheme="minorHAnsi" w:hAnsi="Arial" w:cs="Arial"/>
          <w:color w:val="000000"/>
          <w:sz w:val="23"/>
          <w:szCs w:val="23"/>
        </w:rPr>
      </w:pPr>
    </w:p>
    <w:p w14:paraId="357A5964" w14:textId="52DC8EAF" w:rsidR="007371F6" w:rsidRDefault="007371F6" w:rsidP="00280F75">
      <w:pPr>
        <w:autoSpaceDE w:val="0"/>
        <w:autoSpaceDN w:val="0"/>
        <w:adjustRightInd w:val="0"/>
        <w:jc w:val="both"/>
        <w:rPr>
          <w:rFonts w:ascii="Arial" w:eastAsiaTheme="minorHAnsi" w:hAnsi="Arial" w:cs="Arial"/>
          <w:color w:val="000000"/>
          <w:sz w:val="23"/>
          <w:szCs w:val="23"/>
        </w:rPr>
      </w:pPr>
      <w:r w:rsidRPr="007371F6">
        <w:rPr>
          <w:rFonts w:ascii="Arial" w:eastAsiaTheme="minorHAnsi" w:hAnsi="Arial" w:cs="Arial"/>
          <w:color w:val="000000"/>
          <w:sz w:val="23"/>
          <w:szCs w:val="23"/>
        </w:rPr>
        <w:t xml:space="preserve">MA - Marketing Authorisation </w:t>
      </w:r>
    </w:p>
    <w:p w14:paraId="725AA0B8" w14:textId="77777777" w:rsidR="007371F6" w:rsidRPr="007371F6" w:rsidRDefault="007371F6" w:rsidP="00280F75">
      <w:pPr>
        <w:autoSpaceDE w:val="0"/>
        <w:autoSpaceDN w:val="0"/>
        <w:adjustRightInd w:val="0"/>
        <w:jc w:val="both"/>
        <w:rPr>
          <w:rFonts w:ascii="Arial" w:eastAsiaTheme="minorHAnsi" w:hAnsi="Arial" w:cs="Arial"/>
          <w:color w:val="000000"/>
          <w:sz w:val="23"/>
          <w:szCs w:val="23"/>
        </w:rPr>
      </w:pPr>
    </w:p>
    <w:p w14:paraId="31C42087" w14:textId="19D4A82F" w:rsidR="007371F6" w:rsidRDefault="007371F6" w:rsidP="00280F75">
      <w:pPr>
        <w:autoSpaceDE w:val="0"/>
        <w:autoSpaceDN w:val="0"/>
        <w:adjustRightInd w:val="0"/>
        <w:jc w:val="both"/>
        <w:rPr>
          <w:rFonts w:ascii="Arial" w:eastAsiaTheme="minorHAnsi" w:hAnsi="Arial" w:cs="Arial"/>
          <w:color w:val="000000"/>
          <w:sz w:val="23"/>
          <w:szCs w:val="23"/>
        </w:rPr>
      </w:pPr>
      <w:r w:rsidRPr="007371F6">
        <w:rPr>
          <w:rFonts w:ascii="Arial" w:eastAsiaTheme="minorHAnsi" w:hAnsi="Arial" w:cs="Arial"/>
          <w:color w:val="000000"/>
          <w:sz w:val="23"/>
          <w:szCs w:val="23"/>
        </w:rPr>
        <w:t xml:space="preserve">MS – Mass Spectrometry </w:t>
      </w:r>
    </w:p>
    <w:p w14:paraId="0E44D7F0" w14:textId="77777777" w:rsidR="007371F6" w:rsidRPr="007371F6" w:rsidRDefault="007371F6" w:rsidP="00280F75">
      <w:pPr>
        <w:autoSpaceDE w:val="0"/>
        <w:autoSpaceDN w:val="0"/>
        <w:adjustRightInd w:val="0"/>
        <w:jc w:val="both"/>
        <w:rPr>
          <w:rFonts w:ascii="Arial" w:eastAsiaTheme="minorHAnsi" w:hAnsi="Arial" w:cs="Arial"/>
          <w:color w:val="000000"/>
          <w:sz w:val="23"/>
          <w:szCs w:val="23"/>
        </w:rPr>
      </w:pPr>
    </w:p>
    <w:p w14:paraId="4C20B4A8" w14:textId="021CC2E5" w:rsidR="007371F6" w:rsidRDefault="007371F6" w:rsidP="00280F75">
      <w:pPr>
        <w:autoSpaceDE w:val="0"/>
        <w:autoSpaceDN w:val="0"/>
        <w:adjustRightInd w:val="0"/>
        <w:jc w:val="both"/>
        <w:rPr>
          <w:rFonts w:ascii="Arial" w:eastAsiaTheme="minorHAnsi" w:hAnsi="Arial" w:cs="Arial"/>
          <w:color w:val="000000"/>
          <w:sz w:val="23"/>
          <w:szCs w:val="23"/>
        </w:rPr>
      </w:pPr>
      <w:r w:rsidRPr="007371F6">
        <w:rPr>
          <w:rFonts w:ascii="Arial" w:eastAsiaTheme="minorHAnsi" w:hAnsi="Arial" w:cs="Arial"/>
          <w:color w:val="000000"/>
          <w:sz w:val="23"/>
          <w:szCs w:val="23"/>
        </w:rPr>
        <w:t xml:space="preserve">SmPC - Summary of Product Characteristics </w:t>
      </w:r>
    </w:p>
    <w:p w14:paraId="246D8137" w14:textId="77777777" w:rsidR="007371F6" w:rsidRPr="007371F6" w:rsidRDefault="007371F6" w:rsidP="00280F75">
      <w:pPr>
        <w:autoSpaceDE w:val="0"/>
        <w:autoSpaceDN w:val="0"/>
        <w:adjustRightInd w:val="0"/>
        <w:jc w:val="both"/>
        <w:rPr>
          <w:rFonts w:ascii="Arial" w:eastAsiaTheme="minorHAnsi" w:hAnsi="Arial" w:cs="Arial"/>
          <w:color w:val="000000"/>
          <w:sz w:val="23"/>
          <w:szCs w:val="23"/>
        </w:rPr>
      </w:pPr>
    </w:p>
    <w:p w14:paraId="1245015A" w14:textId="16B3A5CE" w:rsidR="007371F6" w:rsidRDefault="007371F6" w:rsidP="00280F75">
      <w:pPr>
        <w:jc w:val="both"/>
        <w:rPr>
          <w:rFonts w:ascii="Arial" w:eastAsiaTheme="minorHAnsi" w:hAnsi="Arial" w:cs="Arial"/>
          <w:color w:val="000000"/>
          <w:sz w:val="23"/>
          <w:szCs w:val="23"/>
        </w:rPr>
      </w:pPr>
      <w:r w:rsidRPr="007371F6">
        <w:rPr>
          <w:rFonts w:ascii="Arial" w:eastAsiaTheme="minorHAnsi" w:hAnsi="Arial" w:cs="Arial"/>
          <w:color w:val="000000"/>
          <w:sz w:val="23"/>
          <w:szCs w:val="23"/>
        </w:rPr>
        <w:t>UHPLC – Ultra High Performance Liquid Chromatography</w:t>
      </w:r>
    </w:p>
    <w:p w14:paraId="04EC9F90" w14:textId="04B214FC" w:rsidR="007371F6" w:rsidRPr="007371F6" w:rsidRDefault="007371F6" w:rsidP="00280F75">
      <w:pPr>
        <w:jc w:val="both"/>
        <w:rPr>
          <w:rFonts w:ascii="Arial" w:hAnsi="Arial" w:cs="Arial"/>
        </w:rPr>
      </w:pPr>
    </w:p>
    <w:p w14:paraId="3EDBA777" w14:textId="0BB4689C" w:rsidR="007371F6" w:rsidRDefault="007371F6" w:rsidP="00280F75">
      <w:pPr>
        <w:jc w:val="both"/>
        <w:rPr>
          <w:rFonts w:ascii="Arial" w:eastAsiaTheme="minorHAnsi" w:hAnsi="Arial" w:cs="Arial"/>
          <w:color w:val="000000"/>
          <w:sz w:val="23"/>
          <w:szCs w:val="23"/>
        </w:rPr>
      </w:pPr>
    </w:p>
    <w:p w14:paraId="231DDD20" w14:textId="549948A0" w:rsidR="007371F6" w:rsidRDefault="007371F6" w:rsidP="00280F75">
      <w:pPr>
        <w:jc w:val="both"/>
        <w:rPr>
          <w:rFonts w:ascii="Arial" w:hAnsi="Arial" w:cs="Arial"/>
          <w:sz w:val="23"/>
          <w:szCs w:val="23"/>
        </w:rPr>
      </w:pPr>
      <w:r w:rsidRPr="007371F6">
        <w:rPr>
          <w:rFonts w:ascii="Arial" w:hAnsi="Arial" w:cs="Arial"/>
          <w:sz w:val="23"/>
          <w:szCs w:val="23"/>
        </w:rPr>
        <w:t>UV - Ultra-violet</w:t>
      </w:r>
    </w:p>
    <w:p w14:paraId="1783FCB7" w14:textId="3D82C31C" w:rsidR="0065532E" w:rsidRPr="0065532E" w:rsidRDefault="0065532E" w:rsidP="00280F75">
      <w:pPr>
        <w:jc w:val="both"/>
        <w:rPr>
          <w:rFonts w:ascii="Arial" w:hAnsi="Arial" w:cs="Arial"/>
        </w:rPr>
      </w:pPr>
    </w:p>
    <w:p w14:paraId="3E91D4E9" w14:textId="7BA1D2E5" w:rsidR="0065532E" w:rsidRDefault="0065532E" w:rsidP="00280F75">
      <w:pPr>
        <w:jc w:val="both"/>
        <w:rPr>
          <w:rFonts w:ascii="Arial" w:hAnsi="Arial" w:cs="Arial"/>
          <w:sz w:val="23"/>
          <w:szCs w:val="23"/>
        </w:rPr>
      </w:pPr>
    </w:p>
    <w:p w14:paraId="31647E76" w14:textId="77777777" w:rsidR="0065532E" w:rsidRPr="0065532E" w:rsidRDefault="0065532E" w:rsidP="00280F75">
      <w:pPr>
        <w:autoSpaceDE w:val="0"/>
        <w:autoSpaceDN w:val="0"/>
        <w:adjustRightInd w:val="0"/>
        <w:jc w:val="both"/>
        <w:rPr>
          <w:rFonts w:ascii="Arial" w:eastAsiaTheme="minorHAnsi" w:hAnsi="Arial" w:cs="Arial"/>
          <w:color w:val="000000"/>
          <w:sz w:val="23"/>
          <w:szCs w:val="23"/>
          <w:u w:val="single"/>
        </w:rPr>
      </w:pPr>
      <w:r w:rsidRPr="0065532E">
        <w:rPr>
          <w:rFonts w:ascii="Arial" w:eastAsiaTheme="minorHAnsi" w:hAnsi="Arial" w:cs="Arial"/>
          <w:b/>
          <w:bCs/>
          <w:color w:val="000000"/>
          <w:sz w:val="23"/>
          <w:szCs w:val="23"/>
          <w:u w:val="single"/>
        </w:rPr>
        <w:t xml:space="preserve">References </w:t>
      </w:r>
    </w:p>
    <w:p w14:paraId="0B359143" w14:textId="77777777" w:rsidR="0065532E" w:rsidRDefault="0065532E" w:rsidP="00280F75">
      <w:pPr>
        <w:jc w:val="both"/>
        <w:rPr>
          <w:rFonts w:ascii="Arial" w:eastAsiaTheme="minorHAnsi" w:hAnsi="Arial" w:cs="Arial"/>
          <w:color w:val="000000"/>
          <w:sz w:val="23"/>
          <w:szCs w:val="23"/>
        </w:rPr>
      </w:pPr>
    </w:p>
    <w:p w14:paraId="0A249CBF" w14:textId="35CBD3BD" w:rsidR="0065532E" w:rsidRDefault="0065532E" w:rsidP="00280F75">
      <w:pPr>
        <w:jc w:val="both"/>
        <w:rPr>
          <w:rStyle w:val="Hyperlink"/>
          <w:rFonts w:ascii="Arial" w:eastAsiaTheme="minorHAnsi" w:hAnsi="Arial" w:cs="Arial"/>
          <w:sz w:val="23"/>
          <w:szCs w:val="23"/>
        </w:rPr>
      </w:pPr>
      <w:r w:rsidRPr="0065532E">
        <w:rPr>
          <w:rFonts w:ascii="Arial" w:eastAsiaTheme="minorHAnsi" w:hAnsi="Arial" w:cs="Arial"/>
          <w:color w:val="000000"/>
          <w:sz w:val="23"/>
          <w:szCs w:val="23"/>
        </w:rPr>
        <w:t xml:space="preserve">1. A Standard Protocol for Deriving and Assessment of Stability: Part 2 - Aseptic Preparations (Biopharmaceuticals) – NHS Pharmaceutical Quality Assurance Committee. </w:t>
      </w:r>
      <w:hyperlink r:id="rId17" w:history="1">
        <w:r w:rsidRPr="0065532E">
          <w:rPr>
            <w:rStyle w:val="Hyperlink"/>
            <w:rFonts w:ascii="Arial" w:eastAsiaTheme="minorHAnsi" w:hAnsi="Arial" w:cs="Arial"/>
            <w:sz w:val="23"/>
            <w:szCs w:val="23"/>
          </w:rPr>
          <w:t>www.medicinesresources.nhs.uk/en/Communities/NHS/UKQAInfoZone</w:t>
        </w:r>
      </w:hyperlink>
    </w:p>
    <w:p w14:paraId="161ACD6D" w14:textId="1D478094" w:rsidR="00F2005F" w:rsidRPr="00F2005F" w:rsidRDefault="00F2005F" w:rsidP="00280F75">
      <w:pPr>
        <w:jc w:val="both"/>
        <w:rPr>
          <w:rFonts w:ascii="Arial" w:hAnsi="Arial" w:cs="Arial"/>
        </w:rPr>
      </w:pPr>
    </w:p>
    <w:p w14:paraId="5B1C6729" w14:textId="6BAE6EFA" w:rsidR="00F2005F" w:rsidRDefault="00F2005F" w:rsidP="00280F75">
      <w:pPr>
        <w:jc w:val="both"/>
        <w:rPr>
          <w:rStyle w:val="Hyperlink"/>
          <w:rFonts w:ascii="Arial" w:eastAsiaTheme="minorHAnsi" w:hAnsi="Arial" w:cs="Arial"/>
          <w:sz w:val="23"/>
          <w:szCs w:val="23"/>
        </w:rPr>
      </w:pPr>
    </w:p>
    <w:p w14:paraId="4AA3CF24" w14:textId="77777777" w:rsidR="00F2005F" w:rsidRPr="00F2005F" w:rsidRDefault="00F2005F" w:rsidP="00280F75">
      <w:pPr>
        <w:autoSpaceDE w:val="0"/>
        <w:autoSpaceDN w:val="0"/>
        <w:adjustRightInd w:val="0"/>
        <w:jc w:val="both"/>
        <w:rPr>
          <w:rFonts w:ascii="Arial" w:eastAsiaTheme="minorHAnsi" w:hAnsi="Arial" w:cs="Arial"/>
          <w:color w:val="000000"/>
          <w:sz w:val="23"/>
          <w:szCs w:val="23"/>
        </w:rPr>
      </w:pPr>
      <w:r w:rsidRPr="00F2005F">
        <w:rPr>
          <w:rFonts w:ascii="Arial" w:eastAsiaTheme="minorHAnsi" w:hAnsi="Arial" w:cs="Arial"/>
          <w:color w:val="000000"/>
          <w:sz w:val="23"/>
          <w:szCs w:val="23"/>
        </w:rPr>
        <w:t xml:space="preserve">2.NPSA Patient Safety alert 20 (28 March 2007) – Promoting Safer Use of Injectable </w:t>
      </w:r>
    </w:p>
    <w:p w14:paraId="094E7824" w14:textId="0F876155" w:rsidR="00F2005F" w:rsidRDefault="00F2005F" w:rsidP="00280F75">
      <w:pPr>
        <w:autoSpaceDE w:val="0"/>
        <w:autoSpaceDN w:val="0"/>
        <w:adjustRightInd w:val="0"/>
        <w:jc w:val="both"/>
        <w:rPr>
          <w:rFonts w:ascii="Arial" w:eastAsiaTheme="minorHAnsi" w:hAnsi="Arial" w:cs="Arial"/>
          <w:color w:val="000000"/>
          <w:sz w:val="23"/>
          <w:szCs w:val="23"/>
        </w:rPr>
      </w:pPr>
      <w:r w:rsidRPr="00F2005F">
        <w:rPr>
          <w:rFonts w:ascii="Arial" w:eastAsiaTheme="minorHAnsi" w:hAnsi="Arial" w:cs="Arial"/>
          <w:color w:val="000000"/>
          <w:sz w:val="23"/>
          <w:szCs w:val="23"/>
        </w:rPr>
        <w:t xml:space="preserve">Medicines. </w:t>
      </w:r>
      <w:hyperlink r:id="rId18" w:history="1">
        <w:r w:rsidRPr="00F2005F">
          <w:rPr>
            <w:rStyle w:val="Hyperlink"/>
            <w:rFonts w:ascii="Arial" w:eastAsiaTheme="minorHAnsi" w:hAnsi="Arial" w:cs="Arial"/>
            <w:sz w:val="23"/>
            <w:szCs w:val="23"/>
          </w:rPr>
          <w:t>www.nrls.npsa.nhs.uk/resources/?entryid45=59812</w:t>
        </w:r>
      </w:hyperlink>
      <w:r w:rsidRPr="00F2005F">
        <w:rPr>
          <w:rFonts w:ascii="Arial" w:eastAsiaTheme="minorHAnsi" w:hAnsi="Arial" w:cs="Arial"/>
          <w:color w:val="000000"/>
          <w:sz w:val="23"/>
          <w:szCs w:val="23"/>
        </w:rPr>
        <w:t xml:space="preserve"> </w:t>
      </w:r>
    </w:p>
    <w:p w14:paraId="5169BD91" w14:textId="6FFEFF3F" w:rsidR="00FE60EB" w:rsidRPr="00FE60EB" w:rsidRDefault="00F2005F" w:rsidP="00280F75">
      <w:pPr>
        <w:pStyle w:val="ListParagraph"/>
        <w:numPr>
          <w:ilvl w:val="0"/>
          <w:numId w:val="11"/>
        </w:numPr>
        <w:autoSpaceDE w:val="0"/>
        <w:autoSpaceDN w:val="0"/>
        <w:adjustRightInd w:val="0"/>
        <w:jc w:val="both"/>
        <w:rPr>
          <w:rFonts w:ascii="Arial" w:eastAsiaTheme="minorHAnsi" w:hAnsi="Arial" w:cs="Arial"/>
          <w:color w:val="000000"/>
          <w:sz w:val="23"/>
          <w:szCs w:val="23"/>
        </w:rPr>
      </w:pPr>
      <w:r w:rsidRPr="00FE60EB">
        <w:rPr>
          <w:rFonts w:ascii="Arial" w:eastAsiaTheme="minorHAnsi" w:hAnsi="Arial" w:cs="Arial"/>
          <w:color w:val="000000"/>
          <w:sz w:val="23"/>
          <w:szCs w:val="23"/>
        </w:rPr>
        <w:lastRenderedPageBreak/>
        <w:t xml:space="preserve">Guidance on the Validation of Pharmaceutical Quality Control Analytical Methods - NHS Pharmaceutical Quality Assurance Committee March 2005. </w:t>
      </w:r>
      <w:hyperlink r:id="rId19" w:history="1">
        <w:r w:rsidR="00FE60EB" w:rsidRPr="002317EE">
          <w:rPr>
            <w:rStyle w:val="Hyperlink"/>
            <w:rFonts w:ascii="Arial" w:eastAsiaTheme="minorHAnsi" w:hAnsi="Arial" w:cs="Arial"/>
            <w:sz w:val="23"/>
            <w:szCs w:val="23"/>
          </w:rPr>
          <w:t>www.medicinesresources.nhs.uk/en/Communities/NHS/UKQAInfoZone</w:t>
        </w:r>
      </w:hyperlink>
    </w:p>
    <w:p w14:paraId="2263AB50" w14:textId="1135A0E2" w:rsidR="00F2005F" w:rsidRPr="00FE60EB" w:rsidRDefault="00F2005F" w:rsidP="00280F75">
      <w:pPr>
        <w:pStyle w:val="ListParagraph"/>
        <w:autoSpaceDE w:val="0"/>
        <w:autoSpaceDN w:val="0"/>
        <w:adjustRightInd w:val="0"/>
        <w:ind w:left="360"/>
        <w:jc w:val="both"/>
        <w:rPr>
          <w:rFonts w:ascii="Arial" w:eastAsiaTheme="minorHAnsi" w:hAnsi="Arial" w:cs="Arial"/>
          <w:color w:val="000000"/>
          <w:sz w:val="23"/>
          <w:szCs w:val="23"/>
        </w:rPr>
      </w:pPr>
      <w:r w:rsidRPr="00FE60EB">
        <w:rPr>
          <w:rFonts w:ascii="Arial" w:eastAsiaTheme="minorHAnsi" w:hAnsi="Arial" w:cs="Arial"/>
          <w:color w:val="000000"/>
          <w:sz w:val="23"/>
          <w:szCs w:val="23"/>
        </w:rPr>
        <w:t xml:space="preserve"> </w:t>
      </w:r>
    </w:p>
    <w:p w14:paraId="369C68F4" w14:textId="6DE436AB" w:rsidR="00FE60EB" w:rsidRDefault="00F2005F" w:rsidP="00280F75">
      <w:pPr>
        <w:pStyle w:val="ListParagraph"/>
        <w:numPr>
          <w:ilvl w:val="0"/>
          <w:numId w:val="11"/>
        </w:numPr>
        <w:autoSpaceDE w:val="0"/>
        <w:autoSpaceDN w:val="0"/>
        <w:adjustRightInd w:val="0"/>
        <w:jc w:val="both"/>
        <w:rPr>
          <w:rFonts w:ascii="Arial" w:eastAsiaTheme="minorHAnsi" w:hAnsi="Arial" w:cs="Arial"/>
          <w:color w:val="000000"/>
          <w:sz w:val="23"/>
          <w:szCs w:val="23"/>
        </w:rPr>
      </w:pPr>
      <w:r w:rsidRPr="00FE60EB">
        <w:rPr>
          <w:rFonts w:ascii="Arial" w:eastAsiaTheme="minorHAnsi" w:hAnsi="Arial" w:cs="Arial"/>
          <w:color w:val="000000"/>
          <w:sz w:val="23"/>
          <w:szCs w:val="23"/>
        </w:rPr>
        <w:t xml:space="preserve">ICH Q2(R1) Validation of Analytical Procedures: Methodology </w:t>
      </w:r>
      <w:hyperlink r:id="rId20" w:history="1">
        <w:r w:rsidR="00FE60EB" w:rsidRPr="002317EE">
          <w:rPr>
            <w:rStyle w:val="Hyperlink"/>
            <w:rFonts w:ascii="Arial" w:eastAsiaTheme="minorHAnsi" w:hAnsi="Arial" w:cs="Arial"/>
            <w:sz w:val="23"/>
            <w:szCs w:val="23"/>
          </w:rPr>
          <w:t>www.ich.org/products/guidelines.html</w:t>
        </w:r>
      </w:hyperlink>
    </w:p>
    <w:p w14:paraId="64AFD24F" w14:textId="335A250C" w:rsidR="00F2005F" w:rsidRPr="00CE1D87" w:rsidRDefault="00F2005F" w:rsidP="00CE1D87">
      <w:pPr>
        <w:autoSpaceDE w:val="0"/>
        <w:autoSpaceDN w:val="0"/>
        <w:adjustRightInd w:val="0"/>
        <w:jc w:val="both"/>
        <w:rPr>
          <w:rFonts w:ascii="Arial" w:eastAsiaTheme="minorHAnsi" w:hAnsi="Arial" w:cs="Arial"/>
          <w:color w:val="000000"/>
          <w:sz w:val="23"/>
          <w:szCs w:val="23"/>
        </w:rPr>
      </w:pPr>
    </w:p>
    <w:p w14:paraId="48240E05" w14:textId="77777777" w:rsidR="00F2005F" w:rsidRPr="00F2005F" w:rsidRDefault="00F2005F" w:rsidP="00CE1D87">
      <w:pPr>
        <w:autoSpaceDE w:val="0"/>
        <w:autoSpaceDN w:val="0"/>
        <w:adjustRightInd w:val="0"/>
        <w:jc w:val="both"/>
        <w:rPr>
          <w:rFonts w:ascii="Arial" w:eastAsiaTheme="minorHAnsi" w:hAnsi="Arial" w:cs="Arial"/>
          <w:color w:val="000000"/>
          <w:sz w:val="23"/>
          <w:szCs w:val="23"/>
        </w:rPr>
      </w:pPr>
      <w:r w:rsidRPr="00F2005F">
        <w:rPr>
          <w:rFonts w:ascii="Arial" w:eastAsiaTheme="minorHAnsi" w:hAnsi="Arial" w:cs="Arial"/>
          <w:color w:val="000000"/>
          <w:sz w:val="23"/>
          <w:szCs w:val="23"/>
        </w:rPr>
        <w:t>5. Microbiological protocol for the integrity testing of syringes - NHS Pharmaceutical Quality Assurance Committee, 2</w:t>
      </w:r>
      <w:r w:rsidRPr="00F2005F">
        <w:rPr>
          <w:rFonts w:ascii="Arial" w:eastAsiaTheme="minorHAnsi" w:hAnsi="Arial" w:cs="Arial"/>
          <w:color w:val="000000"/>
          <w:sz w:val="16"/>
          <w:szCs w:val="16"/>
        </w:rPr>
        <w:t xml:space="preserve">nd </w:t>
      </w:r>
      <w:r w:rsidRPr="00F2005F">
        <w:rPr>
          <w:rFonts w:ascii="Arial" w:eastAsiaTheme="minorHAnsi" w:hAnsi="Arial" w:cs="Arial"/>
          <w:color w:val="000000"/>
          <w:sz w:val="23"/>
          <w:szCs w:val="23"/>
        </w:rPr>
        <w:t xml:space="preserve">edition April 2013. </w:t>
      </w:r>
    </w:p>
    <w:p w14:paraId="05E893C4" w14:textId="71BD47AA" w:rsidR="00033083" w:rsidRPr="00033083" w:rsidRDefault="0055337C" w:rsidP="00280F75">
      <w:pPr>
        <w:autoSpaceDE w:val="0"/>
        <w:autoSpaceDN w:val="0"/>
        <w:adjustRightInd w:val="0"/>
        <w:jc w:val="both"/>
        <w:rPr>
          <w:rFonts w:ascii="Arial" w:hAnsi="Arial" w:cs="Arial"/>
          <w:sz w:val="23"/>
          <w:szCs w:val="23"/>
        </w:rPr>
      </w:pPr>
      <w:hyperlink r:id="rId21" w:history="1">
        <w:r w:rsidR="00033083" w:rsidRPr="002317EE">
          <w:rPr>
            <w:rStyle w:val="Hyperlink"/>
            <w:rFonts w:ascii="Arial" w:hAnsi="Arial" w:cs="Arial"/>
            <w:sz w:val="23"/>
            <w:szCs w:val="23"/>
          </w:rPr>
          <w:t>www.medicinesresources.nhs.uk/en/Communities/NHS/UKQAInfoZone</w:t>
        </w:r>
      </w:hyperlink>
    </w:p>
    <w:p w14:paraId="6D6B3E57" w14:textId="77777777" w:rsidR="00033083" w:rsidRDefault="00033083" w:rsidP="00280F75">
      <w:pPr>
        <w:autoSpaceDE w:val="0"/>
        <w:autoSpaceDN w:val="0"/>
        <w:adjustRightInd w:val="0"/>
        <w:jc w:val="both"/>
        <w:rPr>
          <w:rFonts w:ascii="Arial" w:eastAsiaTheme="minorHAnsi" w:hAnsi="Arial" w:cs="Arial"/>
          <w:color w:val="000000"/>
          <w:sz w:val="23"/>
          <w:szCs w:val="23"/>
        </w:rPr>
      </w:pPr>
    </w:p>
    <w:p w14:paraId="2885B0CD" w14:textId="60CD3790" w:rsidR="00F2005F" w:rsidRPr="00FE60EB" w:rsidRDefault="00FE60EB" w:rsidP="00280F75">
      <w:pPr>
        <w:autoSpaceDE w:val="0"/>
        <w:autoSpaceDN w:val="0"/>
        <w:adjustRightInd w:val="0"/>
        <w:jc w:val="both"/>
        <w:rPr>
          <w:rFonts w:ascii="Arial" w:eastAsiaTheme="minorHAnsi" w:hAnsi="Arial" w:cs="Arial"/>
          <w:color w:val="000000"/>
          <w:sz w:val="23"/>
          <w:szCs w:val="23"/>
        </w:rPr>
      </w:pPr>
      <w:r>
        <w:rPr>
          <w:rFonts w:ascii="Arial" w:eastAsiaTheme="minorHAnsi" w:hAnsi="Arial" w:cs="Arial"/>
          <w:color w:val="000000"/>
          <w:sz w:val="23"/>
          <w:szCs w:val="23"/>
        </w:rPr>
        <w:t xml:space="preserve">6. </w:t>
      </w:r>
      <w:r w:rsidR="00F2005F" w:rsidRPr="00FE60EB">
        <w:rPr>
          <w:rFonts w:ascii="Arial" w:eastAsiaTheme="minorHAnsi" w:hAnsi="Arial" w:cs="Arial"/>
          <w:color w:val="000000"/>
          <w:sz w:val="23"/>
          <w:szCs w:val="23"/>
        </w:rPr>
        <w:t xml:space="preserve">British Pharmacopoeia 2019 Appendix XIX G Sterile Single-use Plastic Syringes (Ph. Eur. method 3.2.8). </w:t>
      </w:r>
    </w:p>
    <w:p w14:paraId="12E5F6B4" w14:textId="77777777" w:rsidR="00FE60EB" w:rsidRPr="00FE60EB" w:rsidRDefault="00FE60EB" w:rsidP="00280F75">
      <w:pPr>
        <w:pStyle w:val="ListParagraph"/>
        <w:autoSpaceDE w:val="0"/>
        <w:autoSpaceDN w:val="0"/>
        <w:adjustRightInd w:val="0"/>
        <w:ind w:left="360"/>
        <w:jc w:val="both"/>
        <w:rPr>
          <w:rFonts w:ascii="Arial" w:eastAsiaTheme="minorHAnsi" w:hAnsi="Arial" w:cs="Arial"/>
          <w:color w:val="000000"/>
          <w:sz w:val="23"/>
          <w:szCs w:val="23"/>
        </w:rPr>
      </w:pPr>
    </w:p>
    <w:p w14:paraId="2BDC6504" w14:textId="3F956CF3" w:rsidR="00F2005F" w:rsidRPr="00FE60EB" w:rsidRDefault="00F2005F" w:rsidP="00280F75">
      <w:pPr>
        <w:autoSpaceDE w:val="0"/>
        <w:autoSpaceDN w:val="0"/>
        <w:adjustRightInd w:val="0"/>
        <w:jc w:val="both"/>
        <w:rPr>
          <w:rFonts w:ascii="Arial" w:eastAsiaTheme="minorHAnsi" w:hAnsi="Arial" w:cs="Arial"/>
          <w:color w:val="000000"/>
          <w:sz w:val="23"/>
          <w:szCs w:val="23"/>
        </w:rPr>
      </w:pPr>
      <w:r w:rsidRPr="00FE60EB">
        <w:rPr>
          <w:rFonts w:ascii="Arial" w:eastAsiaTheme="minorHAnsi" w:hAnsi="Arial" w:cs="Arial"/>
          <w:color w:val="000000"/>
          <w:sz w:val="23"/>
          <w:szCs w:val="23"/>
        </w:rPr>
        <w:t xml:space="preserve">National collated data from syringe integrity testing – NHS Pharmaceutical R&amp;D Group. </w:t>
      </w:r>
      <w:hyperlink r:id="rId22" w:history="1">
        <w:r w:rsidR="00FE60EB" w:rsidRPr="00FE60EB">
          <w:rPr>
            <w:rStyle w:val="Hyperlink"/>
            <w:rFonts w:ascii="Arial" w:eastAsiaTheme="minorHAnsi" w:hAnsi="Arial" w:cs="Arial"/>
            <w:sz w:val="23"/>
            <w:szCs w:val="23"/>
          </w:rPr>
          <w:t>www.qcnw.nhs.uk</w:t>
        </w:r>
      </w:hyperlink>
      <w:r w:rsidRPr="00FE60EB">
        <w:rPr>
          <w:rFonts w:ascii="Arial" w:eastAsiaTheme="minorHAnsi" w:hAnsi="Arial" w:cs="Arial"/>
          <w:color w:val="000000"/>
          <w:sz w:val="23"/>
          <w:szCs w:val="23"/>
        </w:rPr>
        <w:t xml:space="preserve"> </w:t>
      </w:r>
    </w:p>
    <w:p w14:paraId="71C9A5DE" w14:textId="77777777" w:rsidR="00FE60EB" w:rsidRPr="00FE60EB" w:rsidRDefault="00FE60EB" w:rsidP="00280F75">
      <w:pPr>
        <w:pStyle w:val="ListParagraph"/>
        <w:autoSpaceDE w:val="0"/>
        <w:autoSpaceDN w:val="0"/>
        <w:adjustRightInd w:val="0"/>
        <w:jc w:val="both"/>
        <w:rPr>
          <w:rFonts w:ascii="Arial" w:eastAsiaTheme="minorHAnsi" w:hAnsi="Arial" w:cs="Arial"/>
          <w:color w:val="000000"/>
          <w:sz w:val="23"/>
          <w:szCs w:val="23"/>
        </w:rPr>
      </w:pPr>
    </w:p>
    <w:p w14:paraId="5E927EAB" w14:textId="77777777" w:rsidR="00033083" w:rsidRDefault="00F2005F" w:rsidP="00280F75">
      <w:pPr>
        <w:autoSpaceDE w:val="0"/>
        <w:autoSpaceDN w:val="0"/>
        <w:adjustRightInd w:val="0"/>
        <w:jc w:val="both"/>
        <w:rPr>
          <w:rFonts w:ascii="Arial" w:eastAsiaTheme="minorHAnsi" w:hAnsi="Arial" w:cs="Arial"/>
          <w:color w:val="000000"/>
          <w:sz w:val="23"/>
          <w:szCs w:val="23"/>
        </w:rPr>
      </w:pPr>
      <w:r w:rsidRPr="00F2005F">
        <w:rPr>
          <w:rFonts w:ascii="Arial" w:eastAsiaTheme="minorHAnsi" w:hAnsi="Arial" w:cs="Arial"/>
          <w:color w:val="000000"/>
          <w:sz w:val="23"/>
          <w:szCs w:val="23"/>
        </w:rPr>
        <w:t>8. BD Plastipak Field Safety Notice MS-15-637-FA (issued 28</w:t>
      </w:r>
      <w:r w:rsidRPr="00F2005F">
        <w:rPr>
          <w:rFonts w:ascii="Arial" w:eastAsiaTheme="minorHAnsi" w:hAnsi="Arial" w:cs="Arial"/>
          <w:color w:val="000000"/>
          <w:sz w:val="16"/>
          <w:szCs w:val="16"/>
        </w:rPr>
        <w:t xml:space="preserve">th </w:t>
      </w:r>
      <w:r w:rsidRPr="00F2005F">
        <w:rPr>
          <w:rFonts w:ascii="Arial" w:eastAsiaTheme="minorHAnsi" w:hAnsi="Arial" w:cs="Arial"/>
          <w:color w:val="000000"/>
          <w:sz w:val="23"/>
          <w:szCs w:val="23"/>
        </w:rPr>
        <w:t xml:space="preserve">September 2015) </w:t>
      </w:r>
    </w:p>
    <w:p w14:paraId="411C1B4D" w14:textId="1276471A" w:rsidR="00F2005F" w:rsidRPr="00F2005F" w:rsidRDefault="00033083" w:rsidP="00280F75">
      <w:pPr>
        <w:autoSpaceDE w:val="0"/>
        <w:autoSpaceDN w:val="0"/>
        <w:adjustRightInd w:val="0"/>
        <w:jc w:val="both"/>
        <w:rPr>
          <w:rFonts w:ascii="Arial" w:eastAsiaTheme="minorHAnsi" w:hAnsi="Arial" w:cs="Arial"/>
          <w:color w:val="000000"/>
          <w:sz w:val="23"/>
          <w:szCs w:val="23"/>
        </w:rPr>
      </w:pPr>
      <w:r>
        <w:rPr>
          <w:rFonts w:ascii="Arial" w:eastAsiaTheme="minorHAnsi" w:hAnsi="Arial" w:cs="Arial"/>
          <w:color w:val="000000"/>
          <w:sz w:val="23"/>
          <w:szCs w:val="23"/>
        </w:rPr>
        <w:t xml:space="preserve"> </w:t>
      </w:r>
    </w:p>
    <w:p w14:paraId="6E50326F" w14:textId="3512583D" w:rsidR="00F2005F" w:rsidRDefault="00F2005F" w:rsidP="00280F75">
      <w:pPr>
        <w:autoSpaceDE w:val="0"/>
        <w:autoSpaceDN w:val="0"/>
        <w:adjustRightInd w:val="0"/>
        <w:jc w:val="both"/>
        <w:rPr>
          <w:rFonts w:ascii="Arial" w:eastAsiaTheme="minorHAnsi" w:hAnsi="Arial" w:cs="Arial"/>
          <w:color w:val="000000"/>
          <w:sz w:val="23"/>
          <w:szCs w:val="23"/>
        </w:rPr>
      </w:pPr>
      <w:r w:rsidRPr="00F2005F">
        <w:rPr>
          <w:rFonts w:ascii="Arial" w:eastAsiaTheme="minorHAnsi" w:hAnsi="Arial" w:cs="Arial"/>
          <w:color w:val="000000"/>
          <w:sz w:val="23"/>
          <w:szCs w:val="23"/>
        </w:rPr>
        <w:t xml:space="preserve">9.Farwell J. Aseptic Dispensing for NHS Patients (The Farwell Report) Department of Health 1995. </w:t>
      </w:r>
    </w:p>
    <w:p w14:paraId="1BCFE824" w14:textId="77777777" w:rsidR="00033083" w:rsidRPr="00F2005F" w:rsidRDefault="00033083" w:rsidP="00280F75">
      <w:pPr>
        <w:autoSpaceDE w:val="0"/>
        <w:autoSpaceDN w:val="0"/>
        <w:adjustRightInd w:val="0"/>
        <w:jc w:val="both"/>
        <w:rPr>
          <w:rFonts w:ascii="Arial" w:eastAsiaTheme="minorHAnsi" w:hAnsi="Arial" w:cs="Arial"/>
          <w:color w:val="000000"/>
          <w:sz w:val="23"/>
          <w:szCs w:val="23"/>
        </w:rPr>
      </w:pPr>
    </w:p>
    <w:p w14:paraId="0DD82D1B" w14:textId="77777777" w:rsidR="00033083" w:rsidRDefault="00F2005F" w:rsidP="00280F75">
      <w:pPr>
        <w:autoSpaceDE w:val="0"/>
        <w:autoSpaceDN w:val="0"/>
        <w:adjustRightInd w:val="0"/>
        <w:jc w:val="both"/>
        <w:rPr>
          <w:rFonts w:ascii="Arial" w:eastAsiaTheme="minorHAnsi" w:hAnsi="Arial" w:cs="Arial"/>
          <w:color w:val="000000"/>
          <w:sz w:val="23"/>
          <w:szCs w:val="23"/>
        </w:rPr>
      </w:pPr>
      <w:r w:rsidRPr="00F2005F">
        <w:rPr>
          <w:rFonts w:ascii="Arial" w:eastAsiaTheme="minorHAnsi" w:hAnsi="Arial" w:cs="Arial"/>
          <w:color w:val="000000"/>
          <w:sz w:val="23"/>
          <w:szCs w:val="23"/>
        </w:rPr>
        <w:t>10. What is the maximum temperature reached in elastomeric devices under simulated OPAT conditions? Archives of Disease in Childhood. 101(9), p.e2. van Der Merwe, S. and Green, H. (2016) . Poster presented at NPPG November 2015</w:t>
      </w:r>
    </w:p>
    <w:p w14:paraId="15ABC7E2" w14:textId="1209679A" w:rsidR="00F2005F" w:rsidRPr="00F2005F" w:rsidRDefault="00F2005F" w:rsidP="00280F75">
      <w:pPr>
        <w:autoSpaceDE w:val="0"/>
        <w:autoSpaceDN w:val="0"/>
        <w:adjustRightInd w:val="0"/>
        <w:jc w:val="both"/>
        <w:rPr>
          <w:rFonts w:ascii="Arial" w:eastAsiaTheme="minorHAnsi" w:hAnsi="Arial" w:cs="Arial"/>
          <w:color w:val="000000"/>
          <w:sz w:val="23"/>
          <w:szCs w:val="23"/>
        </w:rPr>
      </w:pPr>
      <w:r w:rsidRPr="00F2005F">
        <w:rPr>
          <w:rFonts w:ascii="Arial" w:eastAsiaTheme="minorHAnsi" w:hAnsi="Arial" w:cs="Arial"/>
          <w:color w:val="000000"/>
          <w:sz w:val="23"/>
          <w:szCs w:val="23"/>
        </w:rPr>
        <w:t xml:space="preserve"> </w:t>
      </w:r>
    </w:p>
    <w:p w14:paraId="7A1FF0CE" w14:textId="3B3FC7B0" w:rsidR="00F2005F" w:rsidRDefault="00F2005F" w:rsidP="00280F75">
      <w:pPr>
        <w:autoSpaceDE w:val="0"/>
        <w:autoSpaceDN w:val="0"/>
        <w:adjustRightInd w:val="0"/>
        <w:jc w:val="both"/>
        <w:rPr>
          <w:rFonts w:ascii="Arial" w:eastAsiaTheme="minorHAnsi" w:hAnsi="Arial" w:cs="Arial"/>
          <w:color w:val="000000"/>
          <w:sz w:val="23"/>
          <w:szCs w:val="23"/>
        </w:rPr>
      </w:pPr>
      <w:r w:rsidRPr="00F2005F">
        <w:rPr>
          <w:rFonts w:ascii="Arial" w:eastAsiaTheme="minorHAnsi" w:hAnsi="Arial" w:cs="Arial"/>
          <w:color w:val="000000"/>
          <w:sz w:val="23"/>
          <w:szCs w:val="23"/>
        </w:rPr>
        <w:t xml:space="preserve">11. In Use Temperature Investigation 100mL Dosi-Fuser, The Newcastle-upon-Tyne NHS Foundation Trust, Laura Davies, Carly Henderson, David Caulfield (2016) </w:t>
      </w:r>
      <w:hyperlink r:id="rId23" w:history="1">
        <w:r w:rsidR="00033083" w:rsidRPr="00F2005F">
          <w:rPr>
            <w:rStyle w:val="Hyperlink"/>
            <w:rFonts w:ascii="Arial" w:eastAsiaTheme="minorHAnsi" w:hAnsi="Arial" w:cs="Arial"/>
            <w:sz w:val="23"/>
            <w:szCs w:val="23"/>
          </w:rPr>
          <w:t>www.qaney.co.uk</w:t>
        </w:r>
      </w:hyperlink>
      <w:r w:rsidRPr="00F2005F">
        <w:rPr>
          <w:rFonts w:ascii="Arial" w:eastAsiaTheme="minorHAnsi" w:hAnsi="Arial" w:cs="Arial"/>
          <w:color w:val="000000"/>
          <w:sz w:val="23"/>
          <w:szCs w:val="23"/>
        </w:rPr>
        <w:t xml:space="preserve"> </w:t>
      </w:r>
    </w:p>
    <w:p w14:paraId="76DA816E" w14:textId="77777777" w:rsidR="00033083" w:rsidRPr="00F2005F" w:rsidRDefault="00033083" w:rsidP="00280F75">
      <w:pPr>
        <w:autoSpaceDE w:val="0"/>
        <w:autoSpaceDN w:val="0"/>
        <w:adjustRightInd w:val="0"/>
        <w:jc w:val="both"/>
        <w:rPr>
          <w:rFonts w:ascii="Arial" w:eastAsiaTheme="minorHAnsi" w:hAnsi="Arial" w:cs="Arial"/>
          <w:color w:val="000000"/>
          <w:sz w:val="23"/>
          <w:szCs w:val="23"/>
        </w:rPr>
      </w:pPr>
    </w:p>
    <w:p w14:paraId="36660885" w14:textId="18DC7232" w:rsidR="00F2005F" w:rsidRDefault="00F2005F" w:rsidP="00280F75">
      <w:pPr>
        <w:autoSpaceDE w:val="0"/>
        <w:autoSpaceDN w:val="0"/>
        <w:adjustRightInd w:val="0"/>
        <w:jc w:val="both"/>
        <w:rPr>
          <w:rFonts w:ascii="Arial" w:eastAsiaTheme="minorHAnsi" w:hAnsi="Arial" w:cs="Arial"/>
          <w:color w:val="000000"/>
          <w:sz w:val="23"/>
          <w:szCs w:val="23"/>
        </w:rPr>
      </w:pPr>
      <w:r w:rsidRPr="00F2005F">
        <w:rPr>
          <w:rFonts w:ascii="Arial" w:eastAsiaTheme="minorHAnsi" w:hAnsi="Arial" w:cs="Arial"/>
          <w:color w:val="000000"/>
          <w:sz w:val="23"/>
          <w:szCs w:val="23"/>
        </w:rPr>
        <w:t xml:space="preserve">12. Antibiotic stability related to temperature variations in elastomeric pumps used for outpatient parenteral antimicrobial therapy (OPAT). J Antimicrob Chemother dkw582 Rachel Voumard, Niklas van Neygham, Camille Cochet, Celine Gardiol, Laurent Decosterd, Thierry Buclin, Serge de Valliere </w:t>
      </w:r>
    </w:p>
    <w:p w14:paraId="5C15B809" w14:textId="77777777" w:rsidR="00033083" w:rsidRPr="00F2005F" w:rsidRDefault="00033083" w:rsidP="00280F75">
      <w:pPr>
        <w:autoSpaceDE w:val="0"/>
        <w:autoSpaceDN w:val="0"/>
        <w:adjustRightInd w:val="0"/>
        <w:jc w:val="both"/>
        <w:rPr>
          <w:rFonts w:ascii="Arial" w:eastAsiaTheme="minorHAnsi" w:hAnsi="Arial" w:cs="Arial"/>
          <w:color w:val="000000"/>
          <w:sz w:val="23"/>
          <w:szCs w:val="23"/>
        </w:rPr>
      </w:pPr>
    </w:p>
    <w:p w14:paraId="0361AF8F" w14:textId="4842233C" w:rsidR="00F2005F" w:rsidRDefault="00F2005F" w:rsidP="00280F75">
      <w:pPr>
        <w:autoSpaceDE w:val="0"/>
        <w:autoSpaceDN w:val="0"/>
        <w:adjustRightInd w:val="0"/>
        <w:jc w:val="both"/>
        <w:rPr>
          <w:rFonts w:ascii="Arial" w:eastAsiaTheme="minorHAnsi" w:hAnsi="Arial" w:cs="Arial"/>
          <w:color w:val="000000"/>
          <w:sz w:val="23"/>
          <w:szCs w:val="23"/>
        </w:rPr>
      </w:pPr>
      <w:r w:rsidRPr="00F2005F">
        <w:rPr>
          <w:rFonts w:ascii="Arial" w:eastAsiaTheme="minorHAnsi" w:hAnsi="Arial" w:cs="Arial"/>
          <w:color w:val="000000"/>
          <w:sz w:val="23"/>
          <w:szCs w:val="23"/>
        </w:rPr>
        <w:t xml:space="preserve">13. European Pharmacopoeia 8.0, 2.9.4. Dissolution test for Transdermal patches </w:t>
      </w:r>
    </w:p>
    <w:p w14:paraId="2C4E9934" w14:textId="77777777" w:rsidR="00033083" w:rsidRPr="00F2005F" w:rsidRDefault="00033083" w:rsidP="00280F75">
      <w:pPr>
        <w:autoSpaceDE w:val="0"/>
        <w:autoSpaceDN w:val="0"/>
        <w:adjustRightInd w:val="0"/>
        <w:jc w:val="both"/>
        <w:rPr>
          <w:rFonts w:ascii="Arial" w:eastAsiaTheme="minorHAnsi" w:hAnsi="Arial" w:cs="Arial"/>
          <w:color w:val="000000"/>
          <w:sz w:val="23"/>
          <w:szCs w:val="23"/>
        </w:rPr>
      </w:pPr>
    </w:p>
    <w:p w14:paraId="1DE459EB" w14:textId="0AC6A5D6" w:rsidR="00F2005F" w:rsidRDefault="00F2005F" w:rsidP="00280F75">
      <w:pPr>
        <w:jc w:val="both"/>
        <w:rPr>
          <w:rFonts w:ascii="Arial" w:eastAsiaTheme="minorHAnsi" w:hAnsi="Arial" w:cs="Arial"/>
          <w:color w:val="000000"/>
          <w:sz w:val="23"/>
          <w:szCs w:val="23"/>
        </w:rPr>
      </w:pPr>
      <w:r w:rsidRPr="00F2005F">
        <w:rPr>
          <w:rFonts w:ascii="Arial" w:eastAsiaTheme="minorHAnsi" w:hAnsi="Arial" w:cs="Arial"/>
          <w:color w:val="000000"/>
          <w:sz w:val="23"/>
          <w:szCs w:val="23"/>
        </w:rPr>
        <w:t>14. ICH Q1B Photostability Testing of New Active Substances and Medicinal</w:t>
      </w:r>
    </w:p>
    <w:p w14:paraId="01D4BC24" w14:textId="6B58E6FB" w:rsidR="00033083" w:rsidRDefault="00033083" w:rsidP="00280F75">
      <w:pPr>
        <w:jc w:val="both"/>
        <w:rPr>
          <w:rFonts w:ascii="Arial" w:hAnsi="Arial" w:cs="Arial"/>
          <w:sz w:val="23"/>
          <w:szCs w:val="23"/>
        </w:rPr>
      </w:pPr>
      <w:r w:rsidRPr="00033083">
        <w:rPr>
          <w:rFonts w:ascii="Arial" w:hAnsi="Arial" w:cs="Arial"/>
          <w:sz w:val="23"/>
          <w:szCs w:val="23"/>
        </w:rPr>
        <w:t xml:space="preserve">Products. </w:t>
      </w:r>
      <w:hyperlink r:id="rId24" w:history="1">
        <w:r w:rsidRPr="002317EE">
          <w:rPr>
            <w:rStyle w:val="Hyperlink"/>
            <w:rFonts w:ascii="Arial" w:hAnsi="Arial" w:cs="Arial"/>
            <w:sz w:val="23"/>
            <w:szCs w:val="23"/>
          </w:rPr>
          <w:t>www.ich.org/products/guidelines.html</w:t>
        </w:r>
      </w:hyperlink>
    </w:p>
    <w:p w14:paraId="6EF40814" w14:textId="4CA224B8" w:rsidR="00033083" w:rsidRDefault="00033083" w:rsidP="00280F75">
      <w:pPr>
        <w:jc w:val="both"/>
        <w:rPr>
          <w:rFonts w:ascii="Arial" w:hAnsi="Arial" w:cs="Arial"/>
          <w:sz w:val="23"/>
          <w:szCs w:val="23"/>
        </w:rPr>
      </w:pPr>
    </w:p>
    <w:p w14:paraId="1BA26E70" w14:textId="65BEDFB5" w:rsidR="00033083" w:rsidRDefault="00033083" w:rsidP="00280F75">
      <w:pPr>
        <w:autoSpaceDE w:val="0"/>
        <w:autoSpaceDN w:val="0"/>
        <w:adjustRightInd w:val="0"/>
        <w:jc w:val="both"/>
        <w:rPr>
          <w:rFonts w:ascii="Arial" w:eastAsiaTheme="minorHAnsi" w:hAnsi="Arial" w:cs="Arial"/>
          <w:color w:val="000000"/>
          <w:sz w:val="23"/>
          <w:szCs w:val="23"/>
        </w:rPr>
      </w:pPr>
      <w:r w:rsidRPr="00033083">
        <w:rPr>
          <w:rFonts w:ascii="Arial" w:eastAsiaTheme="minorHAnsi" w:hAnsi="Arial" w:cs="Arial"/>
          <w:color w:val="000000"/>
          <w:sz w:val="23"/>
          <w:szCs w:val="23"/>
        </w:rPr>
        <w:t xml:space="preserve">15. ICH Q1A(R2) Stability Testing of New Drug Substances and Products. </w:t>
      </w:r>
      <w:hyperlink r:id="rId25" w:history="1">
        <w:r w:rsidRPr="00033083">
          <w:rPr>
            <w:rStyle w:val="Hyperlink"/>
            <w:rFonts w:ascii="Arial" w:eastAsiaTheme="minorHAnsi" w:hAnsi="Arial" w:cs="Arial"/>
            <w:sz w:val="23"/>
            <w:szCs w:val="23"/>
          </w:rPr>
          <w:t>www.ich.org/products/guidelines.html</w:t>
        </w:r>
      </w:hyperlink>
      <w:r w:rsidRPr="00033083">
        <w:rPr>
          <w:rFonts w:ascii="Arial" w:eastAsiaTheme="minorHAnsi" w:hAnsi="Arial" w:cs="Arial"/>
          <w:color w:val="000000"/>
          <w:sz w:val="23"/>
          <w:szCs w:val="23"/>
        </w:rPr>
        <w:t xml:space="preserve"> </w:t>
      </w:r>
    </w:p>
    <w:p w14:paraId="53F5B23C" w14:textId="77777777" w:rsidR="00033083" w:rsidRPr="00033083" w:rsidRDefault="00033083" w:rsidP="00280F75">
      <w:pPr>
        <w:autoSpaceDE w:val="0"/>
        <w:autoSpaceDN w:val="0"/>
        <w:adjustRightInd w:val="0"/>
        <w:jc w:val="both"/>
        <w:rPr>
          <w:rFonts w:ascii="Arial" w:eastAsiaTheme="minorHAnsi" w:hAnsi="Arial" w:cs="Arial"/>
          <w:color w:val="000000"/>
          <w:sz w:val="23"/>
          <w:szCs w:val="23"/>
        </w:rPr>
      </w:pPr>
    </w:p>
    <w:p w14:paraId="41737CBA" w14:textId="66991E62" w:rsidR="00033083" w:rsidRDefault="00033083" w:rsidP="00280F75">
      <w:pPr>
        <w:autoSpaceDE w:val="0"/>
        <w:autoSpaceDN w:val="0"/>
        <w:adjustRightInd w:val="0"/>
        <w:jc w:val="both"/>
        <w:rPr>
          <w:rFonts w:ascii="Arial" w:eastAsiaTheme="minorHAnsi" w:hAnsi="Arial" w:cs="Arial"/>
          <w:color w:val="000000"/>
          <w:sz w:val="23"/>
          <w:szCs w:val="23"/>
        </w:rPr>
      </w:pPr>
      <w:r w:rsidRPr="00033083">
        <w:rPr>
          <w:rFonts w:ascii="Arial" w:eastAsiaTheme="minorHAnsi" w:hAnsi="Arial" w:cs="Arial"/>
          <w:color w:val="000000"/>
          <w:sz w:val="23"/>
          <w:szCs w:val="23"/>
        </w:rPr>
        <w:t xml:space="preserve">16. Pharmaceutical feasibility of sub-visible particle analysis in parenterals with reduced volume light obscuration methods, European Journal of Pharmaceutics and Biopharmaceutics 85 (2013) 1084–1087, Andrea Hawe , Frank Schaubhut , Raimund Geidobler, Michael Wiggenhorn, Wolfgang Friess, Markus Rast, Christian de Muynck , Gerhard Winter </w:t>
      </w:r>
    </w:p>
    <w:p w14:paraId="1B2F8A91" w14:textId="77777777" w:rsidR="00033083" w:rsidRPr="00033083" w:rsidRDefault="00033083" w:rsidP="00280F75">
      <w:pPr>
        <w:autoSpaceDE w:val="0"/>
        <w:autoSpaceDN w:val="0"/>
        <w:adjustRightInd w:val="0"/>
        <w:jc w:val="both"/>
        <w:rPr>
          <w:rFonts w:ascii="Arial" w:eastAsiaTheme="minorHAnsi" w:hAnsi="Arial" w:cs="Arial"/>
          <w:color w:val="000000"/>
          <w:sz w:val="23"/>
          <w:szCs w:val="23"/>
        </w:rPr>
      </w:pPr>
    </w:p>
    <w:p w14:paraId="0684D4B3" w14:textId="09E3A4E9" w:rsidR="00033083" w:rsidRDefault="00033083" w:rsidP="00280F75">
      <w:pPr>
        <w:autoSpaceDE w:val="0"/>
        <w:autoSpaceDN w:val="0"/>
        <w:adjustRightInd w:val="0"/>
        <w:jc w:val="both"/>
        <w:rPr>
          <w:rFonts w:ascii="Arial" w:eastAsiaTheme="minorHAnsi" w:hAnsi="Arial" w:cs="Arial"/>
          <w:color w:val="000000"/>
          <w:sz w:val="23"/>
          <w:szCs w:val="23"/>
        </w:rPr>
      </w:pPr>
      <w:r w:rsidRPr="00033083">
        <w:rPr>
          <w:rFonts w:ascii="Arial" w:eastAsiaTheme="minorHAnsi" w:hAnsi="Arial" w:cs="Arial"/>
          <w:color w:val="000000"/>
          <w:sz w:val="23"/>
          <w:szCs w:val="23"/>
        </w:rPr>
        <w:t xml:space="preserve">17. British Pharmacopoeia 2019, Appendix XIII A. Particulate Contamination: Sub-visible Particles (Ph. Eur. method 2.9.19). </w:t>
      </w:r>
    </w:p>
    <w:p w14:paraId="7D3A3603" w14:textId="77777777" w:rsidR="00033083" w:rsidRPr="00033083" w:rsidRDefault="00033083" w:rsidP="00280F75">
      <w:pPr>
        <w:autoSpaceDE w:val="0"/>
        <w:autoSpaceDN w:val="0"/>
        <w:adjustRightInd w:val="0"/>
        <w:jc w:val="both"/>
        <w:rPr>
          <w:rFonts w:ascii="Arial" w:eastAsiaTheme="minorHAnsi" w:hAnsi="Arial" w:cs="Arial"/>
          <w:color w:val="000000"/>
          <w:sz w:val="23"/>
          <w:szCs w:val="23"/>
        </w:rPr>
      </w:pPr>
    </w:p>
    <w:p w14:paraId="30E0846F" w14:textId="42B8E716" w:rsidR="00033083" w:rsidRDefault="00033083" w:rsidP="00280F75">
      <w:pPr>
        <w:autoSpaceDE w:val="0"/>
        <w:autoSpaceDN w:val="0"/>
        <w:adjustRightInd w:val="0"/>
        <w:jc w:val="both"/>
        <w:rPr>
          <w:rFonts w:ascii="Arial" w:eastAsiaTheme="minorHAnsi" w:hAnsi="Arial" w:cs="Arial"/>
          <w:color w:val="000000"/>
          <w:sz w:val="23"/>
          <w:szCs w:val="23"/>
        </w:rPr>
      </w:pPr>
      <w:r w:rsidRPr="00033083">
        <w:rPr>
          <w:rFonts w:ascii="Arial" w:eastAsiaTheme="minorHAnsi" w:hAnsi="Arial" w:cs="Arial"/>
          <w:color w:val="000000"/>
          <w:sz w:val="23"/>
          <w:szCs w:val="23"/>
        </w:rPr>
        <w:lastRenderedPageBreak/>
        <w:t xml:space="preserve">18. ICH Q1E Evaluation of Stability Data. </w:t>
      </w:r>
      <w:hyperlink r:id="rId26" w:history="1">
        <w:r w:rsidRPr="00033083">
          <w:rPr>
            <w:rStyle w:val="Hyperlink"/>
            <w:rFonts w:ascii="Arial" w:eastAsiaTheme="minorHAnsi" w:hAnsi="Arial" w:cs="Arial"/>
            <w:sz w:val="23"/>
            <w:szCs w:val="23"/>
          </w:rPr>
          <w:t>www.ich.org/products/guidelines.html</w:t>
        </w:r>
      </w:hyperlink>
      <w:r w:rsidRPr="00033083">
        <w:rPr>
          <w:rFonts w:ascii="Arial" w:eastAsiaTheme="minorHAnsi" w:hAnsi="Arial" w:cs="Arial"/>
          <w:color w:val="000000"/>
          <w:sz w:val="23"/>
          <w:szCs w:val="23"/>
        </w:rPr>
        <w:t xml:space="preserve"> </w:t>
      </w:r>
    </w:p>
    <w:p w14:paraId="05F54CAF" w14:textId="4A860D4F" w:rsidR="00033083" w:rsidRDefault="00033083" w:rsidP="00280F75">
      <w:pPr>
        <w:autoSpaceDE w:val="0"/>
        <w:autoSpaceDN w:val="0"/>
        <w:adjustRightInd w:val="0"/>
        <w:jc w:val="both"/>
        <w:rPr>
          <w:rFonts w:ascii="Arial" w:eastAsiaTheme="minorHAnsi" w:hAnsi="Arial" w:cs="Arial"/>
          <w:color w:val="000000"/>
          <w:sz w:val="23"/>
          <w:szCs w:val="23"/>
        </w:rPr>
      </w:pPr>
    </w:p>
    <w:p w14:paraId="30457303" w14:textId="4C829440" w:rsidR="00033083" w:rsidRDefault="00033083" w:rsidP="00280F75">
      <w:pPr>
        <w:autoSpaceDE w:val="0"/>
        <w:autoSpaceDN w:val="0"/>
        <w:adjustRightInd w:val="0"/>
        <w:jc w:val="both"/>
        <w:rPr>
          <w:rFonts w:ascii="Arial" w:eastAsiaTheme="minorHAnsi" w:hAnsi="Arial" w:cs="Arial"/>
          <w:color w:val="000000"/>
          <w:sz w:val="23"/>
          <w:szCs w:val="23"/>
        </w:rPr>
      </w:pPr>
      <w:r w:rsidRPr="00033083">
        <w:rPr>
          <w:rFonts w:ascii="Arial" w:eastAsiaTheme="minorHAnsi" w:hAnsi="Arial" w:cs="Arial"/>
          <w:color w:val="000000"/>
          <w:sz w:val="23"/>
          <w:szCs w:val="23"/>
        </w:rPr>
        <w:t xml:space="preserve">19. Norwood, Drug Development &amp; Industrial Pharmacy 12, 553-60, [1986] </w:t>
      </w:r>
    </w:p>
    <w:p w14:paraId="487E3E3B" w14:textId="77777777" w:rsidR="00033083" w:rsidRPr="00033083" w:rsidRDefault="00033083" w:rsidP="00280F75">
      <w:pPr>
        <w:autoSpaceDE w:val="0"/>
        <w:autoSpaceDN w:val="0"/>
        <w:adjustRightInd w:val="0"/>
        <w:jc w:val="both"/>
        <w:rPr>
          <w:rFonts w:ascii="Arial" w:eastAsiaTheme="minorHAnsi" w:hAnsi="Arial" w:cs="Arial"/>
          <w:color w:val="000000"/>
          <w:sz w:val="23"/>
          <w:szCs w:val="23"/>
        </w:rPr>
      </w:pPr>
    </w:p>
    <w:p w14:paraId="735A0803" w14:textId="3E140D20" w:rsidR="00033083" w:rsidRDefault="00033083" w:rsidP="00280F75">
      <w:pPr>
        <w:autoSpaceDE w:val="0"/>
        <w:autoSpaceDN w:val="0"/>
        <w:adjustRightInd w:val="0"/>
        <w:jc w:val="both"/>
        <w:rPr>
          <w:rFonts w:ascii="Arial" w:eastAsiaTheme="minorHAnsi" w:hAnsi="Arial" w:cs="Arial"/>
          <w:color w:val="000000"/>
          <w:sz w:val="23"/>
          <w:szCs w:val="23"/>
        </w:rPr>
      </w:pPr>
      <w:r w:rsidRPr="00033083">
        <w:rPr>
          <w:rFonts w:ascii="Arial" w:eastAsiaTheme="minorHAnsi" w:hAnsi="Arial" w:cs="Arial"/>
          <w:color w:val="000000"/>
          <w:sz w:val="23"/>
          <w:szCs w:val="23"/>
        </w:rPr>
        <w:t xml:space="preserve">20. Assessment Template (Small Molecules) – NHS Pharmaceutical R&amp;D Group. </w:t>
      </w:r>
      <w:hyperlink r:id="rId27" w:history="1">
        <w:r w:rsidRPr="00033083">
          <w:rPr>
            <w:rStyle w:val="Hyperlink"/>
            <w:rFonts w:ascii="Arial" w:eastAsiaTheme="minorHAnsi" w:hAnsi="Arial" w:cs="Arial"/>
            <w:sz w:val="23"/>
            <w:szCs w:val="23"/>
          </w:rPr>
          <w:t>www.qcnw.nhs.uk</w:t>
        </w:r>
      </w:hyperlink>
      <w:r w:rsidRPr="00033083">
        <w:rPr>
          <w:rFonts w:ascii="Arial" w:eastAsiaTheme="minorHAnsi" w:hAnsi="Arial" w:cs="Arial"/>
          <w:color w:val="000000"/>
          <w:sz w:val="23"/>
          <w:szCs w:val="23"/>
        </w:rPr>
        <w:t xml:space="preserve"> </w:t>
      </w:r>
    </w:p>
    <w:p w14:paraId="0AD5AD99" w14:textId="77777777" w:rsidR="00033083" w:rsidRPr="00033083" w:rsidRDefault="00033083" w:rsidP="00280F75">
      <w:pPr>
        <w:autoSpaceDE w:val="0"/>
        <w:autoSpaceDN w:val="0"/>
        <w:adjustRightInd w:val="0"/>
        <w:jc w:val="both"/>
        <w:rPr>
          <w:rFonts w:ascii="Arial" w:eastAsiaTheme="minorHAnsi" w:hAnsi="Arial" w:cs="Arial"/>
          <w:color w:val="000000"/>
          <w:sz w:val="23"/>
          <w:szCs w:val="23"/>
        </w:rPr>
      </w:pPr>
    </w:p>
    <w:p w14:paraId="24DB5E45" w14:textId="1E3BA889" w:rsidR="00033083" w:rsidRDefault="00033083" w:rsidP="00CE1D87">
      <w:pPr>
        <w:rPr>
          <w:rFonts w:ascii="Arial" w:eastAsiaTheme="minorHAnsi" w:hAnsi="Arial" w:cs="Arial"/>
          <w:color w:val="000000"/>
          <w:sz w:val="23"/>
          <w:szCs w:val="23"/>
        </w:rPr>
      </w:pPr>
      <w:r w:rsidRPr="00033083">
        <w:rPr>
          <w:rFonts w:ascii="Arial" w:eastAsiaTheme="minorHAnsi" w:hAnsi="Arial" w:cs="Arial"/>
          <w:color w:val="000000"/>
          <w:sz w:val="23"/>
          <w:szCs w:val="23"/>
        </w:rPr>
        <w:t xml:space="preserve">21.Chemotherapy Standard Product Specifications </w:t>
      </w:r>
      <w:hyperlink r:id="rId28" w:history="1">
        <w:r w:rsidRPr="002317EE">
          <w:rPr>
            <w:rStyle w:val="Hyperlink"/>
            <w:rFonts w:ascii="Arial" w:eastAsiaTheme="minorHAnsi" w:hAnsi="Arial" w:cs="Arial"/>
            <w:sz w:val="23"/>
            <w:szCs w:val="23"/>
          </w:rPr>
          <w:t>https://www.england.nhs.uk/commissioning/spec-services/npc-crg/group-b/b02/dose-banded-chemotherapy-standardised-product-specifications/</w:t>
        </w:r>
      </w:hyperlink>
    </w:p>
    <w:p w14:paraId="4F65157E" w14:textId="448DEFCB" w:rsidR="00033083" w:rsidRDefault="00033083" w:rsidP="00280F75">
      <w:pPr>
        <w:jc w:val="both"/>
        <w:rPr>
          <w:rFonts w:ascii="Arial" w:eastAsiaTheme="minorHAnsi" w:hAnsi="Arial" w:cs="Arial"/>
          <w:color w:val="000000"/>
          <w:sz w:val="23"/>
          <w:szCs w:val="23"/>
        </w:rPr>
      </w:pPr>
    </w:p>
    <w:p w14:paraId="14352613" w14:textId="56026CE2" w:rsidR="00033083" w:rsidRPr="00033083" w:rsidRDefault="00033083" w:rsidP="00280F75">
      <w:pPr>
        <w:jc w:val="both"/>
        <w:rPr>
          <w:rFonts w:ascii="Arial" w:hAnsi="Arial" w:cs="Arial"/>
        </w:rPr>
      </w:pPr>
    </w:p>
    <w:p w14:paraId="306D4097" w14:textId="5B5E6892" w:rsidR="00033083" w:rsidRDefault="00033083" w:rsidP="00280F75">
      <w:pPr>
        <w:autoSpaceDE w:val="0"/>
        <w:autoSpaceDN w:val="0"/>
        <w:adjustRightInd w:val="0"/>
        <w:jc w:val="both"/>
        <w:rPr>
          <w:rFonts w:ascii="Arial" w:eastAsiaTheme="minorHAnsi" w:hAnsi="Arial" w:cs="Arial"/>
          <w:b/>
          <w:bCs/>
          <w:color w:val="000000"/>
          <w:sz w:val="23"/>
          <w:szCs w:val="23"/>
        </w:rPr>
      </w:pPr>
      <w:r w:rsidRPr="00033083">
        <w:rPr>
          <w:rFonts w:ascii="Arial" w:eastAsiaTheme="minorHAnsi" w:hAnsi="Arial" w:cs="Arial"/>
          <w:b/>
          <w:bCs/>
          <w:color w:val="000000"/>
          <w:sz w:val="23"/>
          <w:szCs w:val="23"/>
        </w:rPr>
        <w:t xml:space="preserve">Appendix 1 Example of reporting of results from stability trials </w:t>
      </w:r>
    </w:p>
    <w:p w14:paraId="4FDE807B" w14:textId="77777777" w:rsidR="00033083" w:rsidRPr="00033083" w:rsidRDefault="00033083" w:rsidP="00280F75">
      <w:pPr>
        <w:autoSpaceDE w:val="0"/>
        <w:autoSpaceDN w:val="0"/>
        <w:adjustRightInd w:val="0"/>
        <w:jc w:val="both"/>
        <w:rPr>
          <w:rFonts w:ascii="Arial" w:eastAsiaTheme="minorHAnsi" w:hAnsi="Arial" w:cs="Arial"/>
          <w:color w:val="000000"/>
          <w:sz w:val="23"/>
          <w:szCs w:val="23"/>
        </w:rPr>
      </w:pPr>
    </w:p>
    <w:p w14:paraId="6A539B26" w14:textId="2B319B6D" w:rsidR="00033083" w:rsidRDefault="00033083" w:rsidP="00280F75">
      <w:pPr>
        <w:autoSpaceDE w:val="0"/>
        <w:autoSpaceDN w:val="0"/>
        <w:adjustRightInd w:val="0"/>
        <w:jc w:val="both"/>
        <w:rPr>
          <w:rFonts w:ascii="Arial" w:eastAsiaTheme="minorHAnsi" w:hAnsi="Arial" w:cs="Arial"/>
          <w:color w:val="000000"/>
          <w:sz w:val="23"/>
          <w:szCs w:val="23"/>
        </w:rPr>
      </w:pPr>
      <w:r w:rsidRPr="00033083">
        <w:rPr>
          <w:rFonts w:ascii="Arial" w:eastAsiaTheme="minorHAnsi" w:hAnsi="Arial" w:cs="Arial"/>
          <w:color w:val="000000"/>
          <w:sz w:val="23"/>
          <w:szCs w:val="23"/>
        </w:rPr>
        <w:t xml:space="preserve">For three replicates each tested in triplicate the report at each time point should be presented as: </w:t>
      </w:r>
    </w:p>
    <w:p w14:paraId="29247B11" w14:textId="77777777" w:rsidR="00033083" w:rsidRPr="00033083" w:rsidRDefault="00033083" w:rsidP="00280F75">
      <w:pPr>
        <w:autoSpaceDE w:val="0"/>
        <w:autoSpaceDN w:val="0"/>
        <w:adjustRightInd w:val="0"/>
        <w:jc w:val="both"/>
        <w:rPr>
          <w:rFonts w:ascii="Arial" w:eastAsiaTheme="minorHAnsi" w:hAnsi="Arial" w:cs="Arial"/>
          <w:color w:val="000000"/>
          <w:sz w:val="23"/>
          <w:szCs w:val="23"/>
        </w:rPr>
      </w:pPr>
    </w:p>
    <w:p w14:paraId="2473E6C9" w14:textId="77777777" w:rsidR="00033083" w:rsidRPr="00033083" w:rsidRDefault="00033083" w:rsidP="00280F75">
      <w:pPr>
        <w:autoSpaceDE w:val="0"/>
        <w:autoSpaceDN w:val="0"/>
        <w:adjustRightInd w:val="0"/>
        <w:jc w:val="both"/>
        <w:rPr>
          <w:rFonts w:ascii="Arial" w:eastAsiaTheme="minorHAnsi" w:hAnsi="Arial" w:cs="Arial"/>
          <w:color w:val="000000"/>
          <w:sz w:val="23"/>
          <w:szCs w:val="23"/>
        </w:rPr>
      </w:pPr>
      <w:r w:rsidRPr="00033083">
        <w:rPr>
          <w:rFonts w:ascii="Arial" w:eastAsiaTheme="minorHAnsi" w:hAnsi="Arial" w:cs="Arial"/>
          <w:color w:val="000000"/>
          <w:sz w:val="23"/>
          <w:szCs w:val="23"/>
        </w:rPr>
        <w:t xml:space="preserve">Replicate 1 100.3% +/- 1.3% </w:t>
      </w:r>
    </w:p>
    <w:p w14:paraId="0D6968AA" w14:textId="77777777" w:rsidR="00033083" w:rsidRPr="00033083" w:rsidRDefault="00033083" w:rsidP="00280F75">
      <w:pPr>
        <w:autoSpaceDE w:val="0"/>
        <w:autoSpaceDN w:val="0"/>
        <w:adjustRightInd w:val="0"/>
        <w:jc w:val="both"/>
        <w:rPr>
          <w:rFonts w:ascii="Arial" w:eastAsiaTheme="minorHAnsi" w:hAnsi="Arial" w:cs="Arial"/>
          <w:color w:val="000000"/>
          <w:sz w:val="23"/>
          <w:szCs w:val="23"/>
        </w:rPr>
      </w:pPr>
      <w:r w:rsidRPr="00033083">
        <w:rPr>
          <w:rFonts w:ascii="Arial" w:eastAsiaTheme="minorHAnsi" w:hAnsi="Arial" w:cs="Arial"/>
          <w:color w:val="000000"/>
          <w:sz w:val="23"/>
          <w:szCs w:val="23"/>
        </w:rPr>
        <w:t xml:space="preserve">Replicate 2 99.6% +/- 0.7% </w:t>
      </w:r>
    </w:p>
    <w:p w14:paraId="1FE10BB7" w14:textId="77777777" w:rsidR="00033083" w:rsidRPr="00033083" w:rsidRDefault="00033083" w:rsidP="00280F75">
      <w:pPr>
        <w:autoSpaceDE w:val="0"/>
        <w:autoSpaceDN w:val="0"/>
        <w:adjustRightInd w:val="0"/>
        <w:jc w:val="both"/>
        <w:rPr>
          <w:rFonts w:ascii="Arial" w:eastAsiaTheme="minorHAnsi" w:hAnsi="Arial" w:cs="Arial"/>
          <w:color w:val="000000"/>
          <w:sz w:val="23"/>
          <w:szCs w:val="23"/>
        </w:rPr>
      </w:pPr>
      <w:r w:rsidRPr="00033083">
        <w:rPr>
          <w:rFonts w:ascii="Arial" w:eastAsiaTheme="minorHAnsi" w:hAnsi="Arial" w:cs="Arial"/>
          <w:color w:val="000000"/>
          <w:sz w:val="23"/>
          <w:szCs w:val="23"/>
        </w:rPr>
        <w:t xml:space="preserve">Replicate 3 100.7% +/- 0.5% </w:t>
      </w:r>
    </w:p>
    <w:p w14:paraId="178B29AC" w14:textId="7792062D" w:rsidR="00033083" w:rsidRDefault="00033083" w:rsidP="00280F75">
      <w:pPr>
        <w:autoSpaceDE w:val="0"/>
        <w:autoSpaceDN w:val="0"/>
        <w:adjustRightInd w:val="0"/>
        <w:jc w:val="both"/>
        <w:rPr>
          <w:rFonts w:ascii="Arial" w:eastAsiaTheme="minorHAnsi" w:hAnsi="Arial" w:cs="Arial"/>
          <w:color w:val="000000"/>
          <w:sz w:val="23"/>
          <w:szCs w:val="23"/>
        </w:rPr>
      </w:pPr>
      <w:r w:rsidRPr="00033083">
        <w:rPr>
          <w:rFonts w:ascii="Arial" w:eastAsiaTheme="minorHAnsi" w:hAnsi="Arial" w:cs="Arial"/>
          <w:color w:val="000000"/>
          <w:sz w:val="23"/>
          <w:szCs w:val="23"/>
        </w:rPr>
        <w:t xml:space="preserve">Population mean 100.2% variance 0.21% </w:t>
      </w:r>
    </w:p>
    <w:p w14:paraId="3803E5BB" w14:textId="77777777" w:rsidR="00033083" w:rsidRPr="00033083" w:rsidRDefault="00033083" w:rsidP="00280F75">
      <w:pPr>
        <w:autoSpaceDE w:val="0"/>
        <w:autoSpaceDN w:val="0"/>
        <w:adjustRightInd w:val="0"/>
        <w:jc w:val="both"/>
        <w:rPr>
          <w:rFonts w:ascii="Arial" w:eastAsiaTheme="minorHAnsi" w:hAnsi="Arial" w:cs="Arial"/>
          <w:color w:val="000000"/>
          <w:sz w:val="23"/>
          <w:szCs w:val="23"/>
        </w:rPr>
      </w:pPr>
    </w:p>
    <w:p w14:paraId="50CA7C2E" w14:textId="08911AAB" w:rsidR="00033083" w:rsidRDefault="00033083" w:rsidP="00280F75">
      <w:pPr>
        <w:autoSpaceDE w:val="0"/>
        <w:autoSpaceDN w:val="0"/>
        <w:adjustRightInd w:val="0"/>
        <w:jc w:val="both"/>
        <w:rPr>
          <w:rFonts w:ascii="Arial" w:eastAsiaTheme="minorHAnsi" w:hAnsi="Arial" w:cs="Arial"/>
          <w:color w:val="000000"/>
          <w:sz w:val="23"/>
          <w:szCs w:val="23"/>
        </w:rPr>
      </w:pPr>
      <w:r w:rsidRPr="00033083">
        <w:rPr>
          <w:rFonts w:ascii="Arial" w:eastAsiaTheme="minorHAnsi" w:hAnsi="Arial" w:cs="Arial"/>
          <w:color w:val="000000"/>
          <w:sz w:val="23"/>
          <w:szCs w:val="23"/>
        </w:rPr>
        <w:t xml:space="preserve">For three replicates each tested in duplicate the report at each time point should be presented as:- </w:t>
      </w:r>
    </w:p>
    <w:p w14:paraId="41B8BC88" w14:textId="77777777" w:rsidR="00033083" w:rsidRPr="00033083" w:rsidRDefault="00033083" w:rsidP="00280F75">
      <w:pPr>
        <w:autoSpaceDE w:val="0"/>
        <w:autoSpaceDN w:val="0"/>
        <w:adjustRightInd w:val="0"/>
        <w:jc w:val="both"/>
        <w:rPr>
          <w:rFonts w:ascii="Arial" w:eastAsiaTheme="minorHAnsi" w:hAnsi="Arial" w:cs="Arial"/>
          <w:color w:val="000000"/>
          <w:sz w:val="23"/>
          <w:szCs w:val="23"/>
        </w:rPr>
      </w:pPr>
    </w:p>
    <w:p w14:paraId="030AE29B" w14:textId="77777777" w:rsidR="00033083" w:rsidRPr="00033083" w:rsidRDefault="00033083" w:rsidP="00280F75">
      <w:pPr>
        <w:autoSpaceDE w:val="0"/>
        <w:autoSpaceDN w:val="0"/>
        <w:adjustRightInd w:val="0"/>
        <w:jc w:val="both"/>
        <w:rPr>
          <w:rFonts w:ascii="Arial" w:eastAsiaTheme="minorHAnsi" w:hAnsi="Arial" w:cs="Arial"/>
          <w:color w:val="000000"/>
          <w:sz w:val="23"/>
          <w:szCs w:val="23"/>
        </w:rPr>
      </w:pPr>
      <w:r w:rsidRPr="00033083">
        <w:rPr>
          <w:rFonts w:ascii="Arial" w:eastAsiaTheme="minorHAnsi" w:hAnsi="Arial" w:cs="Arial"/>
          <w:color w:val="000000"/>
          <w:sz w:val="23"/>
          <w:szCs w:val="23"/>
        </w:rPr>
        <w:t xml:space="preserve">Replicate 1 99.7% – 100.3% </w:t>
      </w:r>
    </w:p>
    <w:p w14:paraId="53A40B61" w14:textId="77777777" w:rsidR="00033083" w:rsidRPr="00033083" w:rsidRDefault="00033083" w:rsidP="00280F75">
      <w:pPr>
        <w:autoSpaceDE w:val="0"/>
        <w:autoSpaceDN w:val="0"/>
        <w:adjustRightInd w:val="0"/>
        <w:jc w:val="both"/>
        <w:rPr>
          <w:rFonts w:ascii="Arial" w:eastAsiaTheme="minorHAnsi" w:hAnsi="Arial" w:cs="Arial"/>
          <w:color w:val="000000"/>
          <w:sz w:val="23"/>
          <w:szCs w:val="23"/>
        </w:rPr>
      </w:pPr>
      <w:r w:rsidRPr="00033083">
        <w:rPr>
          <w:rFonts w:ascii="Arial" w:eastAsiaTheme="minorHAnsi" w:hAnsi="Arial" w:cs="Arial"/>
          <w:color w:val="000000"/>
          <w:sz w:val="23"/>
          <w:szCs w:val="23"/>
        </w:rPr>
        <w:t xml:space="preserve">Replicate 2 100.1% - 101.1% </w:t>
      </w:r>
    </w:p>
    <w:p w14:paraId="5755757C" w14:textId="77777777" w:rsidR="00033083" w:rsidRPr="00033083" w:rsidRDefault="00033083" w:rsidP="00280F75">
      <w:pPr>
        <w:autoSpaceDE w:val="0"/>
        <w:autoSpaceDN w:val="0"/>
        <w:adjustRightInd w:val="0"/>
        <w:jc w:val="both"/>
        <w:rPr>
          <w:rFonts w:ascii="Arial" w:eastAsiaTheme="minorHAnsi" w:hAnsi="Arial" w:cs="Arial"/>
          <w:color w:val="000000"/>
          <w:sz w:val="23"/>
          <w:szCs w:val="23"/>
        </w:rPr>
      </w:pPr>
      <w:r w:rsidRPr="00033083">
        <w:rPr>
          <w:rFonts w:ascii="Arial" w:eastAsiaTheme="minorHAnsi" w:hAnsi="Arial" w:cs="Arial"/>
          <w:color w:val="000000"/>
          <w:sz w:val="23"/>
          <w:szCs w:val="23"/>
        </w:rPr>
        <w:t xml:space="preserve">Replicate 3 99.4% - 100.6% </w:t>
      </w:r>
    </w:p>
    <w:p w14:paraId="36180CF8" w14:textId="1B9796AE" w:rsidR="00033083" w:rsidRDefault="00033083" w:rsidP="00280F75">
      <w:pPr>
        <w:jc w:val="both"/>
        <w:rPr>
          <w:rFonts w:ascii="Arial" w:eastAsiaTheme="minorHAnsi" w:hAnsi="Arial" w:cs="Arial"/>
          <w:color w:val="000000"/>
          <w:sz w:val="23"/>
          <w:szCs w:val="23"/>
        </w:rPr>
      </w:pPr>
      <w:r w:rsidRPr="00033083">
        <w:rPr>
          <w:rFonts w:ascii="Arial" w:eastAsiaTheme="minorHAnsi" w:hAnsi="Arial" w:cs="Arial"/>
          <w:color w:val="000000"/>
          <w:sz w:val="23"/>
          <w:szCs w:val="23"/>
        </w:rPr>
        <w:t>Population mean 100.2% variance 0.31%</w:t>
      </w:r>
    </w:p>
    <w:p w14:paraId="217C63A2" w14:textId="3C071033" w:rsidR="00033083" w:rsidRPr="00033083" w:rsidRDefault="00033083" w:rsidP="00280F75">
      <w:pPr>
        <w:jc w:val="both"/>
        <w:rPr>
          <w:rFonts w:ascii="Arial" w:hAnsi="Arial" w:cs="Arial"/>
        </w:rPr>
      </w:pPr>
    </w:p>
    <w:p w14:paraId="76053FE7" w14:textId="427176C8" w:rsidR="00033083" w:rsidRPr="00033083" w:rsidRDefault="00033083" w:rsidP="00280F75">
      <w:pPr>
        <w:jc w:val="both"/>
        <w:rPr>
          <w:rFonts w:ascii="Arial" w:hAnsi="Arial" w:cs="Arial"/>
        </w:rPr>
      </w:pPr>
    </w:p>
    <w:p w14:paraId="15E6A5DC" w14:textId="4C759C2C" w:rsidR="00033083" w:rsidRPr="00033083" w:rsidRDefault="00033083" w:rsidP="00280F75">
      <w:pPr>
        <w:jc w:val="both"/>
        <w:rPr>
          <w:rFonts w:ascii="Arial" w:hAnsi="Arial" w:cs="Arial"/>
        </w:rPr>
      </w:pPr>
    </w:p>
    <w:p w14:paraId="56F5271D" w14:textId="15EA694A" w:rsidR="00033083" w:rsidRPr="00033083" w:rsidRDefault="00033083" w:rsidP="00280F75">
      <w:pPr>
        <w:jc w:val="both"/>
        <w:rPr>
          <w:rFonts w:ascii="Arial" w:hAnsi="Arial" w:cs="Arial"/>
        </w:rPr>
      </w:pPr>
    </w:p>
    <w:p w14:paraId="5CD608FC" w14:textId="1A2381DE" w:rsidR="00033083" w:rsidRPr="00033083" w:rsidRDefault="00033083" w:rsidP="00280F75">
      <w:pPr>
        <w:jc w:val="both"/>
        <w:rPr>
          <w:rFonts w:ascii="Arial" w:hAnsi="Arial" w:cs="Arial"/>
        </w:rPr>
      </w:pPr>
    </w:p>
    <w:p w14:paraId="5F39DEB7" w14:textId="4A21EDBE" w:rsidR="00033083" w:rsidRDefault="00033083" w:rsidP="00280F75">
      <w:pPr>
        <w:jc w:val="both"/>
        <w:rPr>
          <w:rFonts w:ascii="Arial" w:eastAsiaTheme="minorHAnsi" w:hAnsi="Arial" w:cs="Arial"/>
          <w:color w:val="000000"/>
          <w:sz w:val="23"/>
          <w:szCs w:val="23"/>
        </w:rPr>
      </w:pPr>
    </w:p>
    <w:p w14:paraId="53A54975" w14:textId="77777777" w:rsidR="00CE1D87" w:rsidRDefault="00CE1D87" w:rsidP="00280F75">
      <w:pPr>
        <w:autoSpaceDE w:val="0"/>
        <w:autoSpaceDN w:val="0"/>
        <w:adjustRightInd w:val="0"/>
        <w:jc w:val="both"/>
        <w:rPr>
          <w:rFonts w:ascii="Arial" w:eastAsiaTheme="minorHAnsi" w:hAnsi="Arial" w:cs="Arial"/>
          <w:b/>
          <w:bCs/>
          <w:color w:val="000000"/>
          <w:sz w:val="22"/>
          <w:szCs w:val="22"/>
        </w:rPr>
      </w:pPr>
    </w:p>
    <w:p w14:paraId="21F3714C" w14:textId="77777777" w:rsidR="00CE1D87" w:rsidRDefault="00CE1D87" w:rsidP="00280F75">
      <w:pPr>
        <w:autoSpaceDE w:val="0"/>
        <w:autoSpaceDN w:val="0"/>
        <w:adjustRightInd w:val="0"/>
        <w:jc w:val="both"/>
        <w:rPr>
          <w:rFonts w:ascii="Arial" w:eastAsiaTheme="minorHAnsi" w:hAnsi="Arial" w:cs="Arial"/>
          <w:b/>
          <w:bCs/>
          <w:color w:val="000000"/>
          <w:sz w:val="22"/>
          <w:szCs w:val="22"/>
        </w:rPr>
      </w:pPr>
    </w:p>
    <w:p w14:paraId="3CB63905" w14:textId="77777777" w:rsidR="00CE1D87" w:rsidRDefault="00CE1D87" w:rsidP="00280F75">
      <w:pPr>
        <w:autoSpaceDE w:val="0"/>
        <w:autoSpaceDN w:val="0"/>
        <w:adjustRightInd w:val="0"/>
        <w:jc w:val="both"/>
        <w:rPr>
          <w:rFonts w:ascii="Arial" w:eastAsiaTheme="minorHAnsi" w:hAnsi="Arial" w:cs="Arial"/>
          <w:b/>
          <w:bCs/>
          <w:color w:val="000000"/>
          <w:sz w:val="22"/>
          <w:szCs w:val="22"/>
        </w:rPr>
      </w:pPr>
    </w:p>
    <w:p w14:paraId="2D9858D8" w14:textId="77777777" w:rsidR="00CE1D87" w:rsidRDefault="00CE1D87" w:rsidP="00280F75">
      <w:pPr>
        <w:autoSpaceDE w:val="0"/>
        <w:autoSpaceDN w:val="0"/>
        <w:adjustRightInd w:val="0"/>
        <w:jc w:val="both"/>
        <w:rPr>
          <w:rFonts w:ascii="Arial" w:eastAsiaTheme="minorHAnsi" w:hAnsi="Arial" w:cs="Arial"/>
          <w:b/>
          <w:bCs/>
          <w:color w:val="000000"/>
          <w:sz w:val="22"/>
          <w:szCs w:val="22"/>
        </w:rPr>
      </w:pPr>
    </w:p>
    <w:p w14:paraId="1B1DFE65" w14:textId="77777777" w:rsidR="00CE1D87" w:rsidRDefault="00CE1D87" w:rsidP="00280F75">
      <w:pPr>
        <w:autoSpaceDE w:val="0"/>
        <w:autoSpaceDN w:val="0"/>
        <w:adjustRightInd w:val="0"/>
        <w:jc w:val="both"/>
        <w:rPr>
          <w:rFonts w:ascii="Arial" w:eastAsiaTheme="minorHAnsi" w:hAnsi="Arial" w:cs="Arial"/>
          <w:b/>
          <w:bCs/>
          <w:color w:val="000000"/>
          <w:sz w:val="22"/>
          <w:szCs w:val="22"/>
        </w:rPr>
      </w:pPr>
    </w:p>
    <w:p w14:paraId="0A4DC989" w14:textId="77777777" w:rsidR="00CE1D87" w:rsidRDefault="00CE1D87" w:rsidP="00280F75">
      <w:pPr>
        <w:autoSpaceDE w:val="0"/>
        <w:autoSpaceDN w:val="0"/>
        <w:adjustRightInd w:val="0"/>
        <w:jc w:val="both"/>
        <w:rPr>
          <w:rFonts w:ascii="Arial" w:eastAsiaTheme="minorHAnsi" w:hAnsi="Arial" w:cs="Arial"/>
          <w:b/>
          <w:bCs/>
          <w:color w:val="000000"/>
          <w:sz w:val="22"/>
          <w:szCs w:val="22"/>
        </w:rPr>
      </w:pPr>
    </w:p>
    <w:p w14:paraId="5E34DBA5" w14:textId="77777777" w:rsidR="00CE1D87" w:rsidRDefault="00CE1D87" w:rsidP="00280F75">
      <w:pPr>
        <w:autoSpaceDE w:val="0"/>
        <w:autoSpaceDN w:val="0"/>
        <w:adjustRightInd w:val="0"/>
        <w:jc w:val="both"/>
        <w:rPr>
          <w:rFonts w:ascii="Arial" w:eastAsiaTheme="minorHAnsi" w:hAnsi="Arial" w:cs="Arial"/>
          <w:b/>
          <w:bCs/>
          <w:color w:val="000000"/>
          <w:sz w:val="22"/>
          <w:szCs w:val="22"/>
        </w:rPr>
      </w:pPr>
    </w:p>
    <w:p w14:paraId="7294ED7E" w14:textId="77777777" w:rsidR="00CE1D87" w:rsidRDefault="00CE1D87" w:rsidP="00280F75">
      <w:pPr>
        <w:autoSpaceDE w:val="0"/>
        <w:autoSpaceDN w:val="0"/>
        <w:adjustRightInd w:val="0"/>
        <w:jc w:val="both"/>
        <w:rPr>
          <w:rFonts w:ascii="Arial" w:eastAsiaTheme="minorHAnsi" w:hAnsi="Arial" w:cs="Arial"/>
          <w:b/>
          <w:bCs/>
          <w:color w:val="000000"/>
          <w:sz w:val="22"/>
          <w:szCs w:val="22"/>
        </w:rPr>
      </w:pPr>
    </w:p>
    <w:p w14:paraId="6ADDFF8D" w14:textId="77777777" w:rsidR="00CE1D87" w:rsidRDefault="00CE1D87" w:rsidP="00280F75">
      <w:pPr>
        <w:autoSpaceDE w:val="0"/>
        <w:autoSpaceDN w:val="0"/>
        <w:adjustRightInd w:val="0"/>
        <w:jc w:val="both"/>
        <w:rPr>
          <w:rFonts w:ascii="Arial" w:eastAsiaTheme="minorHAnsi" w:hAnsi="Arial" w:cs="Arial"/>
          <w:b/>
          <w:bCs/>
          <w:color w:val="000000"/>
          <w:sz w:val="22"/>
          <w:szCs w:val="22"/>
        </w:rPr>
      </w:pPr>
    </w:p>
    <w:p w14:paraId="155B4263" w14:textId="2E852DF1" w:rsidR="00CE1D87" w:rsidRDefault="00CE1D87" w:rsidP="00280F75">
      <w:pPr>
        <w:autoSpaceDE w:val="0"/>
        <w:autoSpaceDN w:val="0"/>
        <w:adjustRightInd w:val="0"/>
        <w:jc w:val="both"/>
        <w:rPr>
          <w:rFonts w:ascii="Arial" w:eastAsiaTheme="minorHAnsi" w:hAnsi="Arial" w:cs="Arial"/>
          <w:b/>
          <w:bCs/>
          <w:color w:val="000000"/>
          <w:sz w:val="22"/>
          <w:szCs w:val="22"/>
        </w:rPr>
      </w:pPr>
    </w:p>
    <w:p w14:paraId="46405329" w14:textId="2CC33937" w:rsidR="00CE1D87" w:rsidRDefault="00CE1D87" w:rsidP="00280F75">
      <w:pPr>
        <w:autoSpaceDE w:val="0"/>
        <w:autoSpaceDN w:val="0"/>
        <w:adjustRightInd w:val="0"/>
        <w:jc w:val="both"/>
        <w:rPr>
          <w:rFonts w:ascii="Arial" w:eastAsiaTheme="minorHAnsi" w:hAnsi="Arial" w:cs="Arial"/>
          <w:b/>
          <w:bCs/>
          <w:color w:val="000000"/>
          <w:sz w:val="22"/>
          <w:szCs w:val="22"/>
        </w:rPr>
      </w:pPr>
    </w:p>
    <w:p w14:paraId="5876CD58" w14:textId="60B0850E" w:rsidR="00CE1D87" w:rsidRDefault="00CE1D87" w:rsidP="00280F75">
      <w:pPr>
        <w:autoSpaceDE w:val="0"/>
        <w:autoSpaceDN w:val="0"/>
        <w:adjustRightInd w:val="0"/>
        <w:jc w:val="both"/>
        <w:rPr>
          <w:rFonts w:ascii="Arial" w:eastAsiaTheme="minorHAnsi" w:hAnsi="Arial" w:cs="Arial"/>
          <w:b/>
          <w:bCs/>
          <w:color w:val="000000"/>
          <w:sz w:val="22"/>
          <w:szCs w:val="22"/>
        </w:rPr>
      </w:pPr>
    </w:p>
    <w:p w14:paraId="6EED4CFD" w14:textId="20AF7D20" w:rsidR="00CE1D87" w:rsidRDefault="00CE1D87" w:rsidP="00280F75">
      <w:pPr>
        <w:autoSpaceDE w:val="0"/>
        <w:autoSpaceDN w:val="0"/>
        <w:adjustRightInd w:val="0"/>
        <w:jc w:val="both"/>
        <w:rPr>
          <w:rFonts w:ascii="Arial" w:eastAsiaTheme="minorHAnsi" w:hAnsi="Arial" w:cs="Arial"/>
          <w:b/>
          <w:bCs/>
          <w:color w:val="000000"/>
          <w:sz w:val="22"/>
          <w:szCs w:val="22"/>
        </w:rPr>
      </w:pPr>
    </w:p>
    <w:p w14:paraId="075FE7CE" w14:textId="77777777" w:rsidR="00CE1D87" w:rsidRDefault="00CE1D87" w:rsidP="00280F75">
      <w:pPr>
        <w:autoSpaceDE w:val="0"/>
        <w:autoSpaceDN w:val="0"/>
        <w:adjustRightInd w:val="0"/>
        <w:jc w:val="both"/>
        <w:rPr>
          <w:rFonts w:ascii="Arial" w:eastAsiaTheme="minorHAnsi" w:hAnsi="Arial" w:cs="Arial"/>
          <w:b/>
          <w:bCs/>
          <w:color w:val="000000"/>
          <w:sz w:val="22"/>
          <w:szCs w:val="22"/>
        </w:rPr>
      </w:pPr>
    </w:p>
    <w:p w14:paraId="6C3CFE93" w14:textId="77777777" w:rsidR="00CE1D87" w:rsidRDefault="00CE1D87" w:rsidP="00280F75">
      <w:pPr>
        <w:autoSpaceDE w:val="0"/>
        <w:autoSpaceDN w:val="0"/>
        <w:adjustRightInd w:val="0"/>
        <w:jc w:val="both"/>
        <w:rPr>
          <w:rFonts w:ascii="Arial" w:eastAsiaTheme="minorHAnsi" w:hAnsi="Arial" w:cs="Arial"/>
          <w:b/>
          <w:bCs/>
          <w:color w:val="000000"/>
          <w:sz w:val="22"/>
          <w:szCs w:val="22"/>
        </w:rPr>
      </w:pPr>
    </w:p>
    <w:p w14:paraId="2D7C7A10" w14:textId="77777777" w:rsidR="00CE1D87" w:rsidRDefault="00CE1D87" w:rsidP="00280F75">
      <w:pPr>
        <w:autoSpaceDE w:val="0"/>
        <w:autoSpaceDN w:val="0"/>
        <w:adjustRightInd w:val="0"/>
        <w:jc w:val="both"/>
        <w:rPr>
          <w:rFonts w:ascii="Arial" w:eastAsiaTheme="minorHAnsi" w:hAnsi="Arial" w:cs="Arial"/>
          <w:b/>
          <w:bCs/>
          <w:color w:val="000000"/>
          <w:sz w:val="22"/>
          <w:szCs w:val="22"/>
        </w:rPr>
      </w:pPr>
    </w:p>
    <w:p w14:paraId="52F7A672" w14:textId="77777777" w:rsidR="00CE1D87" w:rsidRDefault="00CE1D87" w:rsidP="00280F75">
      <w:pPr>
        <w:autoSpaceDE w:val="0"/>
        <w:autoSpaceDN w:val="0"/>
        <w:adjustRightInd w:val="0"/>
        <w:jc w:val="both"/>
        <w:rPr>
          <w:rFonts w:ascii="Arial" w:eastAsiaTheme="minorHAnsi" w:hAnsi="Arial" w:cs="Arial"/>
          <w:b/>
          <w:bCs/>
          <w:color w:val="000000"/>
          <w:sz w:val="22"/>
          <w:szCs w:val="22"/>
        </w:rPr>
      </w:pPr>
    </w:p>
    <w:p w14:paraId="3A49FF30" w14:textId="01B94FFD" w:rsidR="00033083" w:rsidRDefault="00033083" w:rsidP="00280F75">
      <w:pPr>
        <w:autoSpaceDE w:val="0"/>
        <w:autoSpaceDN w:val="0"/>
        <w:adjustRightInd w:val="0"/>
        <w:jc w:val="both"/>
        <w:rPr>
          <w:rFonts w:ascii="Arial" w:eastAsiaTheme="minorHAnsi" w:hAnsi="Arial" w:cs="Arial"/>
          <w:b/>
          <w:bCs/>
          <w:color w:val="000000"/>
          <w:sz w:val="22"/>
          <w:szCs w:val="22"/>
        </w:rPr>
      </w:pPr>
      <w:r w:rsidRPr="00033083">
        <w:rPr>
          <w:rFonts w:ascii="Arial" w:eastAsiaTheme="minorHAnsi" w:hAnsi="Arial" w:cs="Arial"/>
          <w:b/>
          <w:bCs/>
          <w:color w:val="000000"/>
          <w:sz w:val="22"/>
          <w:szCs w:val="22"/>
        </w:rPr>
        <w:lastRenderedPageBreak/>
        <w:t xml:space="preserve">Appendix 2. Checklist for assessment of stability data for procured small molecule aseptically prepared products (Specials) </w:t>
      </w:r>
    </w:p>
    <w:p w14:paraId="456DC873" w14:textId="77777777" w:rsidR="00033083" w:rsidRPr="00033083" w:rsidRDefault="00033083" w:rsidP="00280F75">
      <w:pPr>
        <w:autoSpaceDE w:val="0"/>
        <w:autoSpaceDN w:val="0"/>
        <w:adjustRightInd w:val="0"/>
        <w:jc w:val="both"/>
        <w:rPr>
          <w:rFonts w:ascii="Arial" w:eastAsiaTheme="minorHAnsi" w:hAnsi="Arial" w:cs="Arial"/>
          <w:color w:val="000000"/>
          <w:sz w:val="22"/>
          <w:szCs w:val="22"/>
        </w:rPr>
      </w:pPr>
    </w:p>
    <w:p w14:paraId="43CFB3AC" w14:textId="1FAFC470" w:rsidR="00033083" w:rsidRDefault="00033083" w:rsidP="00280F75">
      <w:pPr>
        <w:autoSpaceDE w:val="0"/>
        <w:autoSpaceDN w:val="0"/>
        <w:adjustRightInd w:val="0"/>
        <w:jc w:val="both"/>
        <w:rPr>
          <w:rFonts w:ascii="Arial" w:eastAsiaTheme="minorHAnsi" w:hAnsi="Arial" w:cs="Arial"/>
          <w:color w:val="000000"/>
          <w:sz w:val="22"/>
          <w:szCs w:val="22"/>
        </w:rPr>
      </w:pPr>
      <w:r w:rsidRPr="00033083">
        <w:rPr>
          <w:rFonts w:ascii="Arial" w:eastAsiaTheme="minorHAnsi" w:hAnsi="Arial" w:cs="Arial"/>
          <w:color w:val="000000"/>
          <w:sz w:val="22"/>
          <w:szCs w:val="22"/>
        </w:rPr>
        <w:t xml:space="preserve">The following checklist is provided as a quick guide to assessing the suitability of procured aseptically prepared Specials from the stability assessment viewpoint. This should be used alongside other assessment tools for unlicensed products. </w:t>
      </w:r>
    </w:p>
    <w:p w14:paraId="350FC7C4" w14:textId="77777777" w:rsidR="00033083" w:rsidRPr="00033083" w:rsidRDefault="00033083" w:rsidP="00280F75">
      <w:pPr>
        <w:autoSpaceDE w:val="0"/>
        <w:autoSpaceDN w:val="0"/>
        <w:adjustRightInd w:val="0"/>
        <w:jc w:val="both"/>
        <w:rPr>
          <w:rFonts w:ascii="Arial" w:eastAsiaTheme="minorHAnsi" w:hAnsi="Arial" w:cs="Arial"/>
          <w:color w:val="000000"/>
          <w:sz w:val="22"/>
          <w:szCs w:val="22"/>
        </w:rPr>
      </w:pPr>
    </w:p>
    <w:p w14:paraId="122CA228" w14:textId="396F8431" w:rsidR="00033083" w:rsidRDefault="00033083" w:rsidP="00280F75">
      <w:pPr>
        <w:autoSpaceDE w:val="0"/>
        <w:autoSpaceDN w:val="0"/>
        <w:adjustRightInd w:val="0"/>
        <w:jc w:val="both"/>
        <w:rPr>
          <w:rFonts w:ascii="Arial" w:eastAsiaTheme="minorHAnsi" w:hAnsi="Arial" w:cs="Arial"/>
          <w:color w:val="000000"/>
          <w:sz w:val="22"/>
          <w:szCs w:val="22"/>
        </w:rPr>
      </w:pPr>
      <w:r w:rsidRPr="00033083">
        <w:rPr>
          <w:rFonts w:ascii="Arial" w:eastAsiaTheme="minorHAnsi" w:hAnsi="Arial" w:cs="Arial"/>
          <w:color w:val="000000"/>
          <w:sz w:val="22"/>
          <w:szCs w:val="22"/>
        </w:rPr>
        <w:t xml:space="preserve">Preparation:……………………………………………………………………………………… </w:t>
      </w:r>
    </w:p>
    <w:p w14:paraId="062F2B6A" w14:textId="77777777" w:rsidR="00033083" w:rsidRPr="00033083" w:rsidRDefault="00033083" w:rsidP="00280F75">
      <w:pPr>
        <w:autoSpaceDE w:val="0"/>
        <w:autoSpaceDN w:val="0"/>
        <w:adjustRightInd w:val="0"/>
        <w:jc w:val="both"/>
        <w:rPr>
          <w:rFonts w:ascii="Arial" w:eastAsiaTheme="minorHAnsi" w:hAnsi="Arial" w:cs="Arial"/>
          <w:color w:val="000000"/>
          <w:sz w:val="22"/>
          <w:szCs w:val="22"/>
        </w:rPr>
      </w:pPr>
    </w:p>
    <w:p w14:paraId="12AA7502" w14:textId="0BEC7953" w:rsidR="00033083" w:rsidRDefault="00033083" w:rsidP="00280F75">
      <w:pPr>
        <w:jc w:val="both"/>
        <w:rPr>
          <w:rFonts w:ascii="Arial" w:eastAsiaTheme="minorHAnsi" w:hAnsi="Arial" w:cs="Arial"/>
          <w:color w:val="000000"/>
          <w:sz w:val="22"/>
          <w:szCs w:val="22"/>
        </w:rPr>
      </w:pPr>
      <w:r w:rsidRPr="00033083">
        <w:rPr>
          <w:rFonts w:ascii="Arial" w:eastAsiaTheme="minorHAnsi" w:hAnsi="Arial" w:cs="Arial"/>
          <w:color w:val="000000"/>
          <w:sz w:val="22"/>
          <w:szCs w:val="22"/>
        </w:rPr>
        <w:t>Supplier / Manufacturer:……………………………………………………………………….</w:t>
      </w:r>
    </w:p>
    <w:p w14:paraId="09F7242C" w14:textId="6933563E" w:rsidR="00053EE1" w:rsidRPr="00053EE1" w:rsidRDefault="00053EE1" w:rsidP="00280F75">
      <w:pPr>
        <w:jc w:val="both"/>
        <w:rPr>
          <w:rFonts w:ascii="Arial" w:hAnsi="Arial" w:cs="Arial"/>
        </w:rPr>
      </w:pPr>
    </w:p>
    <w:p w14:paraId="35CA6777" w14:textId="30F00CBC" w:rsidR="00053EE1" w:rsidRDefault="00053EE1" w:rsidP="00280F75">
      <w:pPr>
        <w:jc w:val="both"/>
        <w:rPr>
          <w:rFonts w:ascii="Arial" w:eastAsiaTheme="minorHAnsi" w:hAnsi="Arial" w:cs="Arial"/>
          <w:color w:val="000000"/>
          <w:sz w:val="22"/>
          <w:szCs w:val="22"/>
        </w:rPr>
      </w:pPr>
    </w:p>
    <w:p w14:paraId="04254D3C" w14:textId="23929AD9" w:rsidR="00053EE1" w:rsidRDefault="00053EE1" w:rsidP="00280F75">
      <w:pPr>
        <w:jc w:val="both"/>
        <w:rPr>
          <w:rFonts w:ascii="Arial" w:eastAsiaTheme="minorHAnsi" w:hAnsi="Arial" w:cs="Arial"/>
          <w:color w:val="000000"/>
          <w:sz w:val="22"/>
          <w:szCs w:val="22"/>
        </w:rPr>
      </w:pPr>
      <w:r>
        <w:rPr>
          <w:noProof/>
        </w:rPr>
        <w:drawing>
          <wp:inline distT="0" distB="0" distL="0" distR="0" wp14:anchorId="4A4B4EDF" wp14:editId="461DAB43">
            <wp:extent cx="5724525" cy="66389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5724525" cy="6638925"/>
                    </a:xfrm>
                    <a:prstGeom prst="rect">
                      <a:avLst/>
                    </a:prstGeom>
                  </pic:spPr>
                </pic:pic>
              </a:graphicData>
            </a:graphic>
          </wp:inline>
        </w:drawing>
      </w:r>
    </w:p>
    <w:p w14:paraId="690209DB" w14:textId="77777777" w:rsidR="00053EE1" w:rsidRDefault="00053EE1" w:rsidP="00280F75">
      <w:pPr>
        <w:jc w:val="both"/>
        <w:rPr>
          <w:rFonts w:ascii="Arial" w:eastAsiaTheme="minorHAnsi" w:hAnsi="Arial" w:cs="Arial"/>
          <w:color w:val="000000"/>
          <w:sz w:val="22"/>
          <w:szCs w:val="22"/>
        </w:rPr>
      </w:pPr>
    </w:p>
    <w:p w14:paraId="69E54F56" w14:textId="12EA99C9" w:rsidR="00053EE1" w:rsidRDefault="00053EE1" w:rsidP="00280F75">
      <w:pPr>
        <w:jc w:val="both"/>
        <w:rPr>
          <w:noProof/>
        </w:rPr>
      </w:pPr>
      <w:r>
        <w:rPr>
          <w:noProof/>
        </w:rPr>
        <w:lastRenderedPageBreak/>
        <w:drawing>
          <wp:inline distT="0" distB="0" distL="0" distR="0" wp14:anchorId="746F4353" wp14:editId="2E512C79">
            <wp:extent cx="5731510" cy="4995545"/>
            <wp:effectExtent l="0" t="0" r="254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5731510" cy="4995545"/>
                    </a:xfrm>
                    <a:prstGeom prst="rect">
                      <a:avLst/>
                    </a:prstGeom>
                  </pic:spPr>
                </pic:pic>
              </a:graphicData>
            </a:graphic>
          </wp:inline>
        </w:drawing>
      </w:r>
    </w:p>
    <w:p w14:paraId="4D1A68FE" w14:textId="4E77B9C3" w:rsidR="00053EE1" w:rsidRPr="00053EE1" w:rsidRDefault="00053EE1" w:rsidP="00280F75">
      <w:pPr>
        <w:jc w:val="both"/>
        <w:rPr>
          <w:rFonts w:ascii="Arial" w:hAnsi="Arial" w:cs="Arial"/>
        </w:rPr>
      </w:pPr>
    </w:p>
    <w:p w14:paraId="621E43C8" w14:textId="3E1B369C" w:rsidR="00053EE1" w:rsidRPr="00053EE1" w:rsidRDefault="00053EE1" w:rsidP="00280F75">
      <w:pPr>
        <w:jc w:val="both"/>
        <w:rPr>
          <w:rFonts w:ascii="Arial" w:hAnsi="Arial" w:cs="Arial"/>
        </w:rPr>
      </w:pPr>
    </w:p>
    <w:p w14:paraId="350AC82D" w14:textId="79AE4774" w:rsidR="00053EE1" w:rsidRPr="00053EE1" w:rsidRDefault="00053EE1" w:rsidP="00280F75">
      <w:pPr>
        <w:jc w:val="both"/>
        <w:rPr>
          <w:rFonts w:ascii="Arial" w:hAnsi="Arial" w:cs="Arial"/>
        </w:rPr>
      </w:pPr>
    </w:p>
    <w:p w14:paraId="2DF81691" w14:textId="21868208" w:rsidR="00053EE1" w:rsidRPr="00053EE1" w:rsidRDefault="00053EE1" w:rsidP="00280F75">
      <w:pPr>
        <w:jc w:val="both"/>
        <w:rPr>
          <w:rFonts w:ascii="Arial" w:hAnsi="Arial" w:cs="Arial"/>
        </w:rPr>
      </w:pPr>
    </w:p>
    <w:p w14:paraId="40374014" w14:textId="22A20A92" w:rsidR="00053EE1" w:rsidRDefault="00053EE1" w:rsidP="00280F75">
      <w:pPr>
        <w:jc w:val="both"/>
        <w:rPr>
          <w:noProof/>
        </w:rPr>
      </w:pPr>
    </w:p>
    <w:p w14:paraId="62C953B9" w14:textId="77777777" w:rsidR="00CE1D87" w:rsidRDefault="00053EE1" w:rsidP="00CE1D87">
      <w:pPr>
        <w:autoSpaceDE w:val="0"/>
        <w:autoSpaceDN w:val="0"/>
        <w:adjustRightInd w:val="0"/>
        <w:rPr>
          <w:rFonts w:ascii="Arial" w:eastAsiaTheme="minorHAnsi" w:hAnsi="Arial" w:cs="Arial"/>
          <w:color w:val="000000"/>
          <w:sz w:val="22"/>
          <w:szCs w:val="22"/>
        </w:rPr>
      </w:pPr>
      <w:r w:rsidRPr="00053EE1">
        <w:rPr>
          <w:rFonts w:ascii="Arial" w:eastAsiaTheme="minorHAnsi" w:hAnsi="Arial" w:cs="Arial"/>
          <w:color w:val="000000"/>
          <w:sz w:val="22"/>
          <w:szCs w:val="22"/>
        </w:rPr>
        <w:t xml:space="preserve">Assessment of stability study for </w:t>
      </w:r>
    </w:p>
    <w:p w14:paraId="21BFE473" w14:textId="77777777" w:rsidR="00CE1D87" w:rsidRDefault="00CE1D87" w:rsidP="00CE1D87">
      <w:pPr>
        <w:autoSpaceDE w:val="0"/>
        <w:autoSpaceDN w:val="0"/>
        <w:adjustRightInd w:val="0"/>
        <w:rPr>
          <w:rFonts w:ascii="Arial" w:eastAsiaTheme="minorHAnsi" w:hAnsi="Arial" w:cs="Arial"/>
          <w:color w:val="000000"/>
          <w:sz w:val="22"/>
          <w:szCs w:val="22"/>
        </w:rPr>
      </w:pPr>
    </w:p>
    <w:p w14:paraId="359A868A" w14:textId="609DD34C" w:rsidR="00053EE1" w:rsidRDefault="00053EE1" w:rsidP="00CE1D87">
      <w:pPr>
        <w:autoSpaceDE w:val="0"/>
        <w:autoSpaceDN w:val="0"/>
        <w:adjustRightInd w:val="0"/>
        <w:rPr>
          <w:rFonts w:ascii="Arial" w:eastAsiaTheme="minorHAnsi" w:hAnsi="Arial" w:cs="Arial"/>
          <w:color w:val="000000"/>
          <w:sz w:val="22"/>
          <w:szCs w:val="22"/>
        </w:rPr>
      </w:pPr>
      <w:r w:rsidRPr="00053EE1">
        <w:rPr>
          <w:rFonts w:ascii="Arial" w:eastAsiaTheme="minorHAnsi" w:hAnsi="Arial" w:cs="Arial"/>
          <w:color w:val="000000"/>
          <w:sz w:val="22"/>
          <w:szCs w:val="22"/>
        </w:rPr>
        <w:t xml:space="preserve">……………………………………………………………………………………….. </w:t>
      </w:r>
    </w:p>
    <w:p w14:paraId="3F515FB1" w14:textId="77777777" w:rsidR="00053EE1" w:rsidRPr="00053EE1" w:rsidRDefault="00053EE1" w:rsidP="00280F75">
      <w:pPr>
        <w:autoSpaceDE w:val="0"/>
        <w:autoSpaceDN w:val="0"/>
        <w:adjustRightInd w:val="0"/>
        <w:jc w:val="both"/>
        <w:rPr>
          <w:rFonts w:ascii="Arial" w:eastAsiaTheme="minorHAnsi" w:hAnsi="Arial" w:cs="Arial"/>
          <w:color w:val="000000"/>
          <w:sz w:val="22"/>
          <w:szCs w:val="22"/>
        </w:rPr>
      </w:pPr>
    </w:p>
    <w:p w14:paraId="042831A1" w14:textId="2FD0E863" w:rsidR="00053EE1" w:rsidRDefault="00053EE1" w:rsidP="00280F75">
      <w:pPr>
        <w:autoSpaceDE w:val="0"/>
        <w:autoSpaceDN w:val="0"/>
        <w:adjustRightInd w:val="0"/>
        <w:jc w:val="both"/>
        <w:rPr>
          <w:rFonts w:ascii="Arial" w:eastAsiaTheme="minorHAnsi" w:hAnsi="Arial" w:cs="Arial"/>
          <w:color w:val="000000"/>
          <w:sz w:val="22"/>
          <w:szCs w:val="22"/>
        </w:rPr>
      </w:pPr>
      <w:r w:rsidRPr="00053EE1">
        <w:rPr>
          <w:rFonts w:ascii="Arial" w:eastAsiaTheme="minorHAnsi" w:hAnsi="Arial" w:cs="Arial"/>
          <w:color w:val="000000"/>
          <w:sz w:val="22"/>
          <w:szCs w:val="22"/>
        </w:rPr>
        <w:t xml:space="preserve">The data supplied: Provides assurance that the product will be suitable, safe and efficacious / does not provide suitable assurance </w:t>
      </w:r>
    </w:p>
    <w:p w14:paraId="7C6FE4B2" w14:textId="77777777" w:rsidR="00053EE1" w:rsidRPr="00053EE1" w:rsidRDefault="00053EE1" w:rsidP="00280F75">
      <w:pPr>
        <w:autoSpaceDE w:val="0"/>
        <w:autoSpaceDN w:val="0"/>
        <w:adjustRightInd w:val="0"/>
        <w:jc w:val="both"/>
        <w:rPr>
          <w:rFonts w:ascii="Arial" w:eastAsiaTheme="minorHAnsi" w:hAnsi="Arial" w:cs="Arial"/>
          <w:color w:val="000000"/>
          <w:sz w:val="22"/>
          <w:szCs w:val="22"/>
        </w:rPr>
      </w:pPr>
    </w:p>
    <w:p w14:paraId="3D7C4B92" w14:textId="1504AAA2" w:rsidR="00053EE1" w:rsidRDefault="00053EE1" w:rsidP="00280F75">
      <w:pPr>
        <w:jc w:val="both"/>
        <w:rPr>
          <w:noProof/>
        </w:rPr>
      </w:pPr>
      <w:r w:rsidRPr="00053EE1">
        <w:rPr>
          <w:rFonts w:ascii="Arial" w:eastAsiaTheme="minorHAnsi" w:hAnsi="Arial" w:cs="Arial"/>
          <w:color w:val="000000"/>
          <w:sz w:val="22"/>
          <w:szCs w:val="22"/>
        </w:rPr>
        <w:t>Approved:…………………………….…………………………….Date:……………………</w:t>
      </w:r>
    </w:p>
    <w:p w14:paraId="1C6109CB" w14:textId="587A641C" w:rsidR="00053EE1" w:rsidRDefault="00053EE1" w:rsidP="00280F75">
      <w:pPr>
        <w:jc w:val="both"/>
        <w:rPr>
          <w:rFonts w:ascii="Arial" w:hAnsi="Arial" w:cs="Arial"/>
        </w:rPr>
      </w:pPr>
    </w:p>
    <w:p w14:paraId="6A5F627B" w14:textId="6852007E" w:rsidR="00053EE1" w:rsidRDefault="00053EE1" w:rsidP="00280F75">
      <w:pPr>
        <w:jc w:val="both"/>
        <w:rPr>
          <w:rFonts w:ascii="Arial" w:hAnsi="Arial" w:cs="Arial"/>
        </w:rPr>
      </w:pPr>
    </w:p>
    <w:p w14:paraId="2CE9CC9F" w14:textId="205BCA5A" w:rsidR="00053EE1" w:rsidRDefault="00053EE1" w:rsidP="00280F75">
      <w:pPr>
        <w:jc w:val="both"/>
        <w:rPr>
          <w:rFonts w:ascii="Arial" w:hAnsi="Arial" w:cs="Arial"/>
        </w:rPr>
      </w:pPr>
    </w:p>
    <w:p w14:paraId="7C6EA952" w14:textId="3C62ABB2" w:rsidR="00053EE1" w:rsidRDefault="00053EE1" w:rsidP="00280F75">
      <w:pPr>
        <w:jc w:val="both"/>
        <w:rPr>
          <w:rFonts w:ascii="Arial" w:hAnsi="Arial" w:cs="Arial"/>
        </w:rPr>
      </w:pPr>
    </w:p>
    <w:p w14:paraId="30619DB6" w14:textId="2BEC24FD" w:rsidR="00053EE1" w:rsidRDefault="00053EE1" w:rsidP="00280F75">
      <w:pPr>
        <w:jc w:val="both"/>
        <w:rPr>
          <w:rFonts w:ascii="Arial" w:hAnsi="Arial" w:cs="Arial"/>
        </w:rPr>
      </w:pPr>
    </w:p>
    <w:p w14:paraId="1D53B788" w14:textId="2FB4AA09" w:rsidR="00053EE1" w:rsidRDefault="00053EE1" w:rsidP="00280F75">
      <w:pPr>
        <w:jc w:val="both"/>
        <w:rPr>
          <w:rFonts w:ascii="Arial" w:hAnsi="Arial" w:cs="Arial"/>
        </w:rPr>
      </w:pPr>
    </w:p>
    <w:p w14:paraId="40EBD5A4" w14:textId="326FBB29" w:rsidR="00053EE1" w:rsidRDefault="00053EE1" w:rsidP="00280F75">
      <w:pPr>
        <w:jc w:val="both"/>
        <w:rPr>
          <w:rFonts w:ascii="Arial" w:hAnsi="Arial" w:cs="Arial"/>
        </w:rPr>
      </w:pPr>
    </w:p>
    <w:p w14:paraId="036BF1C9" w14:textId="5F274FFC" w:rsidR="00053EE1" w:rsidRDefault="00053EE1" w:rsidP="00280F75">
      <w:pPr>
        <w:jc w:val="both"/>
        <w:rPr>
          <w:rFonts w:ascii="Arial" w:hAnsi="Arial" w:cs="Arial"/>
        </w:rPr>
      </w:pPr>
    </w:p>
    <w:p w14:paraId="02345795" w14:textId="31CCB728" w:rsidR="00053EE1" w:rsidRDefault="00053EE1" w:rsidP="00280F75">
      <w:pPr>
        <w:jc w:val="both"/>
        <w:rPr>
          <w:rFonts w:ascii="Arial" w:hAnsi="Arial" w:cs="Arial"/>
        </w:rPr>
      </w:pPr>
      <w:r>
        <w:rPr>
          <w:noProof/>
        </w:rPr>
        <w:lastRenderedPageBreak/>
        <w:drawing>
          <wp:inline distT="0" distB="0" distL="0" distR="0" wp14:anchorId="159B4B35" wp14:editId="377799F8">
            <wp:extent cx="5731510" cy="1722120"/>
            <wp:effectExtent l="0" t="0" r="254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5731510" cy="1722120"/>
                    </a:xfrm>
                    <a:prstGeom prst="rect">
                      <a:avLst/>
                    </a:prstGeom>
                  </pic:spPr>
                </pic:pic>
              </a:graphicData>
            </a:graphic>
          </wp:inline>
        </w:drawing>
      </w:r>
    </w:p>
    <w:p w14:paraId="7385771C" w14:textId="046B775B" w:rsidR="00053EE1" w:rsidRDefault="00053EE1" w:rsidP="00280F75">
      <w:pPr>
        <w:jc w:val="both"/>
        <w:rPr>
          <w:rFonts w:ascii="Arial" w:hAnsi="Arial" w:cs="Arial"/>
        </w:rPr>
      </w:pPr>
    </w:p>
    <w:p w14:paraId="29CE9715" w14:textId="7586BCDE" w:rsidR="00FA5310" w:rsidRPr="00FA5310" w:rsidRDefault="00FA5310" w:rsidP="00280F75">
      <w:pPr>
        <w:jc w:val="both"/>
        <w:rPr>
          <w:rFonts w:ascii="Arial" w:hAnsi="Arial" w:cs="Arial"/>
        </w:rPr>
      </w:pPr>
    </w:p>
    <w:p w14:paraId="4D089259" w14:textId="5CE34A5B" w:rsidR="00FA5310" w:rsidRPr="00FA5310" w:rsidRDefault="00FA5310" w:rsidP="00280F75">
      <w:pPr>
        <w:jc w:val="both"/>
        <w:rPr>
          <w:rFonts w:ascii="Arial" w:hAnsi="Arial" w:cs="Arial"/>
        </w:rPr>
      </w:pPr>
    </w:p>
    <w:p w14:paraId="16A85FBA" w14:textId="546D0DCE" w:rsidR="00FA5310" w:rsidRPr="00FA5310" w:rsidRDefault="00FA5310" w:rsidP="00280F75">
      <w:pPr>
        <w:jc w:val="both"/>
        <w:rPr>
          <w:rFonts w:ascii="Arial" w:hAnsi="Arial" w:cs="Arial"/>
        </w:rPr>
      </w:pPr>
    </w:p>
    <w:p w14:paraId="76B76A41" w14:textId="75743852" w:rsidR="00FA5310" w:rsidRPr="00FA5310" w:rsidRDefault="00FA5310" w:rsidP="00280F75">
      <w:pPr>
        <w:jc w:val="both"/>
        <w:rPr>
          <w:rFonts w:ascii="Arial" w:hAnsi="Arial" w:cs="Arial"/>
        </w:rPr>
      </w:pPr>
    </w:p>
    <w:p w14:paraId="06A1939C" w14:textId="7FA877D9" w:rsidR="00FA5310" w:rsidRPr="00FA5310" w:rsidRDefault="00FA5310" w:rsidP="00280F75">
      <w:pPr>
        <w:jc w:val="both"/>
        <w:rPr>
          <w:rFonts w:ascii="Arial" w:hAnsi="Arial" w:cs="Arial"/>
        </w:rPr>
      </w:pPr>
    </w:p>
    <w:p w14:paraId="7D0AB82A" w14:textId="4FCE38AE" w:rsidR="00FA5310" w:rsidRDefault="00FA5310" w:rsidP="00280F75">
      <w:pPr>
        <w:jc w:val="both"/>
        <w:rPr>
          <w:rFonts w:ascii="Arial" w:hAnsi="Arial" w:cs="Arial"/>
        </w:rPr>
      </w:pPr>
    </w:p>
    <w:p w14:paraId="356149D9" w14:textId="705ACD1D" w:rsidR="00FA5310" w:rsidRDefault="00FA5310" w:rsidP="00280F75">
      <w:pPr>
        <w:jc w:val="both"/>
        <w:rPr>
          <w:rFonts w:ascii="Arial" w:hAnsi="Arial" w:cs="Arial"/>
        </w:rPr>
      </w:pPr>
    </w:p>
    <w:p w14:paraId="667BD615" w14:textId="37D0C9E8" w:rsidR="00FA5310" w:rsidRDefault="00FA5310" w:rsidP="00280F75">
      <w:pPr>
        <w:jc w:val="both"/>
        <w:rPr>
          <w:rFonts w:ascii="Arial" w:hAnsi="Arial" w:cs="Arial"/>
        </w:rPr>
      </w:pPr>
    </w:p>
    <w:p w14:paraId="5FDEA0CC" w14:textId="7ACB91F0" w:rsidR="00FA5310" w:rsidRDefault="00FA5310" w:rsidP="00280F75">
      <w:pPr>
        <w:jc w:val="both"/>
        <w:rPr>
          <w:rFonts w:ascii="Arial" w:hAnsi="Arial" w:cs="Arial"/>
        </w:rPr>
      </w:pPr>
    </w:p>
    <w:p w14:paraId="6EAAB09A" w14:textId="2545ED12" w:rsidR="00FA5310" w:rsidRDefault="00FA5310" w:rsidP="00280F75">
      <w:pPr>
        <w:jc w:val="both"/>
        <w:rPr>
          <w:rFonts w:ascii="Arial" w:hAnsi="Arial" w:cs="Arial"/>
        </w:rPr>
      </w:pPr>
    </w:p>
    <w:p w14:paraId="06A49F63" w14:textId="74835641" w:rsidR="00FA5310" w:rsidRDefault="00FA5310" w:rsidP="00280F75">
      <w:pPr>
        <w:jc w:val="both"/>
        <w:rPr>
          <w:rFonts w:ascii="Arial" w:hAnsi="Arial" w:cs="Arial"/>
        </w:rPr>
      </w:pPr>
    </w:p>
    <w:p w14:paraId="6D90EBC7" w14:textId="6BB22E59" w:rsidR="00FA5310" w:rsidRDefault="00FA5310" w:rsidP="00280F75">
      <w:pPr>
        <w:jc w:val="both"/>
        <w:rPr>
          <w:rFonts w:ascii="Arial" w:hAnsi="Arial" w:cs="Arial"/>
        </w:rPr>
      </w:pPr>
    </w:p>
    <w:p w14:paraId="2DA8EC51" w14:textId="447EAD20" w:rsidR="00FA5310" w:rsidRDefault="00FA5310" w:rsidP="00280F75">
      <w:pPr>
        <w:jc w:val="both"/>
        <w:rPr>
          <w:rFonts w:ascii="Arial" w:hAnsi="Arial" w:cs="Arial"/>
        </w:rPr>
      </w:pPr>
    </w:p>
    <w:p w14:paraId="4AC48C53" w14:textId="714834F9" w:rsidR="00FA5310" w:rsidRDefault="00FA5310" w:rsidP="00280F75">
      <w:pPr>
        <w:jc w:val="both"/>
        <w:rPr>
          <w:rFonts w:ascii="Arial" w:hAnsi="Arial" w:cs="Arial"/>
        </w:rPr>
      </w:pPr>
    </w:p>
    <w:p w14:paraId="7A253914" w14:textId="010BA197" w:rsidR="00FA5310" w:rsidRDefault="00FA5310" w:rsidP="00280F75">
      <w:pPr>
        <w:jc w:val="both"/>
        <w:rPr>
          <w:rFonts w:ascii="Arial" w:hAnsi="Arial" w:cs="Arial"/>
        </w:rPr>
      </w:pPr>
    </w:p>
    <w:p w14:paraId="3642D1EE" w14:textId="3C7C7A85" w:rsidR="00FA5310" w:rsidRDefault="00FA5310" w:rsidP="00280F75">
      <w:pPr>
        <w:jc w:val="both"/>
        <w:rPr>
          <w:rFonts w:ascii="Arial" w:hAnsi="Arial" w:cs="Arial"/>
        </w:rPr>
      </w:pPr>
    </w:p>
    <w:p w14:paraId="0E750434" w14:textId="3A2F0819" w:rsidR="00FA5310" w:rsidRDefault="00FA5310" w:rsidP="00280F75">
      <w:pPr>
        <w:jc w:val="both"/>
        <w:rPr>
          <w:rFonts w:ascii="Arial" w:hAnsi="Arial" w:cs="Arial"/>
        </w:rPr>
      </w:pPr>
    </w:p>
    <w:p w14:paraId="39566C51" w14:textId="438632F9" w:rsidR="00FA5310" w:rsidRDefault="00FA5310" w:rsidP="00280F75">
      <w:pPr>
        <w:jc w:val="both"/>
        <w:rPr>
          <w:rFonts w:ascii="Arial" w:hAnsi="Arial" w:cs="Arial"/>
        </w:rPr>
      </w:pPr>
    </w:p>
    <w:p w14:paraId="0E5E423E" w14:textId="511FF873" w:rsidR="00FA5310" w:rsidRDefault="00FA5310" w:rsidP="00280F75">
      <w:pPr>
        <w:jc w:val="both"/>
        <w:rPr>
          <w:rFonts w:ascii="Arial" w:hAnsi="Arial" w:cs="Arial"/>
        </w:rPr>
      </w:pPr>
    </w:p>
    <w:p w14:paraId="528B28E5" w14:textId="3FACC038" w:rsidR="00FA5310" w:rsidRDefault="00FA5310" w:rsidP="00280F75">
      <w:pPr>
        <w:jc w:val="both"/>
        <w:rPr>
          <w:rFonts w:ascii="Arial" w:hAnsi="Arial" w:cs="Arial"/>
        </w:rPr>
      </w:pPr>
    </w:p>
    <w:p w14:paraId="6156F4D1" w14:textId="5FFAD2E9" w:rsidR="00FA5310" w:rsidRDefault="00FA5310" w:rsidP="00280F75">
      <w:pPr>
        <w:jc w:val="both"/>
        <w:rPr>
          <w:rFonts w:ascii="Arial" w:hAnsi="Arial" w:cs="Arial"/>
        </w:rPr>
      </w:pPr>
    </w:p>
    <w:p w14:paraId="347A1E72" w14:textId="4BEEC12C" w:rsidR="00FA5310" w:rsidRDefault="00FA5310" w:rsidP="00280F75">
      <w:pPr>
        <w:jc w:val="both"/>
        <w:rPr>
          <w:rFonts w:ascii="Arial" w:hAnsi="Arial" w:cs="Arial"/>
        </w:rPr>
      </w:pPr>
    </w:p>
    <w:p w14:paraId="217592F2" w14:textId="36931F36" w:rsidR="00FA5310" w:rsidRDefault="00FA5310" w:rsidP="00280F75">
      <w:pPr>
        <w:jc w:val="both"/>
        <w:rPr>
          <w:rFonts w:ascii="Arial" w:hAnsi="Arial" w:cs="Arial"/>
        </w:rPr>
      </w:pPr>
    </w:p>
    <w:p w14:paraId="45213787" w14:textId="265C18E0" w:rsidR="00FA5310" w:rsidRDefault="00FA5310" w:rsidP="00280F75">
      <w:pPr>
        <w:jc w:val="both"/>
        <w:rPr>
          <w:rFonts w:ascii="Arial" w:hAnsi="Arial" w:cs="Arial"/>
        </w:rPr>
      </w:pPr>
    </w:p>
    <w:p w14:paraId="36331341" w14:textId="60768232" w:rsidR="00FA5310" w:rsidRDefault="00FA5310" w:rsidP="00280F75">
      <w:pPr>
        <w:jc w:val="both"/>
        <w:rPr>
          <w:rFonts w:ascii="Arial" w:hAnsi="Arial" w:cs="Arial"/>
        </w:rPr>
      </w:pPr>
    </w:p>
    <w:p w14:paraId="3D6DB359" w14:textId="3486287C" w:rsidR="00FA5310" w:rsidRDefault="00FA5310" w:rsidP="00280F75">
      <w:pPr>
        <w:jc w:val="both"/>
        <w:rPr>
          <w:rFonts w:ascii="Arial" w:hAnsi="Arial" w:cs="Arial"/>
        </w:rPr>
      </w:pPr>
    </w:p>
    <w:p w14:paraId="19CBFE02" w14:textId="41DC47DA" w:rsidR="00FA5310" w:rsidRDefault="00FA5310" w:rsidP="00280F75">
      <w:pPr>
        <w:jc w:val="both"/>
        <w:rPr>
          <w:rFonts w:ascii="Arial" w:hAnsi="Arial" w:cs="Arial"/>
        </w:rPr>
      </w:pPr>
    </w:p>
    <w:p w14:paraId="3ABD47B8" w14:textId="0A75294D" w:rsidR="00FA5310" w:rsidRDefault="00FA5310" w:rsidP="00280F75">
      <w:pPr>
        <w:jc w:val="both"/>
        <w:rPr>
          <w:rFonts w:ascii="Arial" w:hAnsi="Arial" w:cs="Arial"/>
        </w:rPr>
      </w:pPr>
    </w:p>
    <w:p w14:paraId="4BBE1F14" w14:textId="57BB0D45" w:rsidR="00FA5310" w:rsidRDefault="00FA5310" w:rsidP="00280F75">
      <w:pPr>
        <w:jc w:val="both"/>
        <w:rPr>
          <w:rFonts w:ascii="Arial" w:hAnsi="Arial" w:cs="Arial"/>
        </w:rPr>
      </w:pPr>
    </w:p>
    <w:p w14:paraId="3DF8E316" w14:textId="102CA6BA" w:rsidR="00FA5310" w:rsidRDefault="00FA5310" w:rsidP="00280F75">
      <w:pPr>
        <w:jc w:val="both"/>
        <w:rPr>
          <w:rFonts w:ascii="Arial" w:hAnsi="Arial" w:cs="Arial"/>
        </w:rPr>
      </w:pPr>
    </w:p>
    <w:p w14:paraId="1C04D7FB" w14:textId="00DE8AAF" w:rsidR="00FA5310" w:rsidRDefault="00FA5310" w:rsidP="00280F75">
      <w:pPr>
        <w:jc w:val="both"/>
        <w:rPr>
          <w:rFonts w:ascii="Arial" w:hAnsi="Arial" w:cs="Arial"/>
        </w:rPr>
      </w:pPr>
    </w:p>
    <w:p w14:paraId="747B0E86" w14:textId="2FE9184D" w:rsidR="00FA5310" w:rsidRDefault="00FA5310" w:rsidP="00280F75">
      <w:pPr>
        <w:jc w:val="both"/>
        <w:rPr>
          <w:rFonts w:ascii="Arial" w:hAnsi="Arial" w:cs="Arial"/>
        </w:rPr>
      </w:pPr>
    </w:p>
    <w:p w14:paraId="1C561D76" w14:textId="2EB50964" w:rsidR="00FA5310" w:rsidRDefault="00FA5310" w:rsidP="00280F75">
      <w:pPr>
        <w:jc w:val="both"/>
        <w:rPr>
          <w:rFonts w:ascii="Arial" w:hAnsi="Arial" w:cs="Arial"/>
        </w:rPr>
      </w:pPr>
    </w:p>
    <w:p w14:paraId="72360CC7" w14:textId="1E952B20" w:rsidR="00FA5310" w:rsidRDefault="00FA5310" w:rsidP="00280F75">
      <w:pPr>
        <w:jc w:val="both"/>
        <w:rPr>
          <w:rFonts w:ascii="Arial" w:hAnsi="Arial" w:cs="Arial"/>
        </w:rPr>
      </w:pPr>
    </w:p>
    <w:p w14:paraId="5BA435C7" w14:textId="45AFF440" w:rsidR="00FA5310" w:rsidRDefault="00FA5310" w:rsidP="00280F75">
      <w:pPr>
        <w:jc w:val="both"/>
        <w:rPr>
          <w:rFonts w:ascii="Arial" w:hAnsi="Arial" w:cs="Arial"/>
        </w:rPr>
      </w:pPr>
    </w:p>
    <w:p w14:paraId="0A3A16BE" w14:textId="7187222E" w:rsidR="00FA5310" w:rsidRDefault="00FA5310" w:rsidP="00280F75">
      <w:pPr>
        <w:jc w:val="both"/>
        <w:rPr>
          <w:rFonts w:ascii="Arial" w:hAnsi="Arial" w:cs="Arial"/>
        </w:rPr>
      </w:pPr>
    </w:p>
    <w:p w14:paraId="68373086" w14:textId="284D8196" w:rsidR="00FA5310" w:rsidRDefault="00FA5310" w:rsidP="00280F75">
      <w:pPr>
        <w:jc w:val="both"/>
        <w:rPr>
          <w:rFonts w:ascii="Arial" w:hAnsi="Arial" w:cs="Arial"/>
        </w:rPr>
      </w:pPr>
    </w:p>
    <w:p w14:paraId="40712977" w14:textId="50508921" w:rsidR="00FA5310" w:rsidRDefault="00FA5310" w:rsidP="00280F75">
      <w:pPr>
        <w:jc w:val="both"/>
        <w:rPr>
          <w:rFonts w:ascii="Arial" w:hAnsi="Arial" w:cs="Arial"/>
        </w:rPr>
      </w:pPr>
    </w:p>
    <w:p w14:paraId="3CA99B18" w14:textId="77777777" w:rsidR="00FA5310" w:rsidRPr="00FA5310" w:rsidRDefault="00FA5310" w:rsidP="00280F75">
      <w:pPr>
        <w:jc w:val="both"/>
        <w:rPr>
          <w:rFonts w:ascii="Arial" w:hAnsi="Arial" w:cs="Arial"/>
        </w:rPr>
      </w:pPr>
    </w:p>
    <w:p w14:paraId="2BE74A3D" w14:textId="6317D223" w:rsidR="00FA5310" w:rsidRPr="00FA5310" w:rsidRDefault="00FA5310" w:rsidP="00280F75">
      <w:pPr>
        <w:jc w:val="both"/>
        <w:rPr>
          <w:rFonts w:ascii="Arial" w:hAnsi="Arial" w:cs="Arial"/>
        </w:rPr>
      </w:pPr>
    </w:p>
    <w:p w14:paraId="23E56999" w14:textId="3310E71A" w:rsidR="00FA5310" w:rsidRPr="00FA5310" w:rsidRDefault="00FA5310" w:rsidP="00280F75">
      <w:pPr>
        <w:jc w:val="both"/>
        <w:rPr>
          <w:rFonts w:ascii="Arial" w:hAnsi="Arial" w:cs="Arial"/>
        </w:rPr>
      </w:pPr>
    </w:p>
    <w:p w14:paraId="2A7EA617" w14:textId="59ABE173" w:rsidR="00FA5310" w:rsidRDefault="00FA5310" w:rsidP="00280F75">
      <w:pPr>
        <w:jc w:val="both"/>
        <w:rPr>
          <w:rFonts w:ascii="Arial" w:hAnsi="Arial" w:cs="Arial"/>
        </w:rPr>
      </w:pPr>
    </w:p>
    <w:p w14:paraId="31F4D22B" w14:textId="182F89D9" w:rsidR="00CE1D87" w:rsidRDefault="00CE1D87" w:rsidP="00280F75">
      <w:pPr>
        <w:jc w:val="both"/>
        <w:rPr>
          <w:rFonts w:ascii="Arial" w:hAnsi="Arial" w:cs="Arial"/>
        </w:rPr>
      </w:pPr>
    </w:p>
    <w:p w14:paraId="72C81595" w14:textId="00F0E779" w:rsidR="00CE1D87" w:rsidRDefault="00CE1D87" w:rsidP="00280F75">
      <w:pPr>
        <w:jc w:val="both"/>
        <w:rPr>
          <w:rFonts w:ascii="Arial" w:hAnsi="Arial" w:cs="Arial"/>
        </w:rPr>
      </w:pPr>
    </w:p>
    <w:p w14:paraId="34ECC7A0" w14:textId="7AB32794" w:rsidR="00CE1D87" w:rsidRDefault="00CE1D87" w:rsidP="00280F75">
      <w:pPr>
        <w:jc w:val="both"/>
        <w:rPr>
          <w:rFonts w:ascii="Arial" w:hAnsi="Arial" w:cs="Arial"/>
        </w:rPr>
      </w:pPr>
    </w:p>
    <w:p w14:paraId="46025808" w14:textId="77777777" w:rsidR="00CE1D87" w:rsidRPr="00FA5310" w:rsidRDefault="00CE1D87" w:rsidP="00280F75">
      <w:pPr>
        <w:jc w:val="both"/>
        <w:rPr>
          <w:rFonts w:ascii="Arial" w:hAnsi="Arial" w:cs="Arial"/>
        </w:rPr>
      </w:pPr>
    </w:p>
    <w:p w14:paraId="110FFB51" w14:textId="2D290BAC" w:rsidR="00FA5310" w:rsidRPr="00FA5310" w:rsidRDefault="00FA5310" w:rsidP="00280F75">
      <w:pPr>
        <w:jc w:val="both"/>
        <w:rPr>
          <w:rFonts w:ascii="Arial" w:hAnsi="Arial" w:cs="Arial"/>
        </w:rPr>
      </w:pPr>
    </w:p>
    <w:p w14:paraId="13E117B3" w14:textId="65755CEF" w:rsidR="00FA5310" w:rsidRPr="006B1432" w:rsidRDefault="00FA5310" w:rsidP="00280F75">
      <w:pPr>
        <w:pStyle w:val="BodyText2"/>
        <w:jc w:val="both"/>
        <w:rPr>
          <w:rFonts w:cs="Arial"/>
          <w:b/>
          <w:color w:val="auto"/>
          <w:szCs w:val="22"/>
        </w:rPr>
      </w:pPr>
      <w:r w:rsidRPr="006B1432">
        <w:rPr>
          <w:rFonts w:cs="Arial"/>
          <w:b/>
          <w:color w:val="auto"/>
          <w:szCs w:val="22"/>
        </w:rPr>
        <w:lastRenderedPageBreak/>
        <w:t xml:space="preserve">APPENDIX </w:t>
      </w:r>
      <w:r w:rsidR="00B32BC4">
        <w:rPr>
          <w:rFonts w:cs="Arial"/>
          <w:b/>
          <w:color w:val="auto"/>
          <w:szCs w:val="22"/>
        </w:rPr>
        <w:t>A</w:t>
      </w:r>
    </w:p>
    <w:p w14:paraId="3D56F56F" w14:textId="77777777" w:rsidR="00FA5310" w:rsidRPr="006B1432" w:rsidRDefault="00FA5310" w:rsidP="00280F75">
      <w:pPr>
        <w:pStyle w:val="BodyText2"/>
        <w:jc w:val="both"/>
        <w:rPr>
          <w:rFonts w:cs="Arial"/>
          <w:b/>
          <w:color w:val="auto"/>
          <w:szCs w:val="22"/>
        </w:rPr>
      </w:pPr>
    </w:p>
    <w:p w14:paraId="4C128122" w14:textId="5CBC3207" w:rsidR="00FA5310" w:rsidRPr="006B1432" w:rsidRDefault="00FA5310" w:rsidP="00280F75">
      <w:pPr>
        <w:pStyle w:val="BodyText2"/>
        <w:jc w:val="both"/>
        <w:rPr>
          <w:rFonts w:cs="Arial"/>
          <w:b/>
          <w:color w:val="auto"/>
          <w:sz w:val="24"/>
        </w:rPr>
      </w:pPr>
      <w:r w:rsidRPr="006B1432">
        <w:rPr>
          <w:rFonts w:cs="Arial"/>
          <w:b/>
          <w:color w:val="auto"/>
          <w:sz w:val="24"/>
        </w:rPr>
        <w:t>Additional</w:t>
      </w:r>
      <w:r w:rsidR="006173AA">
        <w:rPr>
          <w:rFonts w:cs="Arial"/>
          <w:b/>
          <w:color w:val="auto"/>
          <w:sz w:val="24"/>
        </w:rPr>
        <w:t xml:space="preserve"> Specification</w:t>
      </w:r>
      <w:r w:rsidRPr="006B1432">
        <w:rPr>
          <w:rFonts w:cs="Arial"/>
          <w:b/>
          <w:color w:val="auto"/>
          <w:sz w:val="24"/>
        </w:rPr>
        <w:t xml:space="preserve"> Requirements (supplementary to general and regulatory)</w:t>
      </w:r>
    </w:p>
    <w:p w14:paraId="7CF0DF12" w14:textId="77777777" w:rsidR="00FA5310" w:rsidRPr="006B1432" w:rsidRDefault="00FA5310" w:rsidP="00280F75">
      <w:pPr>
        <w:pStyle w:val="BodyText2"/>
        <w:jc w:val="both"/>
        <w:rPr>
          <w:rFonts w:cs="Arial"/>
          <w:bCs/>
          <w:color w:val="auto"/>
          <w:sz w:val="24"/>
        </w:rPr>
      </w:pPr>
    </w:p>
    <w:p w14:paraId="3FAAC10E" w14:textId="7ED00746" w:rsidR="00FA5310" w:rsidRPr="006B1432" w:rsidRDefault="00FA5310" w:rsidP="00CE1D87">
      <w:pPr>
        <w:pStyle w:val="BodyText2"/>
        <w:jc w:val="both"/>
        <w:rPr>
          <w:rFonts w:cs="Arial"/>
          <w:bCs/>
          <w:color w:val="auto"/>
          <w:sz w:val="24"/>
        </w:rPr>
      </w:pPr>
      <w:r w:rsidRPr="006B1432">
        <w:rPr>
          <w:rFonts w:cs="Arial"/>
          <w:bCs/>
          <w:color w:val="auto"/>
          <w:sz w:val="24"/>
        </w:rPr>
        <w:t xml:space="preserve">The NHS has additional requirements to those identified within the general specification.  Those requirements are specified within this Appendix </w:t>
      </w:r>
      <w:r w:rsidR="00B32BC4">
        <w:rPr>
          <w:rFonts w:cs="Arial"/>
          <w:bCs/>
          <w:color w:val="auto"/>
          <w:sz w:val="24"/>
        </w:rPr>
        <w:t>A</w:t>
      </w:r>
      <w:r w:rsidRPr="006B1432">
        <w:rPr>
          <w:rFonts w:cs="Arial"/>
          <w:bCs/>
          <w:color w:val="auto"/>
          <w:sz w:val="24"/>
        </w:rPr>
        <w:t xml:space="preserve"> to Document No. 04b – </w:t>
      </w:r>
      <w:r w:rsidR="006849E3">
        <w:rPr>
          <w:rFonts w:cs="Arial"/>
          <w:bCs/>
          <w:color w:val="auto"/>
          <w:sz w:val="24"/>
        </w:rPr>
        <w:t>Assessment Criteria, Stability Protocol and Additional Specification Requirements</w:t>
      </w:r>
      <w:r w:rsidRPr="006B1432">
        <w:rPr>
          <w:rFonts w:cs="Arial"/>
          <w:bCs/>
          <w:color w:val="auto"/>
          <w:sz w:val="24"/>
        </w:rPr>
        <w:t xml:space="preserve">.  </w:t>
      </w:r>
    </w:p>
    <w:p w14:paraId="14BD1852" w14:textId="77777777" w:rsidR="00FA5310" w:rsidRPr="006B1432" w:rsidRDefault="00FA5310" w:rsidP="00280F75">
      <w:pPr>
        <w:pStyle w:val="BodyText2"/>
        <w:jc w:val="both"/>
        <w:rPr>
          <w:rFonts w:cs="Arial"/>
          <w:bCs/>
          <w:color w:val="auto"/>
          <w:sz w:val="24"/>
        </w:rPr>
      </w:pPr>
    </w:p>
    <w:p w14:paraId="355ABA49" w14:textId="77777777" w:rsidR="00FA5310" w:rsidRPr="006B1432" w:rsidRDefault="00FA5310" w:rsidP="00CE1D87">
      <w:pPr>
        <w:pStyle w:val="BodyText2"/>
        <w:jc w:val="both"/>
        <w:rPr>
          <w:rFonts w:cs="Arial"/>
          <w:bCs/>
          <w:color w:val="auto"/>
          <w:sz w:val="24"/>
        </w:rPr>
      </w:pPr>
      <w:r w:rsidRPr="006B1432">
        <w:rPr>
          <w:rFonts w:cs="Arial"/>
          <w:bCs/>
          <w:color w:val="auto"/>
          <w:sz w:val="24"/>
        </w:rPr>
        <w:t xml:space="preserve">Awards for these products will be made, where possible, to offers meeting the additional specification (subject to the offers meeting all other award criteria stated in paragraph 12.1.5 of Document No. 02 – Terms of Offer).  </w:t>
      </w:r>
    </w:p>
    <w:p w14:paraId="74A95AB5" w14:textId="77777777" w:rsidR="00FA5310" w:rsidRPr="006B1432" w:rsidRDefault="00FA5310" w:rsidP="00280F75">
      <w:pPr>
        <w:pStyle w:val="BodyText2"/>
        <w:ind w:left="-567"/>
        <w:jc w:val="both"/>
        <w:rPr>
          <w:rFonts w:cs="Arial"/>
          <w:bCs/>
          <w:color w:val="auto"/>
          <w:sz w:val="24"/>
        </w:rPr>
      </w:pPr>
    </w:p>
    <w:p w14:paraId="2009C9F1" w14:textId="77777777" w:rsidR="00FA5310" w:rsidRPr="006B1432" w:rsidRDefault="00FA5310" w:rsidP="00CE1D87">
      <w:pPr>
        <w:pStyle w:val="BodyText2"/>
        <w:jc w:val="both"/>
        <w:rPr>
          <w:rFonts w:cs="Arial"/>
          <w:bCs/>
          <w:color w:val="auto"/>
          <w:sz w:val="24"/>
        </w:rPr>
      </w:pPr>
      <w:r w:rsidRPr="006B1432">
        <w:rPr>
          <w:rFonts w:cs="Arial"/>
          <w:bCs/>
          <w:color w:val="auto"/>
          <w:sz w:val="24"/>
        </w:rPr>
        <w:t>Offers for products that do not meet the additional specification will only be awarded to the framework agreement in the absence of any offers meeting the additional specification (subject to the offers meeting all other award criteria stated in paragraph 12.1.5 of Document No. 02 – Terms of Offer).</w:t>
      </w:r>
    </w:p>
    <w:p w14:paraId="3294E384" w14:textId="77777777" w:rsidR="00FA5310" w:rsidRPr="006B1432" w:rsidRDefault="00FA5310" w:rsidP="00280F75">
      <w:pPr>
        <w:pStyle w:val="BodyText2"/>
        <w:ind w:left="-567"/>
        <w:jc w:val="both"/>
        <w:rPr>
          <w:rFonts w:cs="Arial"/>
          <w:bCs/>
          <w:color w:val="auto"/>
          <w:sz w:val="24"/>
        </w:rPr>
      </w:pPr>
    </w:p>
    <w:p w14:paraId="14E904F0" w14:textId="77777777" w:rsidR="00FA5310" w:rsidRPr="006B1432" w:rsidRDefault="00FA5310" w:rsidP="00CE1D87">
      <w:pPr>
        <w:pStyle w:val="BodyText2"/>
        <w:jc w:val="both"/>
        <w:rPr>
          <w:rFonts w:cs="Arial"/>
          <w:bCs/>
          <w:color w:val="auto"/>
          <w:sz w:val="24"/>
        </w:rPr>
      </w:pPr>
      <w:r w:rsidRPr="006B1432">
        <w:rPr>
          <w:rFonts w:cs="Arial"/>
          <w:bCs/>
          <w:color w:val="auto"/>
          <w:sz w:val="24"/>
        </w:rPr>
        <w:t>Offerors product information within PharmaQC will be used to determine whether offered products meet the addition requirements where possible.  The Product details and pack details recorded (not artwork or photographs) will be used and, in the absence of the relevant fields being completed, it will be deemed that the offered product does not meet the requirement.</w:t>
      </w:r>
    </w:p>
    <w:p w14:paraId="4A6F37B0" w14:textId="77777777" w:rsidR="00FA5310" w:rsidRPr="006B1432" w:rsidRDefault="00FA5310" w:rsidP="00280F75">
      <w:pPr>
        <w:pStyle w:val="BodyText2"/>
        <w:ind w:left="-567"/>
        <w:jc w:val="both"/>
        <w:rPr>
          <w:rFonts w:cs="Arial"/>
          <w:bCs/>
          <w:color w:val="auto"/>
          <w:sz w:val="24"/>
        </w:rPr>
      </w:pPr>
    </w:p>
    <w:p w14:paraId="27B8463D" w14:textId="77777777" w:rsidR="00FA5310" w:rsidRPr="004B6A03" w:rsidRDefault="00FA5310" w:rsidP="00280F75">
      <w:pPr>
        <w:pStyle w:val="BodyText2"/>
        <w:numPr>
          <w:ilvl w:val="0"/>
          <w:numId w:val="22"/>
        </w:numPr>
        <w:ind w:left="-567" w:firstLine="0"/>
        <w:jc w:val="both"/>
        <w:rPr>
          <w:rFonts w:cs="Arial"/>
          <w:b/>
          <w:color w:val="auto"/>
          <w:sz w:val="24"/>
        </w:rPr>
      </w:pPr>
      <w:r w:rsidRPr="004B6A03">
        <w:rPr>
          <w:rFonts w:cs="Arial"/>
          <w:b/>
          <w:color w:val="auto"/>
          <w:sz w:val="24"/>
        </w:rPr>
        <w:t>Primary packaging protection from light</w:t>
      </w:r>
    </w:p>
    <w:p w14:paraId="636B49D4" w14:textId="77777777" w:rsidR="00FA5310" w:rsidRPr="004B6A03" w:rsidRDefault="00FA5310" w:rsidP="00280F75">
      <w:pPr>
        <w:pStyle w:val="BodyText2"/>
        <w:ind w:left="-567"/>
        <w:jc w:val="both"/>
        <w:rPr>
          <w:rFonts w:cs="Arial"/>
          <w:b/>
          <w:color w:val="auto"/>
          <w:sz w:val="24"/>
        </w:rPr>
      </w:pPr>
    </w:p>
    <w:p w14:paraId="25FC48A5" w14:textId="5E309CC5" w:rsidR="00FA5310" w:rsidRPr="004B6A03" w:rsidRDefault="00FA5310" w:rsidP="00CE1D87">
      <w:pPr>
        <w:pStyle w:val="BodyText2"/>
        <w:jc w:val="both"/>
        <w:rPr>
          <w:rFonts w:cs="Arial"/>
          <w:bCs/>
          <w:color w:val="auto"/>
          <w:sz w:val="24"/>
        </w:rPr>
      </w:pPr>
      <w:r w:rsidRPr="004B6A03">
        <w:rPr>
          <w:rFonts w:cs="Arial"/>
          <w:bCs/>
          <w:color w:val="auto"/>
          <w:sz w:val="24"/>
        </w:rPr>
        <w:t xml:space="preserve">Notwithstanding the requirements in Document No. 09 – </w:t>
      </w:r>
      <w:r w:rsidR="006849E3">
        <w:rPr>
          <w:rFonts w:cs="Arial"/>
          <w:bCs/>
          <w:color w:val="auto"/>
          <w:sz w:val="24"/>
        </w:rPr>
        <w:t>S</w:t>
      </w:r>
      <w:r w:rsidRPr="004B6A03">
        <w:rPr>
          <w:rFonts w:cs="Arial"/>
          <w:bCs/>
          <w:color w:val="auto"/>
          <w:sz w:val="24"/>
        </w:rPr>
        <w:t xml:space="preserve">tability </w:t>
      </w:r>
      <w:r w:rsidR="006849E3">
        <w:rPr>
          <w:rFonts w:cs="Arial"/>
          <w:bCs/>
          <w:color w:val="auto"/>
          <w:sz w:val="24"/>
        </w:rPr>
        <w:t>D</w:t>
      </w:r>
      <w:r w:rsidRPr="004B6A03">
        <w:rPr>
          <w:rFonts w:cs="Arial"/>
          <w:bCs/>
          <w:color w:val="auto"/>
          <w:sz w:val="24"/>
        </w:rPr>
        <w:t xml:space="preserve">ata </w:t>
      </w:r>
      <w:r w:rsidR="006849E3">
        <w:rPr>
          <w:rFonts w:cs="Arial"/>
          <w:bCs/>
          <w:color w:val="auto"/>
          <w:sz w:val="24"/>
        </w:rPr>
        <w:t>R</w:t>
      </w:r>
      <w:r w:rsidRPr="004B6A03">
        <w:rPr>
          <w:rFonts w:cs="Arial"/>
          <w:bCs/>
          <w:color w:val="auto"/>
          <w:sz w:val="24"/>
        </w:rPr>
        <w:t>equirements, the NHS requires the following products to be contained in primary packaging designed to protect the product from light:</w:t>
      </w:r>
    </w:p>
    <w:p w14:paraId="5A7BBABB" w14:textId="77777777" w:rsidR="00FA5310" w:rsidRPr="004B6A03" w:rsidRDefault="00FA5310" w:rsidP="00280F75">
      <w:pPr>
        <w:pStyle w:val="BodyText2"/>
        <w:ind w:left="-567"/>
        <w:jc w:val="both"/>
        <w:rPr>
          <w:rFonts w:cs="Arial"/>
          <w:bCs/>
          <w:color w:val="auto"/>
          <w:sz w:val="24"/>
        </w:rPr>
      </w:pPr>
    </w:p>
    <w:p w14:paraId="57B77B23" w14:textId="77777777" w:rsidR="00FA5310" w:rsidRPr="004B6A03" w:rsidRDefault="00FA5310" w:rsidP="00CE1D87">
      <w:pPr>
        <w:pStyle w:val="BodyText2"/>
        <w:ind w:left="-567" w:firstLine="567"/>
        <w:jc w:val="both"/>
        <w:rPr>
          <w:rFonts w:cs="Arial"/>
          <w:bCs/>
          <w:color w:val="auto"/>
          <w:sz w:val="24"/>
        </w:rPr>
      </w:pPr>
      <w:r w:rsidRPr="004B6A03">
        <w:rPr>
          <w:rFonts w:cs="Arial"/>
          <w:bCs/>
          <w:color w:val="auto"/>
          <w:sz w:val="24"/>
        </w:rPr>
        <w:t>Ciprofloxacin solution for infusion 200mg/100ml</w:t>
      </w:r>
    </w:p>
    <w:p w14:paraId="34FBDA70" w14:textId="77777777" w:rsidR="00FA5310" w:rsidRPr="004B6A03" w:rsidRDefault="00FA5310" w:rsidP="00CE1D87">
      <w:pPr>
        <w:pStyle w:val="BodyText2"/>
        <w:ind w:left="-567" w:firstLine="567"/>
        <w:jc w:val="both"/>
        <w:rPr>
          <w:rFonts w:cs="Arial"/>
          <w:bCs/>
          <w:color w:val="auto"/>
          <w:sz w:val="24"/>
        </w:rPr>
      </w:pPr>
      <w:r w:rsidRPr="004B6A03">
        <w:rPr>
          <w:rFonts w:cs="Arial"/>
          <w:bCs/>
          <w:color w:val="auto"/>
          <w:sz w:val="24"/>
        </w:rPr>
        <w:t>Ciprofloxacin solution for infusion 400mg/200ml</w:t>
      </w:r>
    </w:p>
    <w:p w14:paraId="3CF7C3AB" w14:textId="77777777" w:rsidR="00FA5310" w:rsidRPr="004B6A03" w:rsidRDefault="00FA5310" w:rsidP="00280F75">
      <w:pPr>
        <w:pStyle w:val="BodyText2"/>
        <w:ind w:left="-567"/>
        <w:jc w:val="both"/>
        <w:rPr>
          <w:rFonts w:cs="Arial"/>
          <w:b/>
          <w:color w:val="auto"/>
          <w:sz w:val="24"/>
        </w:rPr>
      </w:pPr>
    </w:p>
    <w:p w14:paraId="081A4DD1" w14:textId="77777777" w:rsidR="00FA5310" w:rsidRPr="004B6A03" w:rsidRDefault="00FA5310" w:rsidP="00280F75">
      <w:pPr>
        <w:pStyle w:val="BodyText2"/>
        <w:numPr>
          <w:ilvl w:val="0"/>
          <w:numId w:val="22"/>
        </w:numPr>
        <w:ind w:left="0" w:hanging="567"/>
        <w:jc w:val="both"/>
        <w:rPr>
          <w:rFonts w:cs="Arial"/>
          <w:b/>
          <w:color w:val="auto"/>
          <w:sz w:val="24"/>
        </w:rPr>
      </w:pPr>
      <w:r w:rsidRPr="004B6A03">
        <w:rPr>
          <w:rFonts w:cs="Arial"/>
          <w:b/>
          <w:color w:val="auto"/>
          <w:sz w:val="24"/>
        </w:rPr>
        <w:t>Cytotoxic products in blister packs/sachets or with Child Resistant Closure (CRC)</w:t>
      </w:r>
    </w:p>
    <w:p w14:paraId="74280478" w14:textId="77777777" w:rsidR="00FA5310" w:rsidRPr="004B6A03" w:rsidRDefault="00FA5310" w:rsidP="00280F75">
      <w:pPr>
        <w:pStyle w:val="BodyText2"/>
        <w:jc w:val="both"/>
        <w:rPr>
          <w:rFonts w:cs="Arial"/>
          <w:b/>
          <w:color w:val="auto"/>
          <w:sz w:val="24"/>
        </w:rPr>
      </w:pPr>
    </w:p>
    <w:p w14:paraId="3E405C9D" w14:textId="77777777" w:rsidR="00FA5310" w:rsidRPr="004B6A03" w:rsidRDefault="00FA5310" w:rsidP="00CE1D87">
      <w:pPr>
        <w:pStyle w:val="BodyText2"/>
        <w:jc w:val="both"/>
        <w:rPr>
          <w:rFonts w:cs="Arial"/>
          <w:bCs/>
          <w:color w:val="auto"/>
          <w:sz w:val="24"/>
        </w:rPr>
      </w:pPr>
      <w:r w:rsidRPr="004B6A03">
        <w:rPr>
          <w:rFonts w:cs="Arial"/>
          <w:bCs/>
          <w:color w:val="auto"/>
          <w:sz w:val="24"/>
        </w:rPr>
        <w:t>The NHS requires the following cytotoxic products to be contained in a blister pack (or sachet) presentation or have a CRC if the presentation is in a bottle/tub:</w:t>
      </w:r>
    </w:p>
    <w:p w14:paraId="462DD7F7" w14:textId="77777777" w:rsidR="00FA5310" w:rsidRPr="004B6A03" w:rsidRDefault="00FA5310" w:rsidP="00280F75">
      <w:pPr>
        <w:pStyle w:val="BodyText2"/>
        <w:ind w:left="-567"/>
        <w:jc w:val="both"/>
        <w:rPr>
          <w:rFonts w:cs="Arial"/>
          <w:b/>
          <w:color w:val="auto"/>
          <w:sz w:val="24"/>
        </w:rPr>
      </w:pPr>
    </w:p>
    <w:p w14:paraId="67C2EBE8" w14:textId="77777777" w:rsidR="00FA5310" w:rsidRPr="00290025" w:rsidRDefault="00FA5310" w:rsidP="00CE1D87">
      <w:pPr>
        <w:pStyle w:val="BodyText2"/>
        <w:ind w:left="-567" w:firstLine="567"/>
        <w:jc w:val="both"/>
        <w:rPr>
          <w:rFonts w:cs="Arial"/>
          <w:bCs/>
          <w:color w:val="auto"/>
          <w:sz w:val="24"/>
        </w:rPr>
      </w:pPr>
      <w:r w:rsidRPr="00290025">
        <w:rPr>
          <w:rFonts w:cs="Arial"/>
          <w:bCs/>
          <w:color w:val="auto"/>
          <w:sz w:val="24"/>
        </w:rPr>
        <w:t>Cyclophosphamide Tablets 50mg</w:t>
      </w:r>
    </w:p>
    <w:p w14:paraId="3BE10091" w14:textId="77777777" w:rsidR="00FA5310" w:rsidRPr="00290025" w:rsidRDefault="00FA5310" w:rsidP="00CE1D87">
      <w:pPr>
        <w:pStyle w:val="BodyText2"/>
        <w:ind w:left="-567" w:firstLine="567"/>
        <w:jc w:val="both"/>
        <w:rPr>
          <w:rFonts w:cs="Arial"/>
          <w:bCs/>
          <w:color w:val="auto"/>
          <w:sz w:val="24"/>
        </w:rPr>
      </w:pPr>
      <w:r w:rsidRPr="00290025">
        <w:rPr>
          <w:rFonts w:cs="Arial"/>
          <w:bCs/>
          <w:color w:val="auto"/>
          <w:sz w:val="24"/>
        </w:rPr>
        <w:t>Imatinib Tablets/Capsules 100mg</w:t>
      </w:r>
    </w:p>
    <w:p w14:paraId="41DF99FC" w14:textId="77777777" w:rsidR="00FA5310" w:rsidRPr="00290025" w:rsidRDefault="00FA5310" w:rsidP="00CE1D87">
      <w:pPr>
        <w:pStyle w:val="BodyText2"/>
        <w:ind w:left="-567" w:firstLine="567"/>
        <w:jc w:val="both"/>
        <w:rPr>
          <w:rFonts w:cs="Arial"/>
          <w:bCs/>
          <w:color w:val="auto"/>
          <w:sz w:val="24"/>
        </w:rPr>
      </w:pPr>
      <w:r w:rsidRPr="00290025">
        <w:rPr>
          <w:rFonts w:cs="Arial"/>
          <w:bCs/>
          <w:color w:val="auto"/>
          <w:sz w:val="24"/>
        </w:rPr>
        <w:t>Imatinib Tablets/Capsules 400mg</w:t>
      </w:r>
    </w:p>
    <w:p w14:paraId="3A23342F" w14:textId="77777777" w:rsidR="00FA5310" w:rsidRPr="007F53D3" w:rsidRDefault="00FA5310" w:rsidP="00CE1D87">
      <w:pPr>
        <w:pStyle w:val="BodyText2"/>
        <w:ind w:left="-567" w:firstLine="567"/>
        <w:jc w:val="both"/>
        <w:rPr>
          <w:rFonts w:cs="Arial"/>
          <w:bCs/>
          <w:color w:val="auto"/>
          <w:sz w:val="24"/>
        </w:rPr>
      </w:pPr>
      <w:r w:rsidRPr="007F53D3">
        <w:rPr>
          <w:rFonts w:cs="Arial"/>
          <w:bCs/>
          <w:color w:val="auto"/>
          <w:sz w:val="24"/>
        </w:rPr>
        <w:t>Temozolomide Capsules 100mg</w:t>
      </w:r>
    </w:p>
    <w:p w14:paraId="7395CE88" w14:textId="77777777" w:rsidR="00FA5310" w:rsidRPr="007F53D3" w:rsidRDefault="00FA5310" w:rsidP="00CE1D87">
      <w:pPr>
        <w:pStyle w:val="BodyText2"/>
        <w:ind w:left="-567" w:firstLine="567"/>
        <w:jc w:val="both"/>
        <w:rPr>
          <w:rFonts w:cs="Arial"/>
          <w:bCs/>
          <w:color w:val="auto"/>
          <w:sz w:val="24"/>
        </w:rPr>
      </w:pPr>
      <w:r w:rsidRPr="007F53D3">
        <w:rPr>
          <w:rFonts w:cs="Arial"/>
          <w:bCs/>
          <w:color w:val="auto"/>
          <w:sz w:val="24"/>
        </w:rPr>
        <w:t>Temozolomide Capsules 140mg</w:t>
      </w:r>
    </w:p>
    <w:p w14:paraId="552120FB" w14:textId="77777777" w:rsidR="00FA5310" w:rsidRPr="007F53D3" w:rsidRDefault="00FA5310" w:rsidP="00CE1D87">
      <w:pPr>
        <w:pStyle w:val="BodyText2"/>
        <w:ind w:left="-567" w:firstLine="567"/>
        <w:jc w:val="both"/>
        <w:rPr>
          <w:rFonts w:cs="Arial"/>
          <w:bCs/>
          <w:color w:val="auto"/>
          <w:sz w:val="24"/>
        </w:rPr>
      </w:pPr>
      <w:r w:rsidRPr="007F53D3">
        <w:rPr>
          <w:rFonts w:cs="Arial"/>
          <w:bCs/>
          <w:color w:val="auto"/>
          <w:sz w:val="24"/>
        </w:rPr>
        <w:t>Temozolomide Capsules 180mg</w:t>
      </w:r>
    </w:p>
    <w:p w14:paraId="72FB1479" w14:textId="77777777" w:rsidR="00FA5310" w:rsidRPr="007F53D3" w:rsidRDefault="00FA5310" w:rsidP="00CE1D87">
      <w:pPr>
        <w:pStyle w:val="BodyText2"/>
        <w:ind w:left="-567" w:firstLine="567"/>
        <w:jc w:val="both"/>
        <w:rPr>
          <w:rFonts w:cs="Arial"/>
          <w:bCs/>
          <w:color w:val="auto"/>
          <w:sz w:val="24"/>
        </w:rPr>
      </w:pPr>
      <w:r w:rsidRPr="007F53D3">
        <w:rPr>
          <w:rFonts w:cs="Arial"/>
          <w:bCs/>
          <w:color w:val="auto"/>
          <w:sz w:val="24"/>
        </w:rPr>
        <w:t>Temozolomide Capsules 250mg</w:t>
      </w:r>
    </w:p>
    <w:p w14:paraId="254D5740" w14:textId="77777777" w:rsidR="00FA5310" w:rsidRPr="007F53D3" w:rsidRDefault="00FA5310" w:rsidP="00CE1D87">
      <w:pPr>
        <w:pStyle w:val="BodyText2"/>
        <w:ind w:left="-567" w:firstLine="567"/>
        <w:jc w:val="both"/>
        <w:rPr>
          <w:rFonts w:cs="Arial"/>
          <w:bCs/>
          <w:color w:val="auto"/>
          <w:sz w:val="24"/>
        </w:rPr>
      </w:pPr>
      <w:r w:rsidRPr="007F53D3">
        <w:rPr>
          <w:rFonts w:cs="Arial"/>
          <w:bCs/>
          <w:color w:val="auto"/>
          <w:sz w:val="24"/>
        </w:rPr>
        <w:t>Temozolomide Capsules 5mg</w:t>
      </w:r>
    </w:p>
    <w:p w14:paraId="2318FE4E" w14:textId="77777777" w:rsidR="00FA5310" w:rsidRPr="007F53D3" w:rsidRDefault="00FA5310" w:rsidP="00CE1D87">
      <w:pPr>
        <w:pStyle w:val="BodyText2"/>
        <w:ind w:left="-567" w:firstLine="567"/>
        <w:jc w:val="both"/>
        <w:rPr>
          <w:rFonts w:cs="Arial"/>
          <w:bCs/>
          <w:color w:val="auto"/>
          <w:sz w:val="24"/>
        </w:rPr>
      </w:pPr>
      <w:r w:rsidRPr="007F53D3">
        <w:rPr>
          <w:rFonts w:cs="Arial"/>
          <w:bCs/>
          <w:color w:val="auto"/>
          <w:sz w:val="24"/>
        </w:rPr>
        <w:t>Temozolomide Capsules 20mg</w:t>
      </w:r>
    </w:p>
    <w:p w14:paraId="10E0B7D4" w14:textId="77777777" w:rsidR="00FA5310" w:rsidRPr="007F53D3" w:rsidRDefault="00FA5310" w:rsidP="00CE1D87">
      <w:pPr>
        <w:pStyle w:val="BodyText2"/>
        <w:ind w:left="-567" w:firstLine="567"/>
        <w:jc w:val="both"/>
        <w:rPr>
          <w:rFonts w:cs="Arial"/>
          <w:bCs/>
          <w:color w:val="auto"/>
          <w:sz w:val="24"/>
        </w:rPr>
      </w:pPr>
      <w:r w:rsidRPr="007F53D3">
        <w:rPr>
          <w:rFonts w:cs="Arial"/>
          <w:bCs/>
          <w:color w:val="auto"/>
          <w:sz w:val="24"/>
        </w:rPr>
        <w:t>Capecitabine Tablets 150mg</w:t>
      </w:r>
    </w:p>
    <w:p w14:paraId="17F8EA0E" w14:textId="77777777" w:rsidR="00FA5310" w:rsidRPr="007F53D3" w:rsidRDefault="00FA5310" w:rsidP="00CE1D87">
      <w:pPr>
        <w:pStyle w:val="BodyText2"/>
        <w:ind w:left="-567" w:firstLine="567"/>
        <w:jc w:val="both"/>
        <w:rPr>
          <w:rFonts w:cs="Arial"/>
          <w:bCs/>
          <w:color w:val="auto"/>
          <w:sz w:val="24"/>
        </w:rPr>
      </w:pPr>
      <w:r w:rsidRPr="007F53D3">
        <w:rPr>
          <w:rFonts w:cs="Arial"/>
          <w:bCs/>
          <w:color w:val="auto"/>
          <w:sz w:val="24"/>
        </w:rPr>
        <w:lastRenderedPageBreak/>
        <w:t>Capecitabine Tablets 300mg</w:t>
      </w:r>
    </w:p>
    <w:p w14:paraId="4337CABE" w14:textId="77777777" w:rsidR="00FA5310" w:rsidRPr="009939FF" w:rsidRDefault="00FA5310" w:rsidP="00CE1D87">
      <w:pPr>
        <w:pStyle w:val="BodyText2"/>
        <w:ind w:left="-567" w:firstLine="567"/>
        <w:jc w:val="both"/>
        <w:rPr>
          <w:rFonts w:cs="Arial"/>
          <w:bCs/>
          <w:color w:val="auto"/>
          <w:sz w:val="24"/>
          <w:highlight w:val="yellow"/>
        </w:rPr>
      </w:pPr>
      <w:r w:rsidRPr="007F53D3">
        <w:rPr>
          <w:rFonts w:cs="Arial"/>
          <w:bCs/>
          <w:color w:val="auto"/>
          <w:sz w:val="24"/>
        </w:rPr>
        <w:t>Capecitabine Tablets 500mg</w:t>
      </w:r>
    </w:p>
    <w:p w14:paraId="4E69A294" w14:textId="77777777" w:rsidR="00FA5310" w:rsidRPr="009939FF" w:rsidRDefault="00FA5310" w:rsidP="00280F75">
      <w:pPr>
        <w:pStyle w:val="BodyText2"/>
        <w:ind w:left="-567"/>
        <w:jc w:val="both"/>
        <w:rPr>
          <w:rFonts w:cs="Arial"/>
          <w:bCs/>
          <w:color w:val="auto"/>
          <w:sz w:val="24"/>
          <w:highlight w:val="yellow"/>
        </w:rPr>
      </w:pPr>
    </w:p>
    <w:p w14:paraId="458EF383" w14:textId="50FE5DA5" w:rsidR="00FA5310" w:rsidRPr="004B6A03" w:rsidRDefault="00FA5310" w:rsidP="00280F75">
      <w:pPr>
        <w:pStyle w:val="BodyText2"/>
        <w:numPr>
          <w:ilvl w:val="0"/>
          <w:numId w:val="22"/>
        </w:numPr>
        <w:ind w:left="0" w:hanging="567"/>
        <w:jc w:val="both"/>
        <w:rPr>
          <w:rFonts w:cs="Arial"/>
          <w:bCs/>
          <w:color w:val="auto"/>
          <w:sz w:val="24"/>
        </w:rPr>
      </w:pPr>
      <w:r w:rsidRPr="004B6A03">
        <w:rPr>
          <w:rFonts w:cs="Arial"/>
          <w:b/>
          <w:color w:val="auto"/>
          <w:sz w:val="24"/>
        </w:rPr>
        <w:t xml:space="preserve">Licensed </w:t>
      </w:r>
      <w:r w:rsidR="0085481E">
        <w:rPr>
          <w:rFonts w:cs="Arial"/>
          <w:b/>
          <w:color w:val="auto"/>
          <w:sz w:val="24"/>
        </w:rPr>
        <w:t xml:space="preserve">routes of </w:t>
      </w:r>
      <w:r w:rsidRPr="004B6A03">
        <w:rPr>
          <w:rFonts w:cs="Arial"/>
          <w:b/>
          <w:color w:val="auto"/>
          <w:sz w:val="24"/>
        </w:rPr>
        <w:t>administration</w:t>
      </w:r>
      <w:r>
        <w:rPr>
          <w:rFonts w:cs="Arial"/>
          <w:b/>
          <w:color w:val="auto"/>
          <w:sz w:val="24"/>
        </w:rPr>
        <w:t>s</w:t>
      </w:r>
    </w:p>
    <w:p w14:paraId="1820CA13" w14:textId="77777777" w:rsidR="00FA5310" w:rsidRPr="004B6A03" w:rsidRDefault="00FA5310" w:rsidP="00280F75">
      <w:pPr>
        <w:pStyle w:val="BodyText2"/>
        <w:jc w:val="both"/>
        <w:rPr>
          <w:rFonts w:cs="Arial"/>
          <w:bCs/>
          <w:color w:val="auto"/>
          <w:sz w:val="24"/>
        </w:rPr>
      </w:pPr>
    </w:p>
    <w:p w14:paraId="3CF4FA71" w14:textId="1A58F8E3" w:rsidR="00FA5310" w:rsidRPr="004B6A03" w:rsidRDefault="00FA5310" w:rsidP="00CE1D87">
      <w:pPr>
        <w:pStyle w:val="BodyText2"/>
        <w:jc w:val="both"/>
        <w:rPr>
          <w:rFonts w:cs="Arial"/>
          <w:bCs/>
          <w:color w:val="auto"/>
          <w:sz w:val="24"/>
        </w:rPr>
      </w:pPr>
      <w:r w:rsidRPr="004B6A03">
        <w:rPr>
          <w:rFonts w:cs="Arial"/>
          <w:bCs/>
          <w:color w:val="auto"/>
          <w:sz w:val="24"/>
        </w:rPr>
        <w:t>The NHS requires the following product to</w:t>
      </w:r>
      <w:r w:rsidR="0085481E">
        <w:rPr>
          <w:rFonts w:cs="Arial"/>
          <w:bCs/>
          <w:color w:val="auto"/>
          <w:sz w:val="24"/>
        </w:rPr>
        <w:t xml:space="preserve"> be</w:t>
      </w:r>
      <w:r w:rsidRPr="004B6A03">
        <w:rPr>
          <w:rFonts w:cs="Arial"/>
          <w:bCs/>
          <w:color w:val="auto"/>
          <w:sz w:val="24"/>
        </w:rPr>
        <w:t xml:space="preserve"> licensed for administration both with and without dilution:</w:t>
      </w:r>
    </w:p>
    <w:p w14:paraId="1D389C17" w14:textId="77777777" w:rsidR="00FA5310" w:rsidRPr="004B6A03" w:rsidRDefault="00FA5310" w:rsidP="00280F75">
      <w:pPr>
        <w:pStyle w:val="BodyText2"/>
        <w:ind w:left="-567"/>
        <w:jc w:val="both"/>
        <w:rPr>
          <w:rFonts w:cs="Arial"/>
          <w:bCs/>
          <w:color w:val="auto"/>
          <w:sz w:val="24"/>
        </w:rPr>
      </w:pPr>
    </w:p>
    <w:p w14:paraId="1FC8EC6F" w14:textId="561078B3" w:rsidR="00FA5310" w:rsidRPr="00275407" w:rsidRDefault="00FA5310" w:rsidP="00CE1D87">
      <w:pPr>
        <w:pStyle w:val="BodyText2"/>
        <w:ind w:left="-567" w:firstLine="567"/>
        <w:jc w:val="both"/>
        <w:rPr>
          <w:rFonts w:cs="Arial"/>
          <w:bCs/>
          <w:color w:val="auto"/>
          <w:sz w:val="24"/>
        </w:rPr>
      </w:pPr>
      <w:r w:rsidRPr="00275407">
        <w:rPr>
          <w:rFonts w:cs="Arial"/>
          <w:bCs/>
          <w:color w:val="auto"/>
          <w:sz w:val="24"/>
        </w:rPr>
        <w:t>Phenytoin Sodium Solution for Injection Amp</w:t>
      </w:r>
      <w:r w:rsidR="00742D79">
        <w:rPr>
          <w:rFonts w:cs="Arial"/>
          <w:bCs/>
          <w:color w:val="auto"/>
          <w:sz w:val="24"/>
        </w:rPr>
        <w:t>oule</w:t>
      </w:r>
      <w:r w:rsidRPr="00275407">
        <w:rPr>
          <w:rFonts w:cs="Arial"/>
          <w:bCs/>
          <w:color w:val="auto"/>
          <w:sz w:val="24"/>
        </w:rPr>
        <w:t xml:space="preserve"> 250mg/5ml</w:t>
      </w:r>
    </w:p>
    <w:p w14:paraId="7A231C23" w14:textId="77777777" w:rsidR="00FA5310" w:rsidRDefault="00FA5310" w:rsidP="00280F75">
      <w:pPr>
        <w:pStyle w:val="BodyText2"/>
        <w:ind w:left="-567"/>
        <w:jc w:val="both"/>
        <w:rPr>
          <w:rFonts w:cs="Arial"/>
          <w:bCs/>
          <w:color w:val="auto"/>
          <w:sz w:val="24"/>
          <w:highlight w:val="yellow"/>
        </w:rPr>
      </w:pPr>
    </w:p>
    <w:p w14:paraId="2FFB654D" w14:textId="77777777" w:rsidR="00FA5310" w:rsidRPr="00A21EBD" w:rsidRDefault="00FA5310" w:rsidP="00CE1D87">
      <w:pPr>
        <w:pStyle w:val="BodyText2"/>
        <w:jc w:val="both"/>
        <w:rPr>
          <w:rFonts w:cs="Arial"/>
          <w:bCs/>
          <w:color w:val="auto"/>
          <w:sz w:val="24"/>
        </w:rPr>
      </w:pPr>
      <w:r w:rsidRPr="00A21EBD">
        <w:rPr>
          <w:rFonts w:cs="Arial"/>
          <w:bCs/>
          <w:color w:val="auto"/>
          <w:sz w:val="24"/>
        </w:rPr>
        <w:t>The NHS requires the following product to be licensed for the route(s) of administration to include intrathecal route:</w:t>
      </w:r>
    </w:p>
    <w:p w14:paraId="5A69F4BE" w14:textId="77777777" w:rsidR="00FA5310" w:rsidRPr="00A21EBD" w:rsidRDefault="00FA5310" w:rsidP="00280F75">
      <w:pPr>
        <w:pStyle w:val="BodyText2"/>
        <w:ind w:left="-567"/>
        <w:jc w:val="both"/>
        <w:rPr>
          <w:rFonts w:cs="Arial"/>
          <w:bCs/>
          <w:color w:val="auto"/>
          <w:sz w:val="24"/>
        </w:rPr>
      </w:pPr>
    </w:p>
    <w:p w14:paraId="2DDEF896" w14:textId="5EECC2D0" w:rsidR="00FA5310" w:rsidRPr="00A21EBD" w:rsidRDefault="00FA5310" w:rsidP="00CE1D87">
      <w:pPr>
        <w:pStyle w:val="BodyText2"/>
        <w:ind w:left="-567" w:firstLine="567"/>
        <w:jc w:val="both"/>
        <w:rPr>
          <w:rFonts w:cs="Arial"/>
          <w:bCs/>
          <w:color w:val="auto"/>
          <w:sz w:val="24"/>
        </w:rPr>
      </w:pPr>
      <w:r w:rsidRPr="00C4533D">
        <w:rPr>
          <w:rFonts w:cs="Arial"/>
          <w:bCs/>
          <w:color w:val="auto"/>
          <w:sz w:val="24"/>
        </w:rPr>
        <w:t>Methotrexate Solution for Injection Vial 50mg/2ml</w:t>
      </w:r>
      <w:r w:rsidR="00C4533D">
        <w:rPr>
          <w:rFonts w:cs="Arial"/>
          <w:bCs/>
          <w:color w:val="auto"/>
          <w:sz w:val="24"/>
        </w:rPr>
        <w:t xml:space="preserve"> (For IV, IM and Intrathecal Use)</w:t>
      </w:r>
    </w:p>
    <w:p w14:paraId="5DF36AFB" w14:textId="498E29EA" w:rsidR="00FA5310" w:rsidRPr="00A21EBD" w:rsidRDefault="00FA5310" w:rsidP="00280F75">
      <w:pPr>
        <w:pStyle w:val="BodyText2"/>
        <w:ind w:left="-567"/>
        <w:jc w:val="both"/>
        <w:rPr>
          <w:rFonts w:cs="Arial"/>
          <w:bCs/>
          <w:color w:val="auto"/>
          <w:sz w:val="24"/>
        </w:rPr>
      </w:pPr>
    </w:p>
    <w:p w14:paraId="5E5C0CE1" w14:textId="77777777" w:rsidR="00FA5310" w:rsidRPr="00A21EBD" w:rsidRDefault="00FA5310" w:rsidP="00CE1D87">
      <w:pPr>
        <w:pStyle w:val="BodyText2"/>
        <w:jc w:val="both"/>
        <w:rPr>
          <w:rFonts w:cs="Arial"/>
          <w:bCs/>
          <w:color w:val="auto"/>
          <w:sz w:val="24"/>
        </w:rPr>
      </w:pPr>
      <w:r w:rsidRPr="00A21EBD">
        <w:rPr>
          <w:rFonts w:cs="Arial"/>
          <w:bCs/>
          <w:color w:val="auto"/>
          <w:sz w:val="24"/>
        </w:rPr>
        <w:t>The NHS requires the following product to be licensed for the route(s) of administration to include Intramuscular and Intravenous:</w:t>
      </w:r>
    </w:p>
    <w:p w14:paraId="0C66EA95" w14:textId="77777777" w:rsidR="00FA5310" w:rsidRPr="00A21EBD" w:rsidRDefault="00FA5310" w:rsidP="00280F75">
      <w:pPr>
        <w:pStyle w:val="BodyText2"/>
        <w:ind w:left="-567"/>
        <w:jc w:val="both"/>
        <w:rPr>
          <w:rFonts w:cs="Arial"/>
          <w:bCs/>
          <w:color w:val="auto"/>
          <w:sz w:val="24"/>
        </w:rPr>
      </w:pPr>
    </w:p>
    <w:p w14:paraId="63421D9C" w14:textId="51D45F95" w:rsidR="00FA5310" w:rsidRPr="00A21EBD" w:rsidRDefault="00FA5310" w:rsidP="00CE1D87">
      <w:pPr>
        <w:pStyle w:val="BodyText2"/>
        <w:ind w:left="-567" w:firstLine="567"/>
        <w:jc w:val="both"/>
        <w:rPr>
          <w:rFonts w:cs="Arial"/>
          <w:bCs/>
          <w:color w:val="auto"/>
          <w:sz w:val="24"/>
        </w:rPr>
      </w:pPr>
      <w:r w:rsidRPr="00863F7B">
        <w:rPr>
          <w:rFonts w:cs="Arial"/>
          <w:bCs/>
          <w:color w:val="auto"/>
          <w:sz w:val="24"/>
        </w:rPr>
        <w:t>Ondansetron Solution for Injection Amp</w:t>
      </w:r>
      <w:r w:rsidR="00863F7B" w:rsidRPr="00863F7B">
        <w:rPr>
          <w:rFonts w:cs="Arial"/>
          <w:bCs/>
          <w:color w:val="auto"/>
          <w:sz w:val="24"/>
        </w:rPr>
        <w:t>oule (For IV and IM Use)</w:t>
      </w:r>
      <w:r w:rsidRPr="00863F7B">
        <w:rPr>
          <w:rFonts w:cs="Arial"/>
          <w:bCs/>
          <w:color w:val="auto"/>
          <w:sz w:val="24"/>
        </w:rPr>
        <w:t xml:space="preserve"> 4mg/2ml.</w:t>
      </w:r>
      <w:r w:rsidRPr="00A21EBD">
        <w:rPr>
          <w:rFonts w:cs="Arial"/>
          <w:bCs/>
          <w:color w:val="auto"/>
          <w:sz w:val="24"/>
        </w:rPr>
        <w:t xml:space="preserve"> </w:t>
      </w:r>
    </w:p>
    <w:p w14:paraId="7A76CE72" w14:textId="77777777" w:rsidR="00FA5310" w:rsidRPr="00A21EBD" w:rsidRDefault="00FA5310" w:rsidP="00280F75">
      <w:pPr>
        <w:pStyle w:val="BodyText2"/>
        <w:ind w:left="-567"/>
        <w:jc w:val="both"/>
        <w:rPr>
          <w:rFonts w:cs="Arial"/>
          <w:bCs/>
          <w:color w:val="auto"/>
          <w:sz w:val="24"/>
        </w:rPr>
      </w:pPr>
    </w:p>
    <w:p w14:paraId="3ADAF761" w14:textId="77777777" w:rsidR="00FA5310" w:rsidRPr="00BB5ABE" w:rsidRDefault="00FA5310" w:rsidP="00CE1D87">
      <w:pPr>
        <w:pStyle w:val="BodyText2"/>
        <w:numPr>
          <w:ilvl w:val="0"/>
          <w:numId w:val="22"/>
        </w:numPr>
        <w:ind w:left="0" w:hanging="567"/>
        <w:jc w:val="both"/>
        <w:rPr>
          <w:rFonts w:cs="Arial"/>
          <w:b/>
          <w:color w:val="auto"/>
          <w:sz w:val="24"/>
        </w:rPr>
      </w:pPr>
      <w:r w:rsidRPr="00BB5ABE">
        <w:rPr>
          <w:rFonts w:cs="Arial"/>
          <w:b/>
          <w:color w:val="auto"/>
          <w:sz w:val="24"/>
        </w:rPr>
        <w:t>Oral liquid products to have Child Resistant Closure (CRC)</w:t>
      </w:r>
    </w:p>
    <w:p w14:paraId="7D5129C3" w14:textId="77777777" w:rsidR="00FA5310" w:rsidRPr="00BB5ABE" w:rsidRDefault="00FA5310" w:rsidP="00280F75">
      <w:pPr>
        <w:pStyle w:val="BodyText2"/>
        <w:jc w:val="both"/>
        <w:rPr>
          <w:rFonts w:cs="Arial"/>
          <w:bCs/>
          <w:color w:val="auto"/>
          <w:sz w:val="24"/>
        </w:rPr>
      </w:pPr>
    </w:p>
    <w:p w14:paraId="2DBC22C4" w14:textId="77777777" w:rsidR="00FA5310" w:rsidRPr="00BB5ABE" w:rsidRDefault="00FA5310" w:rsidP="00CE1D87">
      <w:pPr>
        <w:pStyle w:val="BodyText2"/>
        <w:ind w:left="-567" w:firstLine="567"/>
        <w:jc w:val="both"/>
        <w:rPr>
          <w:rFonts w:cs="Arial"/>
          <w:bCs/>
          <w:color w:val="auto"/>
          <w:sz w:val="24"/>
        </w:rPr>
      </w:pPr>
      <w:r w:rsidRPr="00BB5ABE">
        <w:rPr>
          <w:rFonts w:cs="Arial"/>
          <w:bCs/>
          <w:color w:val="auto"/>
          <w:sz w:val="24"/>
        </w:rPr>
        <w:t>The NHS requires the following oral liquid products to have a CRC:</w:t>
      </w:r>
    </w:p>
    <w:p w14:paraId="258E75AC" w14:textId="77777777" w:rsidR="00FA5310" w:rsidRDefault="00FA5310" w:rsidP="00280F75">
      <w:pPr>
        <w:pStyle w:val="BodyText2"/>
        <w:ind w:left="-567"/>
        <w:jc w:val="both"/>
        <w:rPr>
          <w:rFonts w:cs="Arial"/>
          <w:bCs/>
          <w:color w:val="auto"/>
          <w:sz w:val="24"/>
          <w:highlight w:val="yellow"/>
        </w:rPr>
      </w:pPr>
    </w:p>
    <w:p w14:paraId="6545115D" w14:textId="1295D6D9" w:rsidR="00FA5310" w:rsidRDefault="00FA5310" w:rsidP="00CE1D87">
      <w:pPr>
        <w:pStyle w:val="BodyText2"/>
        <w:ind w:left="-567" w:firstLine="567"/>
        <w:jc w:val="both"/>
        <w:rPr>
          <w:rFonts w:cs="Arial"/>
          <w:bCs/>
          <w:color w:val="auto"/>
          <w:sz w:val="24"/>
        </w:rPr>
      </w:pPr>
      <w:r w:rsidRPr="00845E71">
        <w:rPr>
          <w:rFonts w:cs="Arial"/>
          <w:bCs/>
          <w:color w:val="auto"/>
          <w:sz w:val="24"/>
        </w:rPr>
        <w:t xml:space="preserve">ATOVAQUONE ORAL SUSPENSION </w:t>
      </w:r>
      <w:r w:rsidR="00972EC2">
        <w:rPr>
          <w:rFonts w:cs="Arial"/>
          <w:bCs/>
          <w:color w:val="auto"/>
          <w:sz w:val="24"/>
        </w:rPr>
        <w:t>(SUGAR FREE)</w:t>
      </w:r>
      <w:r w:rsidRPr="00845E71">
        <w:rPr>
          <w:rFonts w:cs="Arial"/>
          <w:bCs/>
          <w:color w:val="auto"/>
          <w:sz w:val="24"/>
        </w:rPr>
        <w:t xml:space="preserve"> 750MG/5ML </w:t>
      </w:r>
      <w:r w:rsidR="00972EC2">
        <w:rPr>
          <w:rFonts w:cs="Arial"/>
          <w:bCs/>
          <w:color w:val="auto"/>
          <w:sz w:val="24"/>
        </w:rPr>
        <w:t>(</w:t>
      </w:r>
      <w:r w:rsidRPr="00845E71">
        <w:rPr>
          <w:rFonts w:cs="Arial"/>
          <w:bCs/>
          <w:color w:val="auto"/>
          <w:sz w:val="24"/>
        </w:rPr>
        <w:t>250ML</w:t>
      </w:r>
      <w:r w:rsidR="00972EC2">
        <w:rPr>
          <w:rFonts w:cs="Arial"/>
          <w:bCs/>
          <w:color w:val="auto"/>
          <w:sz w:val="24"/>
        </w:rPr>
        <w:t>)</w:t>
      </w:r>
    </w:p>
    <w:p w14:paraId="25B7FA5F" w14:textId="3545059D" w:rsidR="00FA5310" w:rsidRDefault="00FA5310" w:rsidP="00CE1D87">
      <w:pPr>
        <w:pStyle w:val="BodyText2"/>
        <w:ind w:left="-567" w:firstLine="567"/>
        <w:jc w:val="both"/>
        <w:rPr>
          <w:rFonts w:cs="Arial"/>
          <w:bCs/>
          <w:color w:val="auto"/>
          <w:sz w:val="24"/>
        </w:rPr>
      </w:pPr>
      <w:r w:rsidRPr="00845E71">
        <w:rPr>
          <w:rFonts w:cs="Arial"/>
          <w:bCs/>
          <w:color w:val="auto"/>
          <w:sz w:val="24"/>
        </w:rPr>
        <w:t xml:space="preserve">DEFERIPRONE ORAL SOLUTION </w:t>
      </w:r>
      <w:r w:rsidR="00972EC2">
        <w:rPr>
          <w:rFonts w:cs="Arial"/>
          <w:bCs/>
          <w:color w:val="auto"/>
          <w:sz w:val="24"/>
        </w:rPr>
        <w:t>(</w:t>
      </w:r>
      <w:r w:rsidRPr="00845E71">
        <w:rPr>
          <w:rFonts w:cs="Arial"/>
          <w:bCs/>
          <w:color w:val="auto"/>
          <w:sz w:val="24"/>
        </w:rPr>
        <w:t>SUGAR FREE</w:t>
      </w:r>
      <w:r w:rsidR="00972EC2">
        <w:rPr>
          <w:rFonts w:cs="Arial"/>
          <w:bCs/>
          <w:color w:val="auto"/>
          <w:sz w:val="24"/>
        </w:rPr>
        <w:t>)</w:t>
      </w:r>
      <w:r w:rsidRPr="00845E71">
        <w:rPr>
          <w:rFonts w:cs="Arial"/>
          <w:bCs/>
          <w:color w:val="auto"/>
          <w:sz w:val="24"/>
        </w:rPr>
        <w:t xml:space="preserve"> 100MG/ML </w:t>
      </w:r>
      <w:r w:rsidR="00972EC2">
        <w:rPr>
          <w:rFonts w:cs="Arial"/>
          <w:bCs/>
          <w:color w:val="auto"/>
          <w:sz w:val="24"/>
        </w:rPr>
        <w:t>(</w:t>
      </w:r>
      <w:r w:rsidRPr="00845E71">
        <w:rPr>
          <w:rFonts w:cs="Arial"/>
          <w:bCs/>
          <w:color w:val="auto"/>
          <w:sz w:val="24"/>
        </w:rPr>
        <w:t>500ML</w:t>
      </w:r>
      <w:r w:rsidR="00972EC2">
        <w:rPr>
          <w:rFonts w:cs="Arial"/>
          <w:bCs/>
          <w:color w:val="auto"/>
          <w:sz w:val="24"/>
        </w:rPr>
        <w:t>)</w:t>
      </w:r>
    </w:p>
    <w:p w14:paraId="1E0CE355" w14:textId="43D34A12" w:rsidR="00FA5310" w:rsidRPr="009939FF" w:rsidRDefault="00FA5310" w:rsidP="00CE1D87">
      <w:pPr>
        <w:pStyle w:val="BodyText2"/>
        <w:ind w:left="-567" w:firstLine="567"/>
        <w:jc w:val="both"/>
        <w:rPr>
          <w:rFonts w:cs="Arial"/>
          <w:bCs/>
          <w:color w:val="auto"/>
          <w:sz w:val="24"/>
          <w:highlight w:val="yellow"/>
        </w:rPr>
      </w:pPr>
      <w:r w:rsidRPr="00845E71">
        <w:rPr>
          <w:rFonts w:cs="Arial"/>
          <w:bCs/>
          <w:color w:val="auto"/>
          <w:sz w:val="24"/>
        </w:rPr>
        <w:t xml:space="preserve">OSELTAMIVIR ORAL SUSPENSION </w:t>
      </w:r>
      <w:r w:rsidR="00972EC2">
        <w:rPr>
          <w:rFonts w:cs="Arial"/>
          <w:bCs/>
          <w:color w:val="auto"/>
          <w:sz w:val="24"/>
        </w:rPr>
        <w:t>(</w:t>
      </w:r>
      <w:r w:rsidRPr="00845E71">
        <w:rPr>
          <w:rFonts w:cs="Arial"/>
          <w:bCs/>
          <w:color w:val="auto"/>
          <w:sz w:val="24"/>
        </w:rPr>
        <w:t>SUGAR FREE</w:t>
      </w:r>
      <w:r w:rsidR="00972EC2">
        <w:rPr>
          <w:rFonts w:cs="Arial"/>
          <w:bCs/>
          <w:color w:val="auto"/>
          <w:sz w:val="24"/>
        </w:rPr>
        <w:t>)</w:t>
      </w:r>
      <w:r w:rsidRPr="00845E71">
        <w:rPr>
          <w:rFonts w:cs="Arial"/>
          <w:bCs/>
          <w:color w:val="auto"/>
          <w:sz w:val="24"/>
        </w:rPr>
        <w:t xml:space="preserve"> 30MG/5ML </w:t>
      </w:r>
      <w:r w:rsidR="00972EC2">
        <w:rPr>
          <w:rFonts w:cs="Arial"/>
          <w:bCs/>
          <w:color w:val="auto"/>
          <w:sz w:val="24"/>
        </w:rPr>
        <w:t>(</w:t>
      </w:r>
      <w:r w:rsidRPr="00845E71">
        <w:rPr>
          <w:rFonts w:cs="Arial"/>
          <w:bCs/>
          <w:color w:val="auto"/>
          <w:sz w:val="24"/>
        </w:rPr>
        <w:t>65 ML</w:t>
      </w:r>
      <w:r w:rsidR="00972EC2">
        <w:rPr>
          <w:rFonts w:cs="Arial"/>
          <w:bCs/>
          <w:color w:val="auto"/>
          <w:sz w:val="24"/>
        </w:rPr>
        <w:t>)</w:t>
      </w:r>
    </w:p>
    <w:p w14:paraId="6F79FF08" w14:textId="56BEA04F" w:rsidR="00FA5310" w:rsidRDefault="00FA5310" w:rsidP="00CE1D87">
      <w:pPr>
        <w:pStyle w:val="BodyText2"/>
        <w:ind w:left="-567" w:firstLine="567"/>
        <w:jc w:val="both"/>
        <w:rPr>
          <w:rFonts w:cs="Arial"/>
          <w:bCs/>
          <w:color w:val="auto"/>
          <w:sz w:val="24"/>
        </w:rPr>
      </w:pPr>
      <w:r w:rsidRPr="00275407">
        <w:rPr>
          <w:rFonts w:cs="Arial"/>
          <w:bCs/>
          <w:color w:val="auto"/>
          <w:sz w:val="24"/>
        </w:rPr>
        <w:t xml:space="preserve">VALGANCICLOVIR ORAL SOLUTION </w:t>
      </w:r>
      <w:r w:rsidR="00972EC2">
        <w:rPr>
          <w:rFonts w:cs="Arial"/>
          <w:bCs/>
          <w:color w:val="auto"/>
          <w:sz w:val="24"/>
        </w:rPr>
        <w:t>(</w:t>
      </w:r>
      <w:r w:rsidRPr="00275407">
        <w:rPr>
          <w:rFonts w:cs="Arial"/>
          <w:bCs/>
          <w:color w:val="auto"/>
          <w:sz w:val="24"/>
        </w:rPr>
        <w:t>SUGAR FREE</w:t>
      </w:r>
      <w:r w:rsidR="00972EC2">
        <w:rPr>
          <w:rFonts w:cs="Arial"/>
          <w:bCs/>
          <w:color w:val="auto"/>
          <w:sz w:val="24"/>
        </w:rPr>
        <w:t>)</w:t>
      </w:r>
      <w:r w:rsidRPr="00275407">
        <w:rPr>
          <w:rFonts w:cs="Arial"/>
          <w:bCs/>
          <w:color w:val="auto"/>
          <w:sz w:val="24"/>
        </w:rPr>
        <w:t xml:space="preserve"> 250MG/5ML </w:t>
      </w:r>
      <w:r w:rsidR="001958FC">
        <w:rPr>
          <w:rFonts w:cs="Arial"/>
          <w:bCs/>
          <w:color w:val="auto"/>
          <w:sz w:val="24"/>
        </w:rPr>
        <w:t>(</w:t>
      </w:r>
      <w:r w:rsidRPr="00275407">
        <w:rPr>
          <w:rFonts w:cs="Arial"/>
          <w:bCs/>
          <w:color w:val="auto"/>
          <w:sz w:val="24"/>
        </w:rPr>
        <w:t>48ML</w:t>
      </w:r>
      <w:r w:rsidR="001958FC">
        <w:rPr>
          <w:rFonts w:cs="Arial"/>
          <w:bCs/>
          <w:color w:val="auto"/>
          <w:sz w:val="24"/>
        </w:rPr>
        <w:t>)</w:t>
      </w:r>
    </w:p>
    <w:p w14:paraId="3639B6DD" w14:textId="77777777" w:rsidR="00FA5310" w:rsidRPr="009939FF" w:rsidRDefault="00FA5310" w:rsidP="00280F75">
      <w:pPr>
        <w:pStyle w:val="BodyText2"/>
        <w:ind w:left="-567"/>
        <w:jc w:val="both"/>
        <w:rPr>
          <w:rFonts w:cs="Arial"/>
          <w:bCs/>
          <w:color w:val="auto"/>
          <w:sz w:val="24"/>
          <w:highlight w:val="yellow"/>
        </w:rPr>
      </w:pPr>
    </w:p>
    <w:p w14:paraId="5F2917EC" w14:textId="77777777" w:rsidR="00FA5310" w:rsidRPr="004B6A03" w:rsidRDefault="00FA5310" w:rsidP="00CE1D87">
      <w:pPr>
        <w:pStyle w:val="BodyText2"/>
        <w:jc w:val="both"/>
        <w:rPr>
          <w:rFonts w:cs="Arial"/>
          <w:bCs/>
          <w:color w:val="auto"/>
          <w:sz w:val="24"/>
        </w:rPr>
      </w:pPr>
      <w:r w:rsidRPr="004B6A03">
        <w:rPr>
          <w:rFonts w:cs="Arial"/>
          <w:bCs/>
          <w:color w:val="auto"/>
          <w:sz w:val="24"/>
        </w:rPr>
        <w:t xml:space="preserve">Where no offered product includes a CRC </w:t>
      </w:r>
      <w:r w:rsidRPr="004B6A03">
        <w:rPr>
          <w:rFonts w:cs="Arial"/>
          <w:color w:val="auto"/>
          <w:sz w:val="24"/>
        </w:rPr>
        <w:t>the product should be such that the end-user should be able to apply one if required.</w:t>
      </w:r>
    </w:p>
    <w:p w14:paraId="46879831" w14:textId="77777777" w:rsidR="00FA5310" w:rsidRPr="004B6A03" w:rsidRDefault="00FA5310" w:rsidP="00280F75">
      <w:pPr>
        <w:pStyle w:val="BodyText2"/>
        <w:ind w:left="-567"/>
        <w:jc w:val="both"/>
        <w:rPr>
          <w:rFonts w:cs="Arial"/>
          <w:bCs/>
          <w:color w:val="auto"/>
          <w:sz w:val="24"/>
        </w:rPr>
      </w:pPr>
    </w:p>
    <w:p w14:paraId="56CB2F17" w14:textId="77777777" w:rsidR="00FA5310" w:rsidRPr="004B6A03" w:rsidRDefault="00FA5310" w:rsidP="00CE1D87">
      <w:pPr>
        <w:pStyle w:val="BodyText2"/>
        <w:numPr>
          <w:ilvl w:val="0"/>
          <w:numId w:val="22"/>
        </w:numPr>
        <w:ind w:left="0" w:hanging="567"/>
        <w:jc w:val="both"/>
        <w:rPr>
          <w:rFonts w:cs="Arial"/>
          <w:b/>
          <w:color w:val="auto"/>
          <w:sz w:val="24"/>
        </w:rPr>
      </w:pPr>
      <w:r w:rsidRPr="004B6A03">
        <w:rPr>
          <w:rFonts w:cs="Arial"/>
          <w:b/>
          <w:color w:val="auto"/>
          <w:sz w:val="24"/>
        </w:rPr>
        <w:t>Patient Packs</w:t>
      </w:r>
    </w:p>
    <w:p w14:paraId="4BDA6FAE" w14:textId="77777777" w:rsidR="00FA5310" w:rsidRPr="004B6A03" w:rsidRDefault="00FA5310" w:rsidP="00280F75">
      <w:pPr>
        <w:pStyle w:val="BodyText2"/>
        <w:ind w:left="-567"/>
        <w:jc w:val="both"/>
        <w:rPr>
          <w:rFonts w:cs="Arial"/>
          <w:b/>
          <w:color w:val="auto"/>
          <w:sz w:val="24"/>
        </w:rPr>
      </w:pPr>
    </w:p>
    <w:p w14:paraId="15FB3663" w14:textId="77777777" w:rsidR="00FA5310" w:rsidRPr="002E00F9" w:rsidRDefault="00FA5310" w:rsidP="00CE1D87">
      <w:pPr>
        <w:pStyle w:val="BodyText2"/>
        <w:jc w:val="both"/>
        <w:rPr>
          <w:rFonts w:cs="Arial"/>
          <w:bCs/>
          <w:color w:val="auto"/>
          <w:sz w:val="24"/>
        </w:rPr>
      </w:pPr>
      <w:r w:rsidRPr="004B6A03">
        <w:rPr>
          <w:rFonts w:cs="Arial"/>
          <w:bCs/>
          <w:color w:val="auto"/>
          <w:sz w:val="24"/>
        </w:rPr>
        <w:t>Where offers are received for tablets or capsules or oral solutions/suspensions which do not represent the tendered pack size but represent a suitable alternative patient pack for dispensing awards will be made to the lowest-priced offered patient pack (subject to the offers meeting all other award criteria stated in criteria stated in paragraph 12.1.5 of Document No. 02 – Terms of Offer).</w:t>
      </w:r>
      <w:r w:rsidRPr="002E00F9">
        <w:rPr>
          <w:rFonts w:cs="Arial"/>
          <w:bCs/>
          <w:color w:val="auto"/>
          <w:sz w:val="24"/>
        </w:rPr>
        <w:t xml:space="preserve">  </w:t>
      </w:r>
    </w:p>
    <w:p w14:paraId="61623513" w14:textId="77777777" w:rsidR="00FA5310" w:rsidRDefault="00FA5310" w:rsidP="00280F75">
      <w:pPr>
        <w:jc w:val="both"/>
      </w:pPr>
    </w:p>
    <w:p w14:paraId="0F9B1430" w14:textId="77777777" w:rsidR="00FA5310" w:rsidRDefault="00FA5310" w:rsidP="00280F75">
      <w:pPr>
        <w:jc w:val="both"/>
      </w:pPr>
    </w:p>
    <w:p w14:paraId="4B6239B2" w14:textId="77777777" w:rsidR="00FA5310" w:rsidRDefault="00FA5310" w:rsidP="00280F75">
      <w:pPr>
        <w:jc w:val="both"/>
      </w:pPr>
    </w:p>
    <w:p w14:paraId="124C4DB7" w14:textId="77777777" w:rsidR="00FA5310" w:rsidRDefault="00FA5310" w:rsidP="00280F75">
      <w:pPr>
        <w:jc w:val="both"/>
      </w:pPr>
    </w:p>
    <w:p w14:paraId="144E161D" w14:textId="77777777" w:rsidR="00FA5310" w:rsidRDefault="00FA5310" w:rsidP="00280F75">
      <w:pPr>
        <w:jc w:val="both"/>
      </w:pPr>
    </w:p>
    <w:p w14:paraId="73EFF0B9" w14:textId="77777777" w:rsidR="00FA5310" w:rsidRPr="00FA5310" w:rsidRDefault="00FA5310" w:rsidP="00280F75">
      <w:pPr>
        <w:jc w:val="both"/>
        <w:rPr>
          <w:rFonts w:ascii="Arial" w:hAnsi="Arial" w:cs="Arial"/>
        </w:rPr>
      </w:pPr>
    </w:p>
    <w:sectPr w:rsidR="00FA5310" w:rsidRPr="00FA53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66168D" w14:textId="77777777" w:rsidR="00A1460D" w:rsidRDefault="00A1460D">
      <w:r>
        <w:separator/>
      </w:r>
    </w:p>
  </w:endnote>
  <w:endnote w:type="continuationSeparator" w:id="0">
    <w:p w14:paraId="58C293D7" w14:textId="77777777" w:rsidR="00A1460D" w:rsidRDefault="00A146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ED29D7" w14:textId="77777777" w:rsidR="00DF5748" w:rsidRDefault="00DF5748" w:rsidP="0029002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B6B1477" w14:textId="77777777" w:rsidR="00DF5748" w:rsidRDefault="00DF57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10F3BF" w14:textId="6C2E9A97" w:rsidR="00DF5748" w:rsidRPr="003E1A3E" w:rsidRDefault="00DF5748" w:rsidP="00290025">
    <w:pPr>
      <w:pStyle w:val="NoSpacing"/>
      <w:rPr>
        <w:rFonts w:ascii="Arial" w:hAnsi="Arial" w:cs="Arial"/>
        <w:b/>
        <w:sz w:val="20"/>
      </w:rPr>
    </w:pPr>
    <w:r w:rsidRPr="003E1A3E">
      <w:rPr>
        <w:rFonts w:ascii="Arial" w:hAnsi="Arial" w:cs="Arial"/>
        <w:sz w:val="20"/>
      </w:rPr>
      <w:t>Document No. 0</w:t>
    </w:r>
    <w:r>
      <w:rPr>
        <w:rFonts w:ascii="Arial" w:hAnsi="Arial" w:cs="Arial"/>
        <w:sz w:val="20"/>
      </w:rPr>
      <w:t>4</w:t>
    </w:r>
    <w:r w:rsidR="00D155FB">
      <w:rPr>
        <w:rFonts w:ascii="Arial" w:hAnsi="Arial" w:cs="Arial"/>
        <w:sz w:val="20"/>
      </w:rPr>
      <w:t>b</w:t>
    </w:r>
    <w:r w:rsidR="00280F75">
      <w:rPr>
        <w:rFonts w:ascii="Arial" w:hAnsi="Arial" w:cs="Arial"/>
        <w:sz w:val="20"/>
      </w:rPr>
      <w:tab/>
    </w:r>
    <w:r w:rsidR="00280F75">
      <w:rPr>
        <w:rFonts w:ascii="Arial" w:hAnsi="Arial" w:cs="Arial"/>
        <w:sz w:val="20"/>
      </w:rPr>
      <w:tab/>
    </w:r>
    <w:r w:rsidR="00280F75">
      <w:rPr>
        <w:rFonts w:ascii="Arial" w:hAnsi="Arial" w:cs="Arial"/>
        <w:sz w:val="20"/>
      </w:rPr>
      <w:tab/>
    </w:r>
    <w:r w:rsidR="00280F75">
      <w:rPr>
        <w:rFonts w:ascii="Arial" w:hAnsi="Arial" w:cs="Arial"/>
        <w:sz w:val="20"/>
      </w:rPr>
      <w:tab/>
    </w:r>
    <w:r w:rsidRPr="003E1A3E">
      <w:rPr>
        <w:rFonts w:ascii="Arial" w:hAnsi="Arial" w:cs="Arial"/>
        <w:sz w:val="20"/>
      </w:rPr>
      <w:tab/>
    </w:r>
    <w:r w:rsidRPr="003E1A3E">
      <w:rPr>
        <w:rFonts w:ascii="Arial" w:hAnsi="Arial" w:cs="Arial"/>
        <w:sz w:val="20"/>
      </w:rPr>
      <w:tab/>
    </w:r>
    <w:r w:rsidRPr="003E1A3E">
      <w:rPr>
        <w:rFonts w:ascii="Arial" w:hAnsi="Arial" w:cs="Arial"/>
        <w:sz w:val="20"/>
      </w:rPr>
      <w:tab/>
    </w:r>
    <w:r w:rsidRPr="003E1A3E">
      <w:rPr>
        <w:rFonts w:ascii="Arial" w:hAnsi="Arial" w:cs="Arial"/>
        <w:sz w:val="20"/>
      </w:rPr>
      <w:tab/>
      <w:t xml:space="preserve">Page </w:t>
    </w:r>
    <w:r w:rsidRPr="003E1A3E">
      <w:rPr>
        <w:rFonts w:ascii="Arial" w:hAnsi="Arial" w:cs="Arial"/>
        <w:b/>
        <w:sz w:val="20"/>
      </w:rPr>
      <w:fldChar w:fldCharType="begin"/>
    </w:r>
    <w:r w:rsidRPr="003E1A3E">
      <w:rPr>
        <w:rFonts w:ascii="Arial" w:hAnsi="Arial" w:cs="Arial"/>
        <w:b/>
        <w:sz w:val="20"/>
      </w:rPr>
      <w:instrText xml:space="preserve"> PAGE </w:instrText>
    </w:r>
    <w:r w:rsidRPr="003E1A3E">
      <w:rPr>
        <w:rFonts w:ascii="Arial" w:hAnsi="Arial" w:cs="Arial"/>
        <w:b/>
        <w:sz w:val="20"/>
      </w:rPr>
      <w:fldChar w:fldCharType="separate"/>
    </w:r>
    <w:r>
      <w:rPr>
        <w:rFonts w:ascii="Arial" w:hAnsi="Arial" w:cs="Arial"/>
        <w:b/>
        <w:noProof/>
        <w:sz w:val="20"/>
      </w:rPr>
      <w:t>22</w:t>
    </w:r>
    <w:r w:rsidRPr="003E1A3E">
      <w:rPr>
        <w:rFonts w:ascii="Arial" w:hAnsi="Arial" w:cs="Arial"/>
        <w:b/>
        <w:sz w:val="20"/>
      </w:rPr>
      <w:fldChar w:fldCharType="end"/>
    </w:r>
    <w:r w:rsidRPr="003E1A3E">
      <w:rPr>
        <w:rFonts w:ascii="Arial" w:hAnsi="Arial" w:cs="Arial"/>
        <w:sz w:val="20"/>
      </w:rPr>
      <w:t xml:space="preserve"> of </w:t>
    </w:r>
    <w:r w:rsidRPr="003E1A3E">
      <w:rPr>
        <w:rFonts w:ascii="Arial" w:hAnsi="Arial" w:cs="Arial"/>
        <w:b/>
        <w:sz w:val="20"/>
      </w:rPr>
      <w:fldChar w:fldCharType="begin"/>
    </w:r>
    <w:r w:rsidRPr="003E1A3E">
      <w:rPr>
        <w:rFonts w:ascii="Arial" w:hAnsi="Arial" w:cs="Arial"/>
        <w:b/>
        <w:sz w:val="20"/>
      </w:rPr>
      <w:instrText xml:space="preserve"> NUMPAGES  </w:instrText>
    </w:r>
    <w:r w:rsidRPr="003E1A3E">
      <w:rPr>
        <w:rFonts w:ascii="Arial" w:hAnsi="Arial" w:cs="Arial"/>
        <w:b/>
        <w:sz w:val="20"/>
      </w:rPr>
      <w:fldChar w:fldCharType="separate"/>
    </w:r>
    <w:r>
      <w:rPr>
        <w:rFonts w:ascii="Arial" w:hAnsi="Arial" w:cs="Arial"/>
        <w:b/>
        <w:noProof/>
        <w:sz w:val="20"/>
      </w:rPr>
      <w:t>23</w:t>
    </w:r>
    <w:r w:rsidRPr="003E1A3E">
      <w:rPr>
        <w:rFonts w:ascii="Arial" w:hAnsi="Arial" w:cs="Arial"/>
        <w:b/>
        <w:sz w:val="20"/>
      </w:rPr>
      <w:fldChar w:fldCharType="end"/>
    </w:r>
  </w:p>
  <w:p w14:paraId="6363D7FA" w14:textId="77777777" w:rsidR="00DF5748" w:rsidRPr="00DF0711" w:rsidRDefault="00DF5748" w:rsidP="00290025">
    <w:pPr>
      <w:pStyle w:val="Footer"/>
      <w:rPr>
        <w:rFonts w:ascii="Arial" w:hAnsi="Arial" w:cs="Arial"/>
      </w:rPr>
    </w:pPr>
    <w:r w:rsidRPr="00DF0711">
      <w:rPr>
        <w:rFonts w:ascii="Arial" w:hAnsi="Arial" w:cs="Arial"/>
      </w:rPr>
      <w:t>©</w:t>
    </w:r>
    <w:r>
      <w:rPr>
        <w:rFonts w:ascii="Arial" w:hAnsi="Arial" w:cs="Arial"/>
      </w:rPr>
      <w:t xml:space="preserve"> </w:t>
    </w:r>
    <w:r w:rsidRPr="00DF0711">
      <w:rPr>
        <w:rFonts w:ascii="Arial" w:hAnsi="Arial" w:cs="Arial"/>
      </w:rPr>
      <w:t>NHS England 20</w:t>
    </w:r>
    <w:r>
      <w:rPr>
        <w:rFonts w:ascii="Arial" w:hAnsi="Arial" w:cs="Arial"/>
      </w:rPr>
      <w:t>22</w:t>
    </w:r>
  </w:p>
  <w:p w14:paraId="086179C0" w14:textId="77777777" w:rsidR="00DF5748" w:rsidRPr="003E1A3E" w:rsidRDefault="00DF5748" w:rsidP="00290025">
    <w:pPr>
      <w:rPr>
        <w:rFonts w:ascii="Arial" w:hAnsi="Arial" w:cs="Arial"/>
        <w:color w:val="000000"/>
        <w:lang w:eastAsia="en-GB"/>
      </w:rPr>
    </w:pPr>
    <w:r w:rsidRPr="003E1A3E">
      <w:rPr>
        <w:rFonts w:ascii="Arial" w:hAnsi="Arial" w:cs="Arial"/>
        <w:color w:val="000000"/>
        <w:lang w:eastAsia="en-GB"/>
      </w:rPr>
      <w:t>© NHS Pharmaceutical Quality Assurance Committee</w:t>
    </w:r>
  </w:p>
  <w:p w14:paraId="30864406" w14:textId="76955346" w:rsidR="00DF5748" w:rsidRPr="001C2E66" w:rsidRDefault="00DF5748" w:rsidP="00450FDA">
    <w:pPr>
      <w:pStyle w:val="Footer"/>
      <w:jc w:val="center"/>
      <w:rPr>
        <w:rFonts w:ascii="Arial" w:hAnsi="Arial" w:cs="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22B393" w14:textId="77777777" w:rsidR="00DF5748" w:rsidRDefault="00DF5748" w:rsidP="00290025">
    <w:pPr>
      <w:pStyle w:val="NoSpacing"/>
      <w:rPr>
        <w:rFonts w:ascii="Arial" w:hAnsi="Arial" w:cs="Arial"/>
        <w:b/>
        <w:sz w:val="20"/>
      </w:rPr>
    </w:pPr>
    <w:r w:rsidRPr="008C5477">
      <w:rPr>
        <w:rFonts w:ascii="Arial" w:hAnsi="Arial" w:cs="Arial"/>
        <w:sz w:val="20"/>
      </w:rPr>
      <w:t>Document No.0</w:t>
    </w:r>
    <w:r>
      <w:rPr>
        <w:rFonts w:ascii="Arial" w:hAnsi="Arial" w:cs="Arial"/>
        <w:sz w:val="20"/>
      </w:rPr>
      <w:t>4</w:t>
    </w:r>
    <w:r w:rsidRPr="008C5477">
      <w:rPr>
        <w:rFonts w:ascii="Arial" w:hAnsi="Arial" w:cs="Arial"/>
        <w:sz w:val="20"/>
      </w:rPr>
      <w:t xml:space="preserve"> Contract technical specification</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 xml:space="preserve">Page </w:t>
    </w:r>
    <w:r>
      <w:rPr>
        <w:rFonts w:ascii="Arial" w:hAnsi="Arial" w:cs="Arial"/>
        <w:b/>
        <w:sz w:val="20"/>
      </w:rPr>
      <w:t>22</w:t>
    </w:r>
    <w:r>
      <w:rPr>
        <w:rFonts w:ascii="Arial" w:hAnsi="Arial" w:cs="Arial"/>
        <w:sz w:val="20"/>
      </w:rPr>
      <w:t xml:space="preserve"> of </w:t>
    </w:r>
    <w:r>
      <w:rPr>
        <w:rFonts w:ascii="Arial" w:hAnsi="Arial" w:cs="Arial"/>
        <w:b/>
        <w:sz w:val="20"/>
      </w:rPr>
      <w:t>22</w:t>
    </w:r>
  </w:p>
  <w:p w14:paraId="614FD176" w14:textId="77777777" w:rsidR="00DF5748" w:rsidRPr="0014311B" w:rsidRDefault="00DF5748" w:rsidP="00290025">
    <w:pPr>
      <w:pStyle w:val="NoSpacing"/>
      <w:rPr>
        <w:rFonts w:ascii="Arial" w:hAnsi="Arial" w:cs="Arial"/>
        <w:b/>
        <w:sz w:val="20"/>
      </w:rPr>
    </w:pPr>
  </w:p>
  <w:p w14:paraId="4E238B83" w14:textId="77777777" w:rsidR="00DF5748" w:rsidRPr="00DF0711" w:rsidRDefault="00DF5748" w:rsidP="00290025">
    <w:pPr>
      <w:pStyle w:val="Footer"/>
      <w:rPr>
        <w:rFonts w:ascii="Arial" w:hAnsi="Arial" w:cs="Arial"/>
      </w:rPr>
    </w:pPr>
    <w:r w:rsidRPr="00DF0711">
      <w:rPr>
        <w:rFonts w:ascii="Arial" w:hAnsi="Arial" w:cs="Arial"/>
      </w:rPr>
      <w:t>©NHS England 202</w:t>
    </w:r>
    <w:r>
      <w:rPr>
        <w:rFonts w:ascii="Arial" w:hAnsi="Arial" w:cs="Arial"/>
      </w:rPr>
      <w:t>1</w:t>
    </w:r>
  </w:p>
  <w:p w14:paraId="44ABECCB" w14:textId="77777777" w:rsidR="00DF5748" w:rsidRPr="008C5477" w:rsidRDefault="00DF5748" w:rsidP="00290025">
    <w:pPr>
      <w:pStyle w:val="NoSpacing"/>
      <w:tabs>
        <w:tab w:val="left" w:pos="1728"/>
      </w:tabs>
      <w:rPr>
        <w:rFonts w:ascii="Arial" w:hAnsi="Arial" w:cs="Arial"/>
        <w:b/>
        <w:sz w:val="20"/>
      </w:rPr>
    </w:pPr>
    <w:r>
      <w:rPr>
        <w:rFonts w:ascii="Arial" w:hAnsi="Arial" w:cs="Arial"/>
        <w:b/>
        <w:sz w:val="20"/>
      </w:rPr>
      <w:tab/>
    </w:r>
  </w:p>
  <w:p w14:paraId="12A7F72C" w14:textId="77777777" w:rsidR="00DF5748" w:rsidRPr="00B40DCC" w:rsidRDefault="00DF5748" w:rsidP="00290025">
    <w:pPr>
      <w:jc w:val="center"/>
      <w:rPr>
        <w:rFonts w:ascii="Arial" w:hAnsi="Arial" w:cs="Arial"/>
        <w:color w:val="BFBFBF"/>
        <w:sz w:val="24"/>
        <w:szCs w:val="24"/>
        <w:lang w:eastAsia="en-GB"/>
      </w:rPr>
    </w:pPr>
    <w:r w:rsidRPr="00B40DCC">
      <w:rPr>
        <w:rFonts w:ascii="Arial" w:hAnsi="Arial" w:cs="Arial"/>
        <w:color w:val="BFBFBF"/>
        <w:sz w:val="24"/>
        <w:szCs w:val="24"/>
        <w:lang w:eastAsia="en-GB"/>
      </w:rPr>
      <w:t>OFFICIAL – SENSITIVE: COMMERCIAL</w:t>
    </w:r>
  </w:p>
  <w:p w14:paraId="50C21B24" w14:textId="77777777" w:rsidR="00DF5748" w:rsidRDefault="00DF5748" w:rsidP="00290025">
    <w:pPr>
      <w:rPr>
        <w:rFonts w:ascii="Arial" w:hAnsi="Arial" w:cs="Arial"/>
        <w:color w:val="000000"/>
        <w:lang w:eastAsia="en-GB"/>
      </w:rPr>
    </w:pPr>
  </w:p>
  <w:p w14:paraId="41980AD8" w14:textId="77777777" w:rsidR="00DF5748" w:rsidRDefault="00DF57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6A5F59" w14:textId="77777777" w:rsidR="00A1460D" w:rsidRDefault="00A1460D">
      <w:r>
        <w:separator/>
      </w:r>
    </w:p>
  </w:footnote>
  <w:footnote w:type="continuationSeparator" w:id="0">
    <w:p w14:paraId="66534831" w14:textId="77777777" w:rsidR="00A1460D" w:rsidRDefault="00A146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EA434E" w14:textId="772FF39A" w:rsidR="00DF5748" w:rsidRDefault="00DF5748" w:rsidP="00290025">
    <w:pPr>
      <w:pStyle w:val="Header"/>
      <w:jc w:val="center"/>
      <w:rPr>
        <w:rFonts w:ascii="Arial" w:hAnsi="Arial" w:cs="Arial"/>
        <w:color w:val="BFBFBF"/>
      </w:rPr>
    </w:pPr>
    <w:r w:rsidRPr="00B40DCC">
      <w:rPr>
        <w:rFonts w:ascii="Arial" w:hAnsi="Arial" w:cs="Arial"/>
        <w:color w:val="BFBFBF"/>
      </w:rPr>
      <w:t>OFFICIAL</w:t>
    </w:r>
  </w:p>
  <w:p w14:paraId="05A146C5" w14:textId="77777777" w:rsidR="00450FDA" w:rsidRPr="00B40DCC" w:rsidRDefault="00450FDA" w:rsidP="00290025">
    <w:pPr>
      <w:pStyle w:val="Header"/>
      <w:jc w:val="center"/>
      <w:rPr>
        <w:rFonts w:ascii="Arial" w:hAnsi="Arial" w:cs="Arial"/>
        <w:color w:val="BFBFBF"/>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3DEDF" w14:textId="77777777" w:rsidR="00DF5748" w:rsidRDefault="00DF5748" w:rsidP="00290025">
    <w:pPr>
      <w:pStyle w:val="Header"/>
      <w:jc w:val="center"/>
      <w:rPr>
        <w:rFonts w:ascii="Arial" w:hAnsi="Arial" w:cs="Arial"/>
        <w:sz w:val="20"/>
        <w:szCs w:val="20"/>
      </w:rPr>
    </w:pPr>
  </w:p>
  <w:p w14:paraId="22D9F8CA" w14:textId="77777777" w:rsidR="00DF5748" w:rsidRPr="00B40DCC" w:rsidRDefault="00DF5748" w:rsidP="00290025">
    <w:pPr>
      <w:pStyle w:val="Header"/>
      <w:jc w:val="center"/>
      <w:rPr>
        <w:rFonts w:ascii="Arial" w:hAnsi="Arial" w:cs="Arial"/>
        <w:color w:val="BFBFBF"/>
      </w:rPr>
    </w:pPr>
    <w:r w:rsidRPr="00B40DCC">
      <w:rPr>
        <w:rFonts w:ascii="Arial" w:hAnsi="Arial" w:cs="Arial"/>
        <w:color w:val="BFBFBF"/>
      </w:rPr>
      <w:t>OFFICIAL – SENSITIVE: COMMERCIAL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2E6011"/>
    <w:multiLevelType w:val="hybridMultilevel"/>
    <w:tmpl w:val="70FABF9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236087"/>
    <w:multiLevelType w:val="hybridMultilevel"/>
    <w:tmpl w:val="8E3AB2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8CF0F94"/>
    <w:multiLevelType w:val="hybridMultilevel"/>
    <w:tmpl w:val="C5FCEB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03575E"/>
    <w:multiLevelType w:val="hybridMultilevel"/>
    <w:tmpl w:val="933628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92298A"/>
    <w:multiLevelType w:val="multilevel"/>
    <w:tmpl w:val="2E48FCB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C5F1D78"/>
    <w:multiLevelType w:val="hybridMultilevel"/>
    <w:tmpl w:val="6D80559E"/>
    <w:lvl w:ilvl="0" w:tplc="0809000F">
      <w:start w:val="1"/>
      <w:numFmt w:val="decimal"/>
      <w:lvlText w:val="%1."/>
      <w:lvlJc w:val="left"/>
      <w:pPr>
        <w:tabs>
          <w:tab w:val="num" w:pos="720"/>
        </w:tabs>
        <w:ind w:left="720" w:hanging="360"/>
      </w:pPr>
      <w:rPr>
        <w:rFonts w:hint="default"/>
      </w:rPr>
    </w:lvl>
    <w:lvl w:ilvl="1" w:tplc="08090001">
      <w:start w:val="1"/>
      <w:numFmt w:val="bullet"/>
      <w:lvlText w:val=""/>
      <w:lvlJc w:val="left"/>
      <w:pPr>
        <w:tabs>
          <w:tab w:val="num" w:pos="1080"/>
        </w:tabs>
        <w:ind w:left="108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CD1211"/>
    <w:multiLevelType w:val="multilevel"/>
    <w:tmpl w:val="2E48FCB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DBC7B05"/>
    <w:multiLevelType w:val="hybridMultilevel"/>
    <w:tmpl w:val="6D1E9338"/>
    <w:lvl w:ilvl="0" w:tplc="0809000F">
      <w:start w:val="1"/>
      <w:numFmt w:val="decimal"/>
      <w:lvlText w:val="%1."/>
      <w:lvlJc w:val="left"/>
      <w:pPr>
        <w:tabs>
          <w:tab w:val="num" w:pos="360"/>
        </w:tabs>
        <w:ind w:left="360" w:hanging="360"/>
      </w:pPr>
    </w:lvl>
    <w:lvl w:ilvl="1" w:tplc="08090019">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8" w15:restartNumberingAfterBreak="0">
    <w:nsid w:val="1DC536CC"/>
    <w:multiLevelType w:val="hybridMultilevel"/>
    <w:tmpl w:val="03A8A09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3AA6A34"/>
    <w:multiLevelType w:val="hybridMultilevel"/>
    <w:tmpl w:val="A0182DD8"/>
    <w:lvl w:ilvl="0" w:tplc="3708824C">
      <w:start w:val="1"/>
      <w:numFmt w:val="decimal"/>
      <w:lvlText w:val="%1."/>
      <w:lvlJc w:val="left"/>
      <w:pPr>
        <w:ind w:left="720" w:hanging="360"/>
      </w:pPr>
      <w:rPr>
        <w:rFonts w:hint="default"/>
        <w:b/>
        <w:b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94629E6"/>
    <w:multiLevelType w:val="hybridMultilevel"/>
    <w:tmpl w:val="521C5FF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11" w15:restartNumberingAfterBreak="0">
    <w:nsid w:val="29573A6C"/>
    <w:multiLevelType w:val="singleLevel"/>
    <w:tmpl w:val="1F22C6A2"/>
    <w:lvl w:ilvl="0">
      <w:start w:val="1"/>
      <w:numFmt w:val="bullet"/>
      <w:lvlText w:val=""/>
      <w:lvlJc w:val="left"/>
      <w:pPr>
        <w:tabs>
          <w:tab w:val="num" w:pos="720"/>
        </w:tabs>
        <w:ind w:left="720" w:hanging="360"/>
      </w:pPr>
      <w:rPr>
        <w:rFonts w:ascii="Symbol" w:hAnsi="Symbol" w:hint="default"/>
        <w:color w:val="auto"/>
      </w:rPr>
    </w:lvl>
  </w:abstractNum>
  <w:abstractNum w:abstractNumId="12" w15:restartNumberingAfterBreak="0">
    <w:nsid w:val="3C0E3285"/>
    <w:multiLevelType w:val="hybridMultilevel"/>
    <w:tmpl w:val="99E451F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4A1968E1"/>
    <w:multiLevelType w:val="hybridMultilevel"/>
    <w:tmpl w:val="C0A897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E606BF9"/>
    <w:multiLevelType w:val="hybridMultilevel"/>
    <w:tmpl w:val="3E7A3CE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20B34E4"/>
    <w:multiLevelType w:val="hybridMultilevel"/>
    <w:tmpl w:val="BE58DD7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385635A"/>
    <w:multiLevelType w:val="hybridMultilevel"/>
    <w:tmpl w:val="AD18065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7" w15:restartNumberingAfterBreak="0">
    <w:nsid w:val="58B30498"/>
    <w:multiLevelType w:val="hybridMultilevel"/>
    <w:tmpl w:val="3BCED61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ADB478A"/>
    <w:multiLevelType w:val="hybridMultilevel"/>
    <w:tmpl w:val="9BE8908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0CC343F"/>
    <w:multiLevelType w:val="hybridMultilevel"/>
    <w:tmpl w:val="3F4EE8A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62203021"/>
    <w:multiLevelType w:val="multilevel"/>
    <w:tmpl w:val="19AAE942"/>
    <w:lvl w:ilvl="0">
      <w:start w:val="1"/>
      <w:numFmt w:val="bullet"/>
      <w:lvlText w:val=""/>
      <w:lvlJc w:val="left"/>
      <w:pPr>
        <w:tabs>
          <w:tab w:val="num" w:pos="360"/>
        </w:tabs>
        <w:ind w:left="360" w:hanging="360"/>
      </w:pPr>
      <w:rPr>
        <w:rFonts w:ascii="Symbol" w:hAnsi="Symbol"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1" w15:restartNumberingAfterBreak="0">
    <w:nsid w:val="62801B08"/>
    <w:multiLevelType w:val="hybridMultilevel"/>
    <w:tmpl w:val="7E3A13A6"/>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2A36031"/>
    <w:multiLevelType w:val="hybridMultilevel"/>
    <w:tmpl w:val="E40A06EA"/>
    <w:lvl w:ilvl="0" w:tplc="6302AFFC">
      <w:start w:val="1"/>
      <w:numFmt w:val="bullet"/>
      <w:lvlText w:val=""/>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80F4A2D"/>
    <w:multiLevelType w:val="hybridMultilevel"/>
    <w:tmpl w:val="EF52D870"/>
    <w:lvl w:ilvl="0" w:tplc="08090009">
      <w:start w:val="1"/>
      <w:numFmt w:val="bullet"/>
      <w:lvlText w:val=""/>
      <w:lvlJc w:val="left"/>
      <w:pPr>
        <w:tabs>
          <w:tab w:val="num" w:pos="1080"/>
        </w:tabs>
        <w:ind w:left="1080" w:hanging="360"/>
      </w:pPr>
      <w:rPr>
        <w:rFonts w:ascii="Wingdings" w:hAnsi="Wingdings" w:hint="default"/>
      </w:rPr>
    </w:lvl>
    <w:lvl w:ilvl="1" w:tplc="08090001">
      <w:start w:val="1"/>
      <w:numFmt w:val="bullet"/>
      <w:lvlText w:val=""/>
      <w:lvlJc w:val="left"/>
      <w:pPr>
        <w:tabs>
          <w:tab w:val="num" w:pos="1800"/>
        </w:tabs>
        <w:ind w:left="1800" w:hanging="360"/>
      </w:pPr>
      <w:rPr>
        <w:rFonts w:ascii="Symbol" w:hAnsi="Symbol"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69AD64F0"/>
    <w:multiLevelType w:val="multilevel"/>
    <w:tmpl w:val="7F627A82"/>
    <w:lvl w:ilvl="0">
      <w:start w:val="1"/>
      <w:numFmt w:val="decimal"/>
      <w:lvlText w:val="%1."/>
      <w:lvlJc w:val="left"/>
      <w:pPr>
        <w:ind w:left="1440" w:hanging="360"/>
      </w:pPr>
      <w:rPr>
        <w:rFonts w:hint="default"/>
      </w:rPr>
    </w:lvl>
    <w:lvl w:ilvl="1">
      <w:start w:val="1"/>
      <w:numFmt w:val="decimal"/>
      <w:isLgl/>
      <w:lvlText w:val="%1.%2"/>
      <w:lvlJc w:val="left"/>
      <w:pPr>
        <w:ind w:left="2124" w:hanging="564"/>
      </w:pPr>
      <w:rPr>
        <w:rFonts w:hint="default"/>
        <w:color w:val="auto"/>
      </w:rPr>
    </w:lvl>
    <w:lvl w:ilvl="2">
      <w:start w:val="1"/>
      <w:numFmt w:val="decimal"/>
      <w:isLgl/>
      <w:lvlText w:val="%1.%2.%3"/>
      <w:lvlJc w:val="left"/>
      <w:pPr>
        <w:ind w:left="1800" w:hanging="720"/>
      </w:pPr>
      <w:rPr>
        <w:rFonts w:hint="default"/>
        <w:color w:val="auto"/>
      </w:rPr>
    </w:lvl>
    <w:lvl w:ilvl="3">
      <w:start w:val="1"/>
      <w:numFmt w:val="decimal"/>
      <w:isLgl/>
      <w:lvlText w:val="%1.%2.%3.%4"/>
      <w:lvlJc w:val="left"/>
      <w:pPr>
        <w:ind w:left="1800" w:hanging="720"/>
      </w:pPr>
      <w:rPr>
        <w:rFonts w:hint="default"/>
        <w:color w:val="auto"/>
      </w:rPr>
    </w:lvl>
    <w:lvl w:ilvl="4">
      <w:start w:val="1"/>
      <w:numFmt w:val="decimal"/>
      <w:isLgl/>
      <w:lvlText w:val="%1.%2.%3.%4.%5"/>
      <w:lvlJc w:val="left"/>
      <w:pPr>
        <w:ind w:left="2160" w:hanging="1080"/>
      </w:pPr>
      <w:rPr>
        <w:rFonts w:hint="default"/>
        <w:color w:val="auto"/>
      </w:rPr>
    </w:lvl>
    <w:lvl w:ilvl="5">
      <w:start w:val="1"/>
      <w:numFmt w:val="decimal"/>
      <w:isLgl/>
      <w:lvlText w:val="%1.%2.%3.%4.%5.%6"/>
      <w:lvlJc w:val="left"/>
      <w:pPr>
        <w:ind w:left="2160" w:hanging="1080"/>
      </w:pPr>
      <w:rPr>
        <w:rFonts w:hint="default"/>
        <w:color w:val="auto"/>
      </w:rPr>
    </w:lvl>
    <w:lvl w:ilvl="6">
      <w:start w:val="1"/>
      <w:numFmt w:val="decimal"/>
      <w:isLgl/>
      <w:lvlText w:val="%1.%2.%3.%4.%5.%6.%7"/>
      <w:lvlJc w:val="left"/>
      <w:pPr>
        <w:ind w:left="2520" w:hanging="1440"/>
      </w:pPr>
      <w:rPr>
        <w:rFonts w:hint="default"/>
        <w:color w:val="auto"/>
      </w:rPr>
    </w:lvl>
    <w:lvl w:ilvl="7">
      <w:start w:val="1"/>
      <w:numFmt w:val="decimal"/>
      <w:isLgl/>
      <w:lvlText w:val="%1.%2.%3.%4.%5.%6.%7.%8"/>
      <w:lvlJc w:val="left"/>
      <w:pPr>
        <w:ind w:left="2520" w:hanging="1440"/>
      </w:pPr>
      <w:rPr>
        <w:rFonts w:hint="default"/>
        <w:color w:val="auto"/>
      </w:rPr>
    </w:lvl>
    <w:lvl w:ilvl="8">
      <w:start w:val="1"/>
      <w:numFmt w:val="decimal"/>
      <w:isLgl/>
      <w:lvlText w:val="%1.%2.%3.%4.%5.%6.%7.%8.%9"/>
      <w:lvlJc w:val="left"/>
      <w:pPr>
        <w:ind w:left="2880" w:hanging="1800"/>
      </w:pPr>
      <w:rPr>
        <w:rFonts w:hint="default"/>
        <w:color w:val="auto"/>
      </w:rPr>
    </w:lvl>
  </w:abstractNum>
  <w:abstractNum w:abstractNumId="25" w15:restartNumberingAfterBreak="0">
    <w:nsid w:val="6D761266"/>
    <w:multiLevelType w:val="hybridMultilevel"/>
    <w:tmpl w:val="148471E2"/>
    <w:lvl w:ilvl="0" w:tplc="08090001">
      <w:start w:val="1"/>
      <w:numFmt w:val="bullet"/>
      <w:lvlText w:val=""/>
      <w:lvlJc w:val="left"/>
      <w:pPr>
        <w:ind w:left="2203" w:hanging="360"/>
      </w:pPr>
      <w:rPr>
        <w:rFonts w:ascii="Symbol" w:hAnsi="Symbol" w:hint="default"/>
      </w:rPr>
    </w:lvl>
    <w:lvl w:ilvl="1" w:tplc="08090003">
      <w:start w:val="1"/>
      <w:numFmt w:val="bullet"/>
      <w:lvlText w:val="o"/>
      <w:lvlJc w:val="left"/>
      <w:pPr>
        <w:ind w:left="2923" w:hanging="360"/>
      </w:pPr>
      <w:rPr>
        <w:rFonts w:ascii="Courier New" w:hAnsi="Courier New" w:cs="Courier New" w:hint="default"/>
      </w:rPr>
    </w:lvl>
    <w:lvl w:ilvl="2" w:tplc="08090005">
      <w:start w:val="1"/>
      <w:numFmt w:val="bullet"/>
      <w:lvlText w:val=""/>
      <w:lvlJc w:val="left"/>
      <w:pPr>
        <w:ind w:left="3643" w:hanging="360"/>
      </w:pPr>
      <w:rPr>
        <w:rFonts w:ascii="Wingdings" w:hAnsi="Wingdings" w:hint="default"/>
      </w:rPr>
    </w:lvl>
    <w:lvl w:ilvl="3" w:tplc="08090001">
      <w:start w:val="1"/>
      <w:numFmt w:val="bullet"/>
      <w:lvlText w:val=""/>
      <w:lvlJc w:val="left"/>
      <w:pPr>
        <w:ind w:left="4363" w:hanging="360"/>
      </w:pPr>
      <w:rPr>
        <w:rFonts w:ascii="Symbol" w:hAnsi="Symbol" w:hint="default"/>
      </w:rPr>
    </w:lvl>
    <w:lvl w:ilvl="4" w:tplc="08090003">
      <w:start w:val="1"/>
      <w:numFmt w:val="bullet"/>
      <w:lvlText w:val="o"/>
      <w:lvlJc w:val="left"/>
      <w:pPr>
        <w:ind w:left="5083" w:hanging="360"/>
      </w:pPr>
      <w:rPr>
        <w:rFonts w:ascii="Courier New" w:hAnsi="Courier New" w:cs="Courier New" w:hint="default"/>
      </w:rPr>
    </w:lvl>
    <w:lvl w:ilvl="5" w:tplc="08090005">
      <w:start w:val="1"/>
      <w:numFmt w:val="bullet"/>
      <w:lvlText w:val=""/>
      <w:lvlJc w:val="left"/>
      <w:pPr>
        <w:ind w:left="5803" w:hanging="360"/>
      </w:pPr>
      <w:rPr>
        <w:rFonts w:ascii="Wingdings" w:hAnsi="Wingdings" w:hint="default"/>
      </w:rPr>
    </w:lvl>
    <w:lvl w:ilvl="6" w:tplc="08090001">
      <w:start w:val="1"/>
      <w:numFmt w:val="bullet"/>
      <w:lvlText w:val=""/>
      <w:lvlJc w:val="left"/>
      <w:pPr>
        <w:ind w:left="6523" w:hanging="360"/>
      </w:pPr>
      <w:rPr>
        <w:rFonts w:ascii="Symbol" w:hAnsi="Symbol" w:hint="default"/>
      </w:rPr>
    </w:lvl>
    <w:lvl w:ilvl="7" w:tplc="08090003">
      <w:start w:val="1"/>
      <w:numFmt w:val="bullet"/>
      <w:lvlText w:val="o"/>
      <w:lvlJc w:val="left"/>
      <w:pPr>
        <w:ind w:left="7243" w:hanging="360"/>
      </w:pPr>
      <w:rPr>
        <w:rFonts w:ascii="Courier New" w:hAnsi="Courier New" w:cs="Courier New" w:hint="default"/>
      </w:rPr>
    </w:lvl>
    <w:lvl w:ilvl="8" w:tplc="08090005">
      <w:start w:val="1"/>
      <w:numFmt w:val="bullet"/>
      <w:lvlText w:val=""/>
      <w:lvlJc w:val="left"/>
      <w:pPr>
        <w:ind w:left="7963" w:hanging="360"/>
      </w:pPr>
      <w:rPr>
        <w:rFonts w:ascii="Wingdings" w:hAnsi="Wingdings" w:hint="default"/>
      </w:rPr>
    </w:lvl>
  </w:abstractNum>
  <w:abstractNum w:abstractNumId="26" w15:restartNumberingAfterBreak="0">
    <w:nsid w:val="6DBE61BE"/>
    <w:multiLevelType w:val="hybridMultilevel"/>
    <w:tmpl w:val="FF68D23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7139563C"/>
    <w:multiLevelType w:val="hybridMultilevel"/>
    <w:tmpl w:val="07FA5236"/>
    <w:lvl w:ilvl="0" w:tplc="08090009">
      <w:start w:val="1"/>
      <w:numFmt w:val="bullet"/>
      <w:lvlText w:val=""/>
      <w:lvlJc w:val="left"/>
      <w:pPr>
        <w:tabs>
          <w:tab w:val="num" w:pos="1080"/>
        </w:tabs>
        <w:ind w:left="1080" w:hanging="360"/>
      </w:pPr>
      <w:rPr>
        <w:rFonts w:ascii="Wingdings" w:hAnsi="Wingding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72237B38"/>
    <w:multiLevelType w:val="hybridMultilevel"/>
    <w:tmpl w:val="7FEE73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749966DB"/>
    <w:multiLevelType w:val="multilevel"/>
    <w:tmpl w:val="62A25F30"/>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bullet"/>
      <w:lvlText w:val=""/>
      <w:lvlJc w:val="left"/>
      <w:pPr>
        <w:ind w:left="1224" w:hanging="504"/>
      </w:pPr>
      <w:rPr>
        <w:rFonts w:ascii="Symbol" w:hAnsi="Symbol" w:hint="default"/>
      </w:rPr>
    </w:lvl>
    <w:lvl w:ilvl="3">
      <w:start w:val="1"/>
      <w:numFmt w:val="bullet"/>
      <w:lvlText w:val=""/>
      <w:lvlJc w:val="left"/>
      <w:pPr>
        <w:ind w:left="1728" w:hanging="648"/>
      </w:pPr>
      <w:rPr>
        <w:rFonts w:ascii="Symbol" w:hAnsi="Symbol" w:hint="default"/>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6B854C6"/>
    <w:multiLevelType w:val="multilevel"/>
    <w:tmpl w:val="37182030"/>
    <w:lvl w:ilvl="0">
      <w:start w:val="2"/>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1" w15:restartNumberingAfterBreak="0">
    <w:nsid w:val="777B0AD2"/>
    <w:multiLevelType w:val="hybridMultilevel"/>
    <w:tmpl w:val="75AE251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77C0555B"/>
    <w:multiLevelType w:val="hybridMultilevel"/>
    <w:tmpl w:val="46967C2C"/>
    <w:lvl w:ilvl="0" w:tplc="08090009">
      <w:start w:val="1"/>
      <w:numFmt w:val="bullet"/>
      <w:lvlText w:val=""/>
      <w:lvlJc w:val="left"/>
      <w:pPr>
        <w:tabs>
          <w:tab w:val="num" w:pos="1080"/>
        </w:tabs>
        <w:ind w:left="108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BD97F31"/>
    <w:multiLevelType w:val="hybridMultilevel"/>
    <w:tmpl w:val="8BA2424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3"/>
  </w:num>
  <w:num w:numId="3">
    <w:abstractNumId w:val="8"/>
  </w:num>
  <w:num w:numId="4">
    <w:abstractNumId w:val="17"/>
  </w:num>
  <w:num w:numId="5">
    <w:abstractNumId w:val="15"/>
  </w:num>
  <w:num w:numId="6">
    <w:abstractNumId w:val="14"/>
  </w:num>
  <w:num w:numId="7">
    <w:abstractNumId w:val="33"/>
  </w:num>
  <w:num w:numId="8">
    <w:abstractNumId w:val="7"/>
  </w:num>
  <w:num w:numId="9">
    <w:abstractNumId w:val="27"/>
  </w:num>
  <w:num w:numId="10">
    <w:abstractNumId w:val="23"/>
  </w:num>
  <w:num w:numId="11">
    <w:abstractNumId w:val="30"/>
  </w:num>
  <w:num w:numId="12">
    <w:abstractNumId w:val="10"/>
  </w:num>
  <w:num w:numId="13">
    <w:abstractNumId w:val="20"/>
  </w:num>
  <w:num w:numId="14">
    <w:abstractNumId w:val="32"/>
  </w:num>
  <w:num w:numId="15">
    <w:abstractNumId w:val="18"/>
  </w:num>
  <w:num w:numId="16">
    <w:abstractNumId w:val="5"/>
  </w:num>
  <w:num w:numId="17">
    <w:abstractNumId w:val="19"/>
  </w:num>
  <w:num w:numId="18">
    <w:abstractNumId w:val="26"/>
  </w:num>
  <w:num w:numId="19">
    <w:abstractNumId w:val="12"/>
  </w:num>
  <w:num w:numId="20">
    <w:abstractNumId w:val="31"/>
  </w:num>
  <w:num w:numId="21">
    <w:abstractNumId w:val="0"/>
  </w:num>
  <w:num w:numId="22">
    <w:abstractNumId w:val="9"/>
  </w:num>
  <w:num w:numId="23">
    <w:abstractNumId w:val="2"/>
  </w:num>
  <w:num w:numId="24">
    <w:abstractNumId w:val="1"/>
  </w:num>
  <w:num w:numId="25">
    <w:abstractNumId w:val="4"/>
  </w:num>
  <w:num w:numId="26">
    <w:abstractNumId w:val="6"/>
  </w:num>
  <w:num w:numId="27">
    <w:abstractNumId w:val="22"/>
  </w:num>
  <w:num w:numId="28">
    <w:abstractNumId w:val="24"/>
  </w:num>
  <w:num w:numId="29">
    <w:abstractNumId w:val="3"/>
  </w:num>
  <w:num w:numId="30">
    <w:abstractNumId w:val="21"/>
  </w:num>
  <w:num w:numId="3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8"/>
  </w:num>
  <w:num w:numId="33">
    <w:abstractNumId w:val="25"/>
  </w:num>
  <w:num w:numId="34">
    <w:abstractNumId w:val="29"/>
    <w:lvlOverride w:ilvl="0">
      <w:startOverride w:val="1"/>
    </w:lvlOverride>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9FF"/>
    <w:rsid w:val="00033083"/>
    <w:rsid w:val="00053EE1"/>
    <w:rsid w:val="000E0676"/>
    <w:rsid w:val="00104B58"/>
    <w:rsid w:val="00153C52"/>
    <w:rsid w:val="001958FC"/>
    <w:rsid w:val="001D3310"/>
    <w:rsid w:val="00275407"/>
    <w:rsid w:val="00280F75"/>
    <w:rsid w:val="00290025"/>
    <w:rsid w:val="0036312E"/>
    <w:rsid w:val="00384769"/>
    <w:rsid w:val="003B5CF9"/>
    <w:rsid w:val="003D34C1"/>
    <w:rsid w:val="00421FD9"/>
    <w:rsid w:val="00436749"/>
    <w:rsid w:val="00450FDA"/>
    <w:rsid w:val="004B6A03"/>
    <w:rsid w:val="00510EA7"/>
    <w:rsid w:val="00525B7F"/>
    <w:rsid w:val="0055337C"/>
    <w:rsid w:val="005A1502"/>
    <w:rsid w:val="005F15E2"/>
    <w:rsid w:val="005F72E3"/>
    <w:rsid w:val="006173AA"/>
    <w:rsid w:val="0063526E"/>
    <w:rsid w:val="0065532E"/>
    <w:rsid w:val="00667DD7"/>
    <w:rsid w:val="006849E3"/>
    <w:rsid w:val="006B1432"/>
    <w:rsid w:val="006B198F"/>
    <w:rsid w:val="006B3F7B"/>
    <w:rsid w:val="006C24F8"/>
    <w:rsid w:val="00717A09"/>
    <w:rsid w:val="007371F6"/>
    <w:rsid w:val="00742D79"/>
    <w:rsid w:val="00774A4B"/>
    <w:rsid w:val="007F2EAC"/>
    <w:rsid w:val="007F53D3"/>
    <w:rsid w:val="00845E71"/>
    <w:rsid w:val="008504E4"/>
    <w:rsid w:val="0085481E"/>
    <w:rsid w:val="00863F7B"/>
    <w:rsid w:val="008E5DE7"/>
    <w:rsid w:val="00940521"/>
    <w:rsid w:val="00972EC2"/>
    <w:rsid w:val="009939FF"/>
    <w:rsid w:val="009E3E1C"/>
    <w:rsid w:val="00A1460D"/>
    <w:rsid w:val="00A21EBD"/>
    <w:rsid w:val="00AB7823"/>
    <w:rsid w:val="00AC75B2"/>
    <w:rsid w:val="00B32BC4"/>
    <w:rsid w:val="00B330A0"/>
    <w:rsid w:val="00BA6942"/>
    <w:rsid w:val="00BB2078"/>
    <w:rsid w:val="00BB5ABE"/>
    <w:rsid w:val="00C4533D"/>
    <w:rsid w:val="00C80CEC"/>
    <w:rsid w:val="00CE1D87"/>
    <w:rsid w:val="00CF69BF"/>
    <w:rsid w:val="00D15315"/>
    <w:rsid w:val="00D155FB"/>
    <w:rsid w:val="00D55F07"/>
    <w:rsid w:val="00DF5748"/>
    <w:rsid w:val="00E2267A"/>
    <w:rsid w:val="00E357B5"/>
    <w:rsid w:val="00E67E63"/>
    <w:rsid w:val="00F2005F"/>
    <w:rsid w:val="00F47AA4"/>
    <w:rsid w:val="00F54557"/>
    <w:rsid w:val="00F73FD1"/>
    <w:rsid w:val="00FA5310"/>
    <w:rsid w:val="00FB1486"/>
    <w:rsid w:val="00FE60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503F135"/>
  <w15:chartTrackingRefBased/>
  <w15:docId w15:val="{9F7B1D2C-8600-4D86-B3F4-50D7C7809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39FF"/>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9939FF"/>
    <w:pPr>
      <w:keepNext/>
      <w:outlineLvl w:val="0"/>
    </w:pPr>
    <w:rPr>
      <w:rFonts w:ascii="Arial" w:hAnsi="Arial"/>
      <w:b/>
    </w:rPr>
  </w:style>
  <w:style w:type="paragraph" w:styleId="Heading2">
    <w:name w:val="heading 2"/>
    <w:basedOn w:val="Normal"/>
    <w:next w:val="Normal"/>
    <w:link w:val="Heading2Char"/>
    <w:qFormat/>
    <w:rsid w:val="009939FF"/>
    <w:pPr>
      <w:keepNext/>
      <w:outlineLvl w:val="1"/>
    </w:pPr>
    <w:rPr>
      <w:rFonts w:ascii="Arial" w:hAnsi="Arial"/>
      <w:b/>
      <w:bCs/>
      <w:sz w:val="22"/>
      <w:szCs w:val="24"/>
    </w:rPr>
  </w:style>
  <w:style w:type="paragraph" w:styleId="Heading3">
    <w:name w:val="heading 3"/>
    <w:basedOn w:val="Normal"/>
    <w:next w:val="Normal"/>
    <w:link w:val="Heading3Char"/>
    <w:qFormat/>
    <w:rsid w:val="009939FF"/>
    <w:pPr>
      <w:keepNext/>
      <w:outlineLvl w:val="2"/>
    </w:pPr>
    <w:rPr>
      <w:rFonts w:ascii="Arial" w:hAnsi="Arial"/>
      <w:b/>
      <w:bCs/>
      <w:i/>
      <w:iCs/>
      <w:sz w:val="22"/>
      <w:szCs w:val="24"/>
    </w:rPr>
  </w:style>
  <w:style w:type="paragraph" w:styleId="Heading4">
    <w:name w:val="heading 4"/>
    <w:basedOn w:val="Normal"/>
    <w:next w:val="Normal"/>
    <w:link w:val="Heading4Char"/>
    <w:qFormat/>
    <w:rsid w:val="009939FF"/>
    <w:pPr>
      <w:keepNext/>
      <w:outlineLvl w:val="3"/>
    </w:pPr>
    <w:rPr>
      <w:b/>
      <w:bCs/>
      <w:sz w:val="24"/>
      <w:szCs w:val="24"/>
    </w:rPr>
  </w:style>
  <w:style w:type="paragraph" w:styleId="Heading5">
    <w:name w:val="heading 5"/>
    <w:basedOn w:val="Normal"/>
    <w:next w:val="Normal"/>
    <w:link w:val="Heading5Char"/>
    <w:qFormat/>
    <w:rsid w:val="009939FF"/>
    <w:pPr>
      <w:keepNext/>
      <w:outlineLvl w:val="4"/>
    </w:pPr>
    <w:rPr>
      <w:b/>
      <w:bCs/>
      <w:u w:val="single"/>
    </w:rPr>
  </w:style>
  <w:style w:type="paragraph" w:styleId="Heading9">
    <w:name w:val="heading 9"/>
    <w:basedOn w:val="Normal"/>
    <w:next w:val="Normal"/>
    <w:link w:val="Heading9Char"/>
    <w:qFormat/>
    <w:rsid w:val="009939FF"/>
    <w:pPr>
      <w:keepNext/>
      <w:spacing w:before="278" w:line="283" w:lineRule="exact"/>
      <w:outlineLvl w:val="8"/>
    </w:pPr>
    <w:rPr>
      <w:b/>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939FF"/>
    <w:rPr>
      <w:rFonts w:ascii="Arial" w:eastAsia="Times New Roman" w:hAnsi="Arial" w:cs="Times New Roman"/>
      <w:b/>
      <w:sz w:val="20"/>
      <w:szCs w:val="20"/>
    </w:rPr>
  </w:style>
  <w:style w:type="character" w:customStyle="1" w:styleId="Heading2Char">
    <w:name w:val="Heading 2 Char"/>
    <w:basedOn w:val="DefaultParagraphFont"/>
    <w:link w:val="Heading2"/>
    <w:rsid w:val="009939FF"/>
    <w:rPr>
      <w:rFonts w:ascii="Arial" w:eastAsia="Times New Roman" w:hAnsi="Arial" w:cs="Times New Roman"/>
      <w:b/>
      <w:bCs/>
      <w:szCs w:val="24"/>
    </w:rPr>
  </w:style>
  <w:style w:type="character" w:customStyle="1" w:styleId="Heading3Char">
    <w:name w:val="Heading 3 Char"/>
    <w:basedOn w:val="DefaultParagraphFont"/>
    <w:link w:val="Heading3"/>
    <w:rsid w:val="009939FF"/>
    <w:rPr>
      <w:rFonts w:ascii="Arial" w:eastAsia="Times New Roman" w:hAnsi="Arial" w:cs="Times New Roman"/>
      <w:b/>
      <w:bCs/>
      <w:i/>
      <w:iCs/>
      <w:szCs w:val="24"/>
    </w:rPr>
  </w:style>
  <w:style w:type="character" w:customStyle="1" w:styleId="Heading4Char">
    <w:name w:val="Heading 4 Char"/>
    <w:basedOn w:val="DefaultParagraphFont"/>
    <w:link w:val="Heading4"/>
    <w:rsid w:val="009939FF"/>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rsid w:val="009939FF"/>
    <w:rPr>
      <w:rFonts w:ascii="Times New Roman" w:eastAsia="Times New Roman" w:hAnsi="Times New Roman" w:cs="Times New Roman"/>
      <w:b/>
      <w:bCs/>
      <w:sz w:val="20"/>
      <w:szCs w:val="20"/>
      <w:u w:val="single"/>
    </w:rPr>
  </w:style>
  <w:style w:type="character" w:customStyle="1" w:styleId="Heading9Char">
    <w:name w:val="Heading 9 Char"/>
    <w:basedOn w:val="DefaultParagraphFont"/>
    <w:link w:val="Heading9"/>
    <w:rsid w:val="009939FF"/>
    <w:rPr>
      <w:rFonts w:ascii="Times New Roman" w:eastAsia="Times New Roman" w:hAnsi="Times New Roman" w:cs="Times New Roman"/>
      <w:b/>
      <w:sz w:val="28"/>
      <w:szCs w:val="20"/>
      <w:u w:val="single"/>
    </w:rPr>
  </w:style>
  <w:style w:type="paragraph" w:styleId="BodyText">
    <w:name w:val="Body Text"/>
    <w:basedOn w:val="Normal"/>
    <w:link w:val="BodyTextChar"/>
    <w:rsid w:val="009939FF"/>
    <w:rPr>
      <w:rFonts w:ascii="Arial" w:hAnsi="Arial"/>
      <w:sz w:val="22"/>
      <w:szCs w:val="24"/>
    </w:rPr>
  </w:style>
  <w:style w:type="character" w:customStyle="1" w:styleId="BodyTextChar">
    <w:name w:val="Body Text Char"/>
    <w:basedOn w:val="DefaultParagraphFont"/>
    <w:link w:val="BodyText"/>
    <w:rsid w:val="009939FF"/>
    <w:rPr>
      <w:rFonts w:ascii="Arial" w:eastAsia="Times New Roman" w:hAnsi="Arial" w:cs="Times New Roman"/>
      <w:szCs w:val="24"/>
    </w:rPr>
  </w:style>
  <w:style w:type="paragraph" w:styleId="BodyText2">
    <w:name w:val="Body Text 2"/>
    <w:basedOn w:val="Normal"/>
    <w:link w:val="BodyText2Char"/>
    <w:rsid w:val="009939FF"/>
    <w:rPr>
      <w:rFonts w:ascii="Arial" w:hAnsi="Arial"/>
      <w:color w:val="FF6600"/>
      <w:sz w:val="22"/>
      <w:szCs w:val="24"/>
    </w:rPr>
  </w:style>
  <w:style w:type="character" w:customStyle="1" w:styleId="BodyText2Char">
    <w:name w:val="Body Text 2 Char"/>
    <w:basedOn w:val="DefaultParagraphFont"/>
    <w:link w:val="BodyText2"/>
    <w:rsid w:val="009939FF"/>
    <w:rPr>
      <w:rFonts w:ascii="Arial" w:eastAsia="Times New Roman" w:hAnsi="Arial" w:cs="Times New Roman"/>
      <w:color w:val="FF6600"/>
      <w:szCs w:val="24"/>
    </w:rPr>
  </w:style>
  <w:style w:type="paragraph" w:styleId="BodyText3">
    <w:name w:val="Body Text 3"/>
    <w:basedOn w:val="Normal"/>
    <w:link w:val="BodyText3Char"/>
    <w:rsid w:val="009939FF"/>
    <w:rPr>
      <w:rFonts w:ascii="Arial" w:hAnsi="Arial"/>
      <w:szCs w:val="24"/>
    </w:rPr>
  </w:style>
  <w:style w:type="character" w:customStyle="1" w:styleId="BodyText3Char">
    <w:name w:val="Body Text 3 Char"/>
    <w:basedOn w:val="DefaultParagraphFont"/>
    <w:link w:val="BodyText3"/>
    <w:rsid w:val="009939FF"/>
    <w:rPr>
      <w:rFonts w:ascii="Arial" w:eastAsia="Times New Roman" w:hAnsi="Arial" w:cs="Times New Roman"/>
      <w:sz w:val="20"/>
      <w:szCs w:val="24"/>
    </w:rPr>
  </w:style>
  <w:style w:type="character" w:styleId="Hyperlink">
    <w:name w:val="Hyperlink"/>
    <w:rsid w:val="009939FF"/>
    <w:rPr>
      <w:color w:val="0000FF"/>
      <w:u w:val="single"/>
    </w:rPr>
  </w:style>
  <w:style w:type="paragraph" w:styleId="Header">
    <w:name w:val="header"/>
    <w:basedOn w:val="Normal"/>
    <w:link w:val="HeaderChar"/>
    <w:rsid w:val="009939FF"/>
    <w:pPr>
      <w:tabs>
        <w:tab w:val="center" w:pos="4153"/>
        <w:tab w:val="right" w:pos="8306"/>
      </w:tabs>
    </w:pPr>
    <w:rPr>
      <w:sz w:val="24"/>
      <w:szCs w:val="24"/>
    </w:rPr>
  </w:style>
  <w:style w:type="character" w:customStyle="1" w:styleId="HeaderChar">
    <w:name w:val="Header Char"/>
    <w:basedOn w:val="DefaultParagraphFont"/>
    <w:link w:val="Header"/>
    <w:rsid w:val="009939FF"/>
    <w:rPr>
      <w:rFonts w:ascii="Times New Roman" w:eastAsia="Times New Roman" w:hAnsi="Times New Roman" w:cs="Times New Roman"/>
      <w:sz w:val="24"/>
      <w:szCs w:val="24"/>
    </w:rPr>
  </w:style>
  <w:style w:type="paragraph" w:styleId="FootnoteText">
    <w:name w:val="footnote text"/>
    <w:basedOn w:val="Normal"/>
    <w:link w:val="FootnoteTextChar"/>
    <w:semiHidden/>
    <w:rsid w:val="009939FF"/>
  </w:style>
  <w:style w:type="character" w:customStyle="1" w:styleId="FootnoteTextChar">
    <w:name w:val="Footnote Text Char"/>
    <w:basedOn w:val="DefaultParagraphFont"/>
    <w:link w:val="FootnoteText"/>
    <w:semiHidden/>
    <w:rsid w:val="009939FF"/>
    <w:rPr>
      <w:rFonts w:ascii="Times New Roman" w:eastAsia="Times New Roman" w:hAnsi="Times New Roman" w:cs="Times New Roman"/>
      <w:sz w:val="20"/>
      <w:szCs w:val="20"/>
    </w:rPr>
  </w:style>
  <w:style w:type="character" w:styleId="FootnoteReference">
    <w:name w:val="footnote reference"/>
    <w:semiHidden/>
    <w:rsid w:val="009939FF"/>
    <w:rPr>
      <w:vertAlign w:val="superscript"/>
    </w:rPr>
  </w:style>
  <w:style w:type="paragraph" w:styleId="BalloonText">
    <w:name w:val="Balloon Text"/>
    <w:basedOn w:val="Normal"/>
    <w:link w:val="BalloonTextChar"/>
    <w:semiHidden/>
    <w:rsid w:val="009939FF"/>
    <w:rPr>
      <w:rFonts w:ascii="Tahoma" w:hAnsi="Tahoma" w:cs="Tahoma"/>
      <w:sz w:val="16"/>
      <w:szCs w:val="16"/>
    </w:rPr>
  </w:style>
  <w:style w:type="character" w:customStyle="1" w:styleId="BalloonTextChar">
    <w:name w:val="Balloon Text Char"/>
    <w:basedOn w:val="DefaultParagraphFont"/>
    <w:link w:val="BalloonText"/>
    <w:semiHidden/>
    <w:rsid w:val="009939FF"/>
    <w:rPr>
      <w:rFonts w:ascii="Tahoma" w:eastAsia="Times New Roman" w:hAnsi="Tahoma" w:cs="Tahoma"/>
      <w:sz w:val="16"/>
      <w:szCs w:val="16"/>
    </w:rPr>
  </w:style>
  <w:style w:type="paragraph" w:styleId="BlockText">
    <w:name w:val="Block Text"/>
    <w:basedOn w:val="Normal"/>
    <w:rsid w:val="009939FF"/>
    <w:pPr>
      <w:ind w:left="1872" w:right="432" w:hanging="630"/>
      <w:jc w:val="both"/>
    </w:pPr>
    <w:rPr>
      <w:sz w:val="22"/>
      <w:szCs w:val="22"/>
      <w:lang w:eastAsia="en-GB"/>
    </w:rPr>
  </w:style>
  <w:style w:type="paragraph" w:styleId="Footer">
    <w:name w:val="footer"/>
    <w:basedOn w:val="Normal"/>
    <w:link w:val="FooterChar"/>
    <w:uiPriority w:val="99"/>
    <w:rsid w:val="009939FF"/>
    <w:pPr>
      <w:tabs>
        <w:tab w:val="center" w:pos="4153"/>
        <w:tab w:val="right" w:pos="8306"/>
      </w:tabs>
    </w:pPr>
  </w:style>
  <w:style w:type="character" w:customStyle="1" w:styleId="FooterChar">
    <w:name w:val="Footer Char"/>
    <w:basedOn w:val="DefaultParagraphFont"/>
    <w:link w:val="Footer"/>
    <w:uiPriority w:val="99"/>
    <w:rsid w:val="009939FF"/>
    <w:rPr>
      <w:rFonts w:ascii="Times New Roman" w:eastAsia="Times New Roman" w:hAnsi="Times New Roman" w:cs="Times New Roman"/>
      <w:sz w:val="20"/>
      <w:szCs w:val="20"/>
    </w:rPr>
  </w:style>
  <w:style w:type="character" w:styleId="CommentReference">
    <w:name w:val="annotation reference"/>
    <w:uiPriority w:val="99"/>
    <w:rsid w:val="009939FF"/>
    <w:rPr>
      <w:sz w:val="16"/>
      <w:szCs w:val="16"/>
    </w:rPr>
  </w:style>
  <w:style w:type="paragraph" w:styleId="CommentText">
    <w:name w:val="annotation text"/>
    <w:basedOn w:val="Normal"/>
    <w:link w:val="CommentTextChar"/>
    <w:uiPriority w:val="99"/>
    <w:semiHidden/>
    <w:rsid w:val="009939FF"/>
    <w:rPr>
      <w:rFonts w:ascii="Arial" w:hAnsi="Arial"/>
      <w:b/>
    </w:rPr>
  </w:style>
  <w:style w:type="character" w:customStyle="1" w:styleId="CommentTextChar">
    <w:name w:val="Comment Text Char"/>
    <w:basedOn w:val="DefaultParagraphFont"/>
    <w:link w:val="CommentText"/>
    <w:uiPriority w:val="99"/>
    <w:semiHidden/>
    <w:rsid w:val="009939FF"/>
    <w:rPr>
      <w:rFonts w:ascii="Arial" w:eastAsia="Times New Roman" w:hAnsi="Arial" w:cs="Times New Roman"/>
      <w:b/>
      <w:sz w:val="20"/>
      <w:szCs w:val="20"/>
    </w:rPr>
  </w:style>
  <w:style w:type="paragraph" w:styleId="CommentSubject">
    <w:name w:val="annotation subject"/>
    <w:basedOn w:val="CommentText"/>
    <w:next w:val="CommentText"/>
    <w:link w:val="CommentSubjectChar"/>
    <w:semiHidden/>
    <w:rsid w:val="009939FF"/>
    <w:rPr>
      <w:rFonts w:ascii="Times New Roman" w:hAnsi="Times New Roman"/>
      <w:bCs/>
    </w:rPr>
  </w:style>
  <w:style w:type="character" w:customStyle="1" w:styleId="CommentSubjectChar">
    <w:name w:val="Comment Subject Char"/>
    <w:basedOn w:val="CommentTextChar"/>
    <w:link w:val="CommentSubject"/>
    <w:semiHidden/>
    <w:rsid w:val="009939FF"/>
    <w:rPr>
      <w:rFonts w:ascii="Times New Roman" w:eastAsia="Times New Roman" w:hAnsi="Times New Roman" w:cs="Times New Roman"/>
      <w:b/>
      <w:bCs/>
      <w:sz w:val="20"/>
      <w:szCs w:val="20"/>
    </w:rPr>
  </w:style>
  <w:style w:type="character" w:styleId="PageNumber">
    <w:name w:val="page number"/>
    <w:basedOn w:val="DefaultParagraphFont"/>
    <w:rsid w:val="009939FF"/>
  </w:style>
  <w:style w:type="paragraph" w:customStyle="1" w:styleId="Default">
    <w:name w:val="Default"/>
    <w:rsid w:val="009939FF"/>
    <w:pPr>
      <w:autoSpaceDE w:val="0"/>
      <w:autoSpaceDN w:val="0"/>
      <w:adjustRightInd w:val="0"/>
      <w:spacing w:after="0" w:line="240" w:lineRule="auto"/>
    </w:pPr>
    <w:rPr>
      <w:rFonts w:ascii="Times New Roman" w:eastAsia="Times New Roman" w:hAnsi="Times New Roman" w:cs="Times New Roman"/>
      <w:color w:val="000000"/>
      <w:sz w:val="24"/>
      <w:szCs w:val="24"/>
      <w:lang w:eastAsia="en-GB"/>
    </w:rPr>
  </w:style>
  <w:style w:type="paragraph" w:customStyle="1" w:styleId="Style">
    <w:name w:val="Style"/>
    <w:rsid w:val="009939FF"/>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table" w:styleId="TableGrid">
    <w:name w:val="Table Grid"/>
    <w:basedOn w:val="TableNormal"/>
    <w:rsid w:val="009939FF"/>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rsid w:val="009939FF"/>
    <w:rPr>
      <w:rFonts w:ascii="Courier New" w:hAnsi="Courier New" w:cs="Courier New"/>
      <w:lang w:eastAsia="en-GB"/>
    </w:rPr>
  </w:style>
  <w:style w:type="character" w:customStyle="1" w:styleId="PlainTextChar">
    <w:name w:val="Plain Text Char"/>
    <w:basedOn w:val="DefaultParagraphFont"/>
    <w:link w:val="PlainText"/>
    <w:rsid w:val="009939FF"/>
    <w:rPr>
      <w:rFonts w:ascii="Courier New" w:eastAsia="Times New Roman" w:hAnsi="Courier New" w:cs="Courier New"/>
      <w:sz w:val="20"/>
      <w:szCs w:val="20"/>
      <w:lang w:eastAsia="en-GB"/>
    </w:rPr>
  </w:style>
  <w:style w:type="paragraph" w:styleId="ListParagraph">
    <w:name w:val="List Paragraph"/>
    <w:basedOn w:val="Normal"/>
    <w:uiPriority w:val="34"/>
    <w:qFormat/>
    <w:rsid w:val="009939FF"/>
    <w:pPr>
      <w:ind w:left="720"/>
      <w:contextualSpacing/>
    </w:pPr>
    <w:rPr>
      <w:sz w:val="24"/>
      <w:szCs w:val="24"/>
      <w:lang w:eastAsia="en-GB"/>
    </w:rPr>
  </w:style>
  <w:style w:type="paragraph" w:styleId="Caption">
    <w:name w:val="caption"/>
    <w:basedOn w:val="Normal"/>
    <w:next w:val="Normal"/>
    <w:unhideWhenUsed/>
    <w:qFormat/>
    <w:rsid w:val="009939FF"/>
    <w:rPr>
      <w:b/>
      <w:bCs/>
    </w:rPr>
  </w:style>
  <w:style w:type="paragraph" w:styleId="NoSpacing">
    <w:name w:val="No Spacing"/>
    <w:link w:val="NoSpacingChar"/>
    <w:uiPriority w:val="1"/>
    <w:qFormat/>
    <w:rsid w:val="009939FF"/>
    <w:pPr>
      <w:spacing w:after="0" w:line="240" w:lineRule="auto"/>
    </w:pPr>
    <w:rPr>
      <w:rFonts w:ascii="Calibri" w:eastAsia="Times New Roman" w:hAnsi="Calibri" w:cs="Times New Roman"/>
      <w:lang w:val="en-US"/>
    </w:rPr>
  </w:style>
  <w:style w:type="character" w:customStyle="1" w:styleId="NoSpacingChar">
    <w:name w:val="No Spacing Char"/>
    <w:link w:val="NoSpacing"/>
    <w:uiPriority w:val="1"/>
    <w:rsid w:val="009939FF"/>
    <w:rPr>
      <w:rFonts w:ascii="Calibri" w:eastAsia="Times New Roman" w:hAnsi="Calibri" w:cs="Times New Roman"/>
      <w:lang w:val="en-US"/>
    </w:rPr>
  </w:style>
  <w:style w:type="character" w:styleId="UnresolvedMention">
    <w:name w:val="Unresolved Mention"/>
    <w:basedOn w:val="DefaultParagraphFont"/>
    <w:uiPriority w:val="99"/>
    <w:semiHidden/>
    <w:unhideWhenUsed/>
    <w:rsid w:val="006553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08100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hyperlink" Target="http://www.nrls.npsa.nhs.uk/resources/?entryid45=59812" TargetMode="External"/><Relationship Id="rId26" Type="http://schemas.openxmlformats.org/officeDocument/2006/relationships/hyperlink" Target="http://www.ich.org/products/guidelines.html" TargetMode="External"/><Relationship Id="rId3" Type="http://schemas.openxmlformats.org/officeDocument/2006/relationships/numbering" Target="numbering.xml"/><Relationship Id="rId21" Type="http://schemas.openxmlformats.org/officeDocument/2006/relationships/hyperlink" Target="http://www.medicinesresources.nhs.uk/en/Communities/NHS/UKQAInfoZone" TargetMode="Externa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file:///C:\Users\dford\Director\Cache\objective.cmu.nhs.uk%20uA246\A2647704\www.medicinesresources.nhs.uk\en\Communities\NHS\UKQAInfoZone" TargetMode="External"/><Relationship Id="rId25" Type="http://schemas.openxmlformats.org/officeDocument/2006/relationships/hyperlink" Target="http://www.ich.org/products/guidelines.html"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yperlink" Target="http://www.ich.org/products/guidelines.html" TargetMode="External"/><Relationship Id="rId29"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hyperlink" Target="http://www.ich.org/products/guidelines.html"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2.png"/><Relationship Id="rId23" Type="http://schemas.openxmlformats.org/officeDocument/2006/relationships/hyperlink" Target="http://www.qaney.co.uk" TargetMode="External"/><Relationship Id="rId28" Type="http://schemas.openxmlformats.org/officeDocument/2006/relationships/hyperlink" Target="https://www.england.nhs.uk/commissioning/spec-services/npc-crg/group-b/b02/dose-banded-chemotherapy-standardised-product-specifications/" TargetMode="External"/><Relationship Id="rId10" Type="http://schemas.openxmlformats.org/officeDocument/2006/relationships/footer" Target="footer1.xml"/><Relationship Id="rId19" Type="http://schemas.openxmlformats.org/officeDocument/2006/relationships/hyperlink" Target="http://www.medicinesresources.nhs.uk/en/Communities/NHS/UKQAInfoZone" TargetMode="External"/><Relationship Id="rId31" Type="http://schemas.openxmlformats.org/officeDocument/2006/relationships/image" Target="media/image6.png"/><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1.png"/><Relationship Id="rId22" Type="http://schemas.openxmlformats.org/officeDocument/2006/relationships/hyperlink" Target="http://www.qcnw.nhs.uk" TargetMode="External"/><Relationship Id="rId27" Type="http://schemas.openxmlformats.org/officeDocument/2006/relationships/hyperlink" Target="http://www.qcnw.nhs.uk" TargetMode="External"/><Relationship Id="rId30"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etadata xmlns="http://www.objective.com/ecm/document/metadata/E082C855B2CC4CE58E7448F960A4E632" version="1.0.0">
  <systemFields>
    <field name="Objective-Id">
      <value order="0">A2647704</value>
    </field>
    <field name="Objective-Title">
      <value order="0">Document No. 04b - Assessment Criteria, Stability Protocol and Additional Specification Requirements</value>
    </field>
    <field name="Objective-Description">
      <value order="0"/>
    </field>
    <field name="Objective-CreationStamp">
      <value order="0">2022-07-20T10:01:57Z</value>
    </field>
    <field name="Objective-IsApproved">
      <value order="0">false</value>
    </field>
    <field name="Objective-IsPublished">
      <value order="0">true</value>
    </field>
    <field name="Objective-DatePublished">
      <value order="0">2022-09-14T13:52:08Z</value>
    </field>
    <field name="Objective-ModificationStamp">
      <value order="0">2022-09-14T13:52:09Z</value>
    </field>
    <field name="Objective-Owner">
      <value order="0">Williams, Rachel</value>
    </field>
    <field name="Objective-Path">
      <value order="0">Global Folder:03 Generic Medicine Projects and Contracts:Live Projects:19 Generic Pharmaceuticals Projects 2022:CM/PHG/22/5657 - NHS National Generic Pharmaceuticals Wave 14a:03 Tender for CM/PHG/22/5657 - NHS National Generic Pharmaceuticals Wave 14a NWLN:02 ITO Documentation</value>
    </field>
    <field name="Objective-Parent">
      <value order="0">02 ITO Documentation</value>
    </field>
    <field name="Objective-State">
      <value order="0">Published</value>
    </field>
    <field name="Objective-VersionId">
      <value order="0">vA4080174</value>
    </field>
    <field name="Objective-Version">
      <value order="0">28.0</value>
    </field>
    <field name="Objective-VersionNumber">
      <value order="0">29</value>
    </field>
    <field name="Objective-VersionComment">
      <value order="0"/>
    </field>
    <field name="Objective-FileNumber">
      <value order="0">qA18849</value>
    </field>
    <field name="Objective-Classification">
      <value order="0"/>
    </field>
    <field name="Objective-Caveats">
      <value order="0"/>
    </field>
  </systemFields>
  <catalogues/>
</metadata>
</file>

<file path=customXml/itemProps1.xml><?xml version="1.0" encoding="utf-8"?>
<ds:datastoreItem xmlns:ds="http://schemas.openxmlformats.org/officeDocument/2006/customXml" ds:itemID="{952844E5-0DFF-44A1-94D9-D7ADC4F187C5}">
  <ds:schemaRefs>
    <ds:schemaRef ds:uri="http://schemas.openxmlformats.org/officeDocument/2006/bibliography"/>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E082C855B2CC4CE58E7448F960A4E632"/>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6704</Words>
  <Characters>38214</Characters>
  <Application>Microsoft Office Word</Application>
  <DocSecurity>4</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Williams</dc:creator>
  <cp:keywords/>
  <dc:description/>
  <cp:lastModifiedBy>David Ford</cp:lastModifiedBy>
  <cp:revision>2</cp:revision>
  <dcterms:created xsi:type="dcterms:W3CDTF">2022-09-14T15:21:00Z</dcterms:created>
  <dcterms:modified xsi:type="dcterms:W3CDTF">2022-09-14T15:21:00Z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A2647704</vt:lpwstr>
  </property>
  <property fmtid="{D5CDD505-2E9C-101B-9397-08002B2CF9AE}" pid="4" name="Objective-Title">
    <vt:lpwstr>Document No. 04b - Assessment Criteria, Stability Protocol and Additional Specification Requirements</vt:lpwstr>
  </property>
  <property fmtid="{D5CDD505-2E9C-101B-9397-08002B2CF9AE}" pid="5" name="Objective-Description">
    <vt:lpwstr/>
  </property>
  <property fmtid="{D5CDD505-2E9C-101B-9397-08002B2CF9AE}" pid="6" name="Objective-CreationStamp">
    <vt:filetime>2022-07-20T10:01:57Z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2022-09-14T13:52:08Z</vt:filetime>
  </property>
  <property fmtid="{D5CDD505-2E9C-101B-9397-08002B2CF9AE}" pid="10" name="Objective-ModificationStamp">
    <vt:filetime>2022-09-14T13:52:09Z</vt:filetime>
  </property>
  <property fmtid="{D5CDD505-2E9C-101B-9397-08002B2CF9AE}" pid="11" name="Objective-Owner">
    <vt:lpwstr>Williams, Rachel</vt:lpwstr>
  </property>
  <property fmtid="{D5CDD505-2E9C-101B-9397-08002B2CF9AE}" pid="12" name="Objective-Path">
    <vt:lpwstr>Global Folder:03 Generic Medicine Projects and Contracts:Live Projects:19 Generic Pharmaceuticals Projects 2022:CM/PHG/22/5657 - NHS National Generic Pharmaceuticals Wave 14a:03 Tender for CM/PHG/22/5657 - NHS National Generic Pharmaceuticals Wave 14a NWL</vt:lpwstr>
  </property>
  <property fmtid="{D5CDD505-2E9C-101B-9397-08002B2CF9AE}" pid="13" name="Objective-Parent">
    <vt:lpwstr>02 ITO Documentation</vt:lpwstr>
  </property>
  <property fmtid="{D5CDD505-2E9C-101B-9397-08002B2CF9AE}" pid="14" name="Objective-State">
    <vt:lpwstr>Published</vt:lpwstr>
  </property>
  <property fmtid="{D5CDD505-2E9C-101B-9397-08002B2CF9AE}" pid="15" name="Objective-VersionId">
    <vt:lpwstr>vA4080174</vt:lpwstr>
  </property>
  <property fmtid="{D5CDD505-2E9C-101B-9397-08002B2CF9AE}" pid="16" name="Objective-Version">
    <vt:lpwstr>28.0</vt:lpwstr>
  </property>
  <property fmtid="{D5CDD505-2E9C-101B-9397-08002B2CF9AE}" pid="17" name="Objective-VersionNumber">
    <vt:r8>29</vt:r8>
  </property>
  <property fmtid="{D5CDD505-2E9C-101B-9397-08002B2CF9AE}" pid="18" name="Objective-VersionComment">
    <vt:lpwstr/>
  </property>
  <property fmtid="{D5CDD505-2E9C-101B-9397-08002B2CF9AE}" pid="19" name="Objective-FileNumber">
    <vt:lpwstr>qA18849</vt:lpwstr>
  </property>
  <property fmtid="{D5CDD505-2E9C-101B-9397-08002B2CF9AE}" pid="20" name="Objective-Classification">
    <vt:lpwstr/>
  </property>
  <property fmtid="{D5CDD505-2E9C-101B-9397-08002B2CF9AE}" pid="21" name="Objective-Caveats">
    <vt:lpwstr/>
  </property>
  <property fmtid="{D5CDD505-2E9C-101B-9397-08002B2CF9AE}" pid="22" name="Objective-Comment">
    <vt:lpwstr/>
  </property>
</Properties>
</file>