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Order Schedule 10 (Exit Management)</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7988.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"Exclusive Assets"</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Assets used exclusively by the Supplier or a Key Subcontractor in the provision of the Deliverables;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Information"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3.1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Manager"</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Plan”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produced and updated by the Supplier during the Initial Period in accordance with Paragraph 4 of this Schedule;</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"Net Book Value"</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current net book value of the relevant Supplier Asset(s) calculated in accordance with the DPS Application or Order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"Non-Exclusive Assets"</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Supplier Assets used by the Supplier or a Key Subcontractor in connection with the Deliverables but which are also used by the Supplier or Key Subcontractor for other purposes;</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"Registers"</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Goods"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30j0zll" w:id="1"/>
            <w:bookmarkEnd w:id="1"/>
            <w:r w:rsidDel="00000000" w:rsidR="00000000" w:rsidRPr="00000000">
              <w:rPr>
                <w:rFonts w:ascii="Arial" w:cs="Arial" w:eastAsia="Arial" w:hAnsi="Arial"/>
                <w:b w:val="1"/>
                <w:color w:val="000000"/>
                <w:sz w:val="24"/>
                <w:szCs w:val="24"/>
                <w:rtl w:val="0"/>
              </w:rPr>
              <w:t xml:space="preserve">"Replacement Services"</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Notice"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5.1 of this Schedule;</w:t>
            </w:r>
          </w:p>
        </w:tc>
      </w:tr>
      <w:tr>
        <w:trPr>
          <w:cantSplit w:val="0"/>
          <w:tblHeader w:val="0"/>
        </w:trPr>
        <w:tc>
          <w:tcPr/>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Period"</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Assets"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Contracts"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Assets"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8.2.1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Contracts"</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9"/>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8.2.3 of this Schedule.</w:t>
            </w:r>
          </w:p>
        </w:tc>
      </w:tr>
    </w:tbl>
    <w:p w:rsidR="00000000" w:rsidDel="00000000" w:rsidP="00000000" w:rsidRDefault="00000000" w:rsidRPr="00000000" w14:paraId="00000025">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Supplier must always be prepared for contract exit </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fob9te" w:id="2"/>
      <w:bookmarkEnd w:id="2"/>
      <w:r w:rsidDel="00000000" w:rsidR="00000000" w:rsidRPr="00000000">
        <w:rPr>
          <w:rFonts w:ascii="Arial" w:cs="Arial" w:eastAsia="Arial" w:hAnsi="Arial"/>
          <w:color w:val="000000"/>
          <w:sz w:val="24"/>
          <w:szCs w:val="24"/>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znysh7" w:id="3"/>
      <w:bookmarkEnd w:id="3"/>
      <w:r w:rsidDel="00000000" w:rsidR="00000000" w:rsidRPr="00000000">
        <w:rPr>
          <w:rFonts w:ascii="Arial" w:cs="Arial" w:eastAsia="Arial" w:hAnsi="Arial"/>
          <w:color w:val="000000"/>
          <w:sz w:val="24"/>
          <w:szCs w:val="24"/>
          <w:rtl w:val="0"/>
        </w:rPr>
        <w:t xml:space="preserve">During the Contract Period, the Supplier shall promptly:</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2et92p0" w:id="4"/>
      <w:bookmarkEnd w:id="4"/>
      <w:r w:rsidDel="00000000" w:rsidR="00000000" w:rsidRPr="00000000">
        <w:rPr>
          <w:rFonts w:ascii="Arial" w:cs="Arial" w:eastAsia="Arial" w:hAnsi="Arial"/>
          <w:color w:val="000000"/>
          <w:sz w:val="24"/>
          <w:szCs w:val="24"/>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tyjcwt" w:id="5"/>
      <w:bookmarkEnd w:id="5"/>
      <w:r w:rsidDel="00000000" w:rsidR="00000000" w:rsidRPr="00000000">
        <w:rPr>
          <w:rFonts w:ascii="Arial" w:cs="Arial" w:eastAsia="Arial" w:hAnsi="Arial"/>
          <w:color w:val="000000"/>
          <w:sz w:val="24"/>
          <w:szCs w:val="24"/>
          <w:rtl w:val="0"/>
        </w:rPr>
        <w:t xml:space="preserve">create and maintain a configuration database detailing the technical infrastructure and operating procedures through which the Supplier provides the Deliverables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1985"/>
          <w:tab w:val="left" w:pos="2127"/>
        </w:tabs>
        <w:spacing w:after="120" w:before="120" w:line="240" w:lineRule="auto"/>
        <w:ind w:left="1656" w:hanging="129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Registers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B">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ensure that all Exclusive Assets listed in the Registers are clearly physically identified as such; and</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3dy6vkm" w:id="6"/>
      <w:bookmarkEnd w:id="6"/>
      <w:r w:rsidDel="00000000" w:rsidR="00000000" w:rsidRPr="00000000">
        <w:rPr>
          <w:rFonts w:ascii="Arial" w:cs="Arial" w:eastAsia="Arial" w:hAnsi="Arial"/>
          <w:color w:val="000000"/>
          <w:sz w:val="24"/>
          <w:szCs w:val="24"/>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t3h5sf" w:id="7"/>
      <w:bookmarkEnd w:id="7"/>
      <w:r w:rsidDel="00000000" w:rsidR="00000000" w:rsidRPr="00000000">
        <w:rPr>
          <w:rFonts w:ascii="Arial" w:cs="Arial" w:eastAsia="Arial" w:hAnsi="Arial"/>
          <w:color w:val="000000"/>
          <w:sz w:val="24"/>
          <w:szCs w:val="24"/>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2F">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Assisting re-competition for Deliverables </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4d34og8" w:id="8"/>
      <w:bookmarkEnd w:id="8"/>
      <w:r w:rsidDel="00000000" w:rsidR="00000000" w:rsidRPr="00000000">
        <w:rPr>
          <w:rFonts w:ascii="Arial" w:cs="Arial" w:eastAsia="Arial" w:hAnsi="Arial"/>
          <w:color w:val="000000"/>
          <w:sz w:val="24"/>
          <w:szCs w:val="24"/>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color w:val="000000"/>
          <w:sz w:val="24"/>
          <w:szCs w:val="24"/>
          <w:rtl w:val="0"/>
        </w:rPr>
        <w:t xml:space="preserve">Exit Information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s8eyo1" w:id="9"/>
      <w:bookmarkEnd w:id="9"/>
      <w:r w:rsidDel="00000000" w:rsidR="00000000" w:rsidRPr="00000000">
        <w:rPr>
          <w:rFonts w:ascii="Arial" w:cs="Arial" w:eastAsia="Arial" w:hAnsi="Arial"/>
          <w:color w:val="000000"/>
          <w:sz w:val="24"/>
          <w:szCs w:val="24"/>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4">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Exit Plan</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7dp8vu" w:id="10"/>
      <w:bookmarkEnd w:id="10"/>
      <w:r w:rsidDel="00000000" w:rsidR="00000000" w:rsidRPr="00000000">
        <w:rPr>
          <w:rFonts w:ascii="Arial" w:cs="Arial" w:eastAsia="Arial" w:hAnsi="Arial"/>
          <w:color w:val="000000"/>
          <w:sz w:val="24"/>
          <w:szCs w:val="24"/>
          <w:rtl w:val="0"/>
        </w:rPr>
        <w:t xml:space="preserve">The Supplier shall, within three (3) Months after the Start Date, deliver to the Buyer an Exit Plan which complies with the requirements set out in Paragraph 4.3 of this Schedule and is otherwise reasonably satisfactory to the Buyer.</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rdcrjn" w:id="11"/>
      <w:bookmarkEnd w:id="11"/>
      <w:r w:rsidDel="00000000" w:rsidR="00000000" w:rsidRPr="00000000">
        <w:rPr>
          <w:rFonts w:ascii="Arial" w:cs="Arial" w:eastAsia="Arial" w:hAnsi="Arial"/>
          <w:color w:val="000000"/>
          <w:sz w:val="24"/>
          <w:szCs w:val="24"/>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7">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6in1rg" w:id="12"/>
      <w:bookmarkEnd w:id="12"/>
      <w:r w:rsidDel="00000000" w:rsidR="00000000" w:rsidRPr="00000000">
        <w:rPr>
          <w:rFonts w:ascii="Arial" w:cs="Arial" w:eastAsia="Arial" w:hAnsi="Arial"/>
          <w:color w:val="000000"/>
          <w:sz w:val="24"/>
          <w:szCs w:val="24"/>
          <w:rtl w:val="0"/>
        </w:rPr>
        <w:t xml:space="preserve">The Exit Plan shall set out, as a minimum:</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detailed description of both the transfer and cessation processes, including a timetable; </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the Deliverables will transfer to the Replacement Supplier and/or the Buyer;</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proposals for the disposal of any redundant Deliverables and materials;</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other information or assistance reasonably required by the Buyer or a Replacement Supplier.</w:t>
      </w:r>
    </w:p>
    <w:p w:rsidR="00000000" w:rsidDel="00000000" w:rsidP="00000000" w:rsidRDefault="00000000" w:rsidRPr="00000000" w14:paraId="00000042">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lnxbz9" w:id="13"/>
      <w:bookmarkEnd w:id="13"/>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43">
      <w:pPr>
        <w:keepNext w:val="1"/>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maintain and update the Exit Plan (and risk management plan) no less frequently than: </w:t>
      </w:r>
    </w:p>
    <w:p w:rsidR="00000000" w:rsidDel="00000000" w:rsidP="00000000" w:rsidRDefault="00000000" w:rsidRPr="00000000" w14:paraId="00000044">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every six (6) months throughout the Contract Period; and</w:t>
      </w:r>
    </w:p>
    <w:p w:rsidR="00000000" w:rsidDel="00000000" w:rsidP="00000000" w:rsidRDefault="00000000" w:rsidRPr="00000000" w14:paraId="00000045">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bookmarkStart w:colFirst="0" w:colLast="0" w:name="_35nkun2" w:id="14"/>
      <w:bookmarkEnd w:id="14"/>
      <w:r w:rsidDel="00000000" w:rsidR="00000000" w:rsidRPr="00000000">
        <w:rPr>
          <w:rFonts w:ascii="Arial" w:cs="Arial" w:eastAsia="Arial" w:hAnsi="Arial"/>
          <w:color w:val="000000"/>
          <w:sz w:val="24"/>
          <w:szCs w:val="24"/>
          <w:rtl w:val="0"/>
        </w:rPr>
        <w:t xml:space="preserve">no later than twenty (20) Working Days after a request from the Buyer for an up-to-date copy of the Exit Plan; </w:t>
      </w:r>
    </w:p>
    <w:p w:rsidR="00000000" w:rsidDel="00000000" w:rsidP="00000000" w:rsidRDefault="00000000" w:rsidRPr="00000000" w14:paraId="00000046">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as soon as reasonably possible following a Termination Assistance Notice, and in any event no later than ten (10) Working Days after the date of the Termination Assistance Notice;</w:t>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as soon as reasonably possible following, and in any event no later than twenty (20) Working Days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following, any material change to the Deliverables (including all changes under the Variation Procedure); and  </w:t>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jointly review and verify the Exit Plan if required by the Buyer and promptly correct any identified failures.</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A version of an Exit Plan agreed between the parties shall not be superseded by any draft submitted by the Supplier.</w:t>
      </w:r>
    </w:p>
    <w:p w:rsidR="00000000" w:rsidDel="00000000" w:rsidP="00000000" w:rsidRDefault="00000000" w:rsidRPr="00000000" w14:paraId="0000004B">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Termination Assistance </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ksv4uv" w:id="15"/>
      <w:bookmarkEnd w:id="15"/>
      <w:r w:rsidDel="00000000" w:rsidR="00000000" w:rsidRPr="00000000">
        <w:rPr>
          <w:rFonts w:ascii="Arial" w:cs="Arial" w:eastAsia="Arial" w:hAnsi="Arial"/>
          <w:color w:val="000000"/>
          <w:sz w:val="24"/>
          <w:szCs w:val="24"/>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color w:val="000000"/>
          <w:sz w:val="24"/>
          <w:szCs w:val="24"/>
          <w:rtl w:val="0"/>
        </w:rPr>
        <w:t xml:space="preserve">"Termination Assistance Notice"</w:t>
      </w:r>
      <w:r w:rsidDel="00000000" w:rsidR="00000000" w:rsidRPr="00000000">
        <w:rPr>
          <w:rFonts w:ascii="Arial" w:cs="Arial" w:eastAsia="Arial" w:hAnsi="Arial"/>
          <w:color w:val="000000"/>
          <w:sz w:val="24"/>
          <w:szCs w:val="24"/>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nature of the Termination Assistance required; and</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44sinio" w:id="16"/>
      <w:bookmarkEnd w:id="16"/>
      <w:r w:rsidDel="00000000" w:rsidR="00000000" w:rsidRPr="00000000">
        <w:rPr>
          <w:rFonts w:ascii="Arial" w:cs="Arial" w:eastAsia="Arial" w:hAnsi="Arial"/>
          <w:color w:val="000000"/>
          <w:sz w:val="24"/>
          <w:szCs w:val="24"/>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 such extension shall extend the Termination Assistance Period beyond the date twelve (12) Months after the End Date; and </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spacing w:after="120" w:before="120" w:line="240" w:lineRule="auto"/>
        <w:ind w:left="928" w:hanging="360"/>
        <w:jc w:val="both"/>
        <w:rPr>
          <w:sz w:val="24"/>
          <w:szCs w:val="24"/>
        </w:rPr>
      </w:pPr>
      <w:r w:rsidDel="00000000" w:rsidR="00000000" w:rsidRPr="00000000">
        <w:rPr>
          <w:rFonts w:ascii="Arial" w:cs="Arial" w:eastAsia="Arial" w:hAnsi="Arial"/>
          <w:color w:val="000000"/>
          <w:sz w:val="24"/>
          <w:szCs w:val="24"/>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5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54">
      <w:pPr>
        <w:keepNext w:val="1"/>
        <w:keepLines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Termination Assistance Period </w:t>
      </w:r>
      <w:r w:rsidDel="00000000" w:rsidR="00000000" w:rsidRPr="00000000">
        <w:rPr>
          <w:rtl w:val="0"/>
        </w:rPr>
      </w:r>
    </w:p>
    <w:p w:rsidR="00000000" w:rsidDel="00000000" w:rsidP="00000000" w:rsidRDefault="00000000" w:rsidRPr="00000000" w14:paraId="00000055">
      <w:pPr>
        <w:keepNext w:val="1"/>
        <w:keepLines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Throughout the Termination Assistance Period the Supplier shall:</w:t>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2jxsxqh" w:id="17"/>
      <w:bookmarkEnd w:id="17"/>
      <w:r w:rsidDel="00000000" w:rsidR="00000000" w:rsidRPr="00000000">
        <w:rPr>
          <w:rFonts w:ascii="Arial" w:cs="Arial" w:eastAsia="Arial" w:hAnsi="Arial"/>
          <w:color w:val="000000"/>
          <w:sz w:val="24"/>
          <w:szCs w:val="24"/>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z337ya" w:id="18"/>
      <w:bookmarkEnd w:id="18"/>
      <w:r w:rsidDel="00000000" w:rsidR="00000000" w:rsidRPr="00000000">
        <w:rPr>
          <w:rFonts w:ascii="Arial" w:cs="Arial" w:eastAsia="Arial" w:hAnsi="Arial"/>
          <w:color w:val="000000"/>
          <w:sz w:val="24"/>
          <w:szCs w:val="24"/>
          <w:rtl w:val="0"/>
        </w:rPr>
        <w:t xml:space="preserve">use all reasonable endeavours to reallocate resources to provide such assistance without additional costs to the Buyer;</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3j2qqm3" w:id="19"/>
      <w:bookmarkEnd w:id="19"/>
      <w:r w:rsidDel="00000000" w:rsidR="00000000" w:rsidRPr="00000000">
        <w:rPr>
          <w:rFonts w:ascii="Arial" w:cs="Arial" w:eastAsia="Arial" w:hAnsi="Arial"/>
          <w:color w:val="000000"/>
          <w:sz w:val="24"/>
          <w:szCs w:val="24"/>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1y810tw" w:id="20"/>
      <w:bookmarkEnd w:id="20"/>
      <w:r w:rsidDel="00000000" w:rsidR="00000000" w:rsidRPr="00000000">
        <w:rPr>
          <w:rFonts w:ascii="Arial" w:cs="Arial" w:eastAsia="Arial" w:hAnsi="Arial"/>
          <w:color w:val="000000"/>
          <w:sz w:val="24"/>
          <w:szCs w:val="24"/>
          <w:rtl w:val="0"/>
        </w:rPr>
        <w:t xml:space="preserve">at the Buyer's request and on reasonable notice, deliver up-to-date Registers to the Buyer;</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4i7ojhp" w:id="21"/>
      <w:bookmarkEnd w:id="21"/>
      <w:r w:rsidDel="00000000" w:rsidR="00000000" w:rsidRPr="00000000">
        <w:rPr>
          <w:rFonts w:ascii="Arial" w:cs="Arial" w:eastAsia="Arial" w:hAnsi="Arial"/>
          <w:color w:val="000000"/>
          <w:sz w:val="24"/>
          <w:szCs w:val="24"/>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000000" w:rsidDel="00000000" w:rsidP="00000000" w:rsidRDefault="00000000" w:rsidRPr="00000000" w14:paraId="0000005E">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w:cs="Arial" w:eastAsia="Arial" w:hAnsi="Arial"/>
          <w:b w:val="1"/>
          <w:sz w:val="24"/>
          <w:szCs w:val="24"/>
        </w:rPr>
      </w:pPr>
      <w:r w:rsidDel="00000000" w:rsidR="00000000" w:rsidRPr="00000000">
        <w:rPr>
          <w:rFonts w:ascii="Arial Bold" w:cs="Arial Bold" w:eastAsia="Arial Bold" w:hAnsi="Arial Bold"/>
          <w:b w:val="1"/>
          <w:color w:val="000000"/>
          <w:sz w:val="24"/>
          <w:szCs w:val="24"/>
          <w:rtl w:val="0"/>
        </w:rPr>
        <w:t xml:space="preserve">Obligations when the contract is terminated  </w:t>
      </w:r>
      <w:r w:rsidDel="00000000" w:rsidR="00000000" w:rsidRPr="00000000">
        <w:rPr>
          <w:rtl w:val="0"/>
        </w:rPr>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xcytpi" w:id="22"/>
      <w:bookmarkEnd w:id="22"/>
      <w:r w:rsidDel="00000000" w:rsidR="00000000" w:rsidRPr="00000000">
        <w:rPr>
          <w:rFonts w:ascii="Arial" w:cs="Arial" w:eastAsia="Arial" w:hAnsi="Arial"/>
          <w:color w:val="000000"/>
          <w:sz w:val="24"/>
          <w:szCs w:val="24"/>
          <w:rtl w:val="0"/>
        </w:rPr>
        <w:t xml:space="preserve">The Supplier shall comply with all of its obligations contained in the Exit Plan.</w:t>
      </w:r>
    </w:p>
    <w:p w:rsidR="00000000" w:rsidDel="00000000" w:rsidP="00000000" w:rsidRDefault="00000000" w:rsidRPr="00000000" w14:paraId="00000060">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ci93xb" w:id="23"/>
      <w:bookmarkEnd w:id="23"/>
      <w:r w:rsidDel="00000000" w:rsidR="00000000" w:rsidRPr="00000000">
        <w:rPr>
          <w:rFonts w:ascii="Arial" w:cs="Arial" w:eastAsia="Arial" w:hAnsi="Arial"/>
          <w:color w:val="000000"/>
          <w:sz w:val="24"/>
          <w:szCs w:val="24"/>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vacate any Buyer Premises;</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63">
      <w:pPr>
        <w:keepNext w:val="1"/>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3whwml4" w:id="24"/>
      <w:bookmarkEnd w:id="24"/>
      <w:r w:rsidDel="00000000" w:rsidR="00000000" w:rsidRPr="00000000">
        <w:rPr>
          <w:rFonts w:ascii="Arial" w:cs="Arial" w:eastAsia="Arial" w:hAnsi="Arial"/>
          <w:color w:val="000000"/>
          <w:sz w:val="24"/>
          <w:szCs w:val="24"/>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64">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such information relating to the Deliverables as remains in the possession or control of the Supplier; and</w:t>
      </w:r>
    </w:p>
    <w:p w:rsidR="00000000" w:rsidDel="00000000" w:rsidP="00000000" w:rsidRDefault="00000000" w:rsidRPr="00000000" w14:paraId="00000065">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bookmarkStart w:colFirst="0" w:colLast="0" w:name="_2bn6wsx" w:id="25"/>
      <w:bookmarkEnd w:id="25"/>
      <w:r w:rsidDel="00000000" w:rsidR="00000000" w:rsidRPr="00000000">
        <w:rPr>
          <w:rFonts w:ascii="Arial" w:cs="Arial" w:eastAsia="Arial" w:hAnsi="Arial"/>
          <w:color w:val="000000"/>
          <w:sz w:val="24"/>
          <w:szCs w:val="24"/>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qsh70q" w:id="26"/>
      <w:bookmarkEnd w:id="26"/>
      <w:r w:rsidDel="00000000" w:rsidR="00000000" w:rsidRPr="00000000">
        <w:rPr>
          <w:rFonts w:ascii="Arial" w:cs="Arial" w:eastAsia="Arial" w:hAnsi="Arial"/>
          <w:color w:val="000000"/>
          <w:sz w:val="24"/>
          <w:szCs w:val="24"/>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7">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Bold" w:cs="Arial Bold" w:eastAsia="Arial Bold" w:hAnsi="Arial Bold"/>
          <w:b w:val="1"/>
          <w:sz w:val="24"/>
          <w:szCs w:val="24"/>
        </w:rPr>
      </w:pPr>
      <w:r w:rsidDel="00000000" w:rsidR="00000000" w:rsidRPr="00000000">
        <w:rPr>
          <w:rFonts w:ascii="Arial Bold" w:cs="Arial Bold" w:eastAsia="Arial Bold" w:hAnsi="Arial Bold"/>
          <w:b w:val="1"/>
          <w:color w:val="000000"/>
          <w:sz w:val="24"/>
          <w:szCs w:val="24"/>
          <w:rtl w:val="0"/>
        </w:rPr>
        <w:t xml:space="preserve">Assets, Sub-contracts and Software</w:t>
      </w:r>
    </w:p>
    <w:p w:rsidR="00000000" w:rsidDel="00000000" w:rsidP="00000000" w:rsidRDefault="00000000" w:rsidRPr="00000000" w14:paraId="00000068">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as4poj" w:id="27"/>
      <w:bookmarkEnd w:id="27"/>
      <w:r w:rsidDel="00000000" w:rsidR="00000000" w:rsidRPr="00000000">
        <w:rPr>
          <w:rFonts w:ascii="Arial" w:cs="Arial" w:eastAsia="Arial" w:hAnsi="Arial"/>
          <w:color w:val="000000"/>
          <w:sz w:val="24"/>
          <w:szCs w:val="24"/>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terminate, enter into or vary any Sub-contract or licence for any software in connection with the Deliverables; or</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6B">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pxezwc" w:id="28"/>
      <w:bookmarkEnd w:id="28"/>
      <w:r w:rsidDel="00000000" w:rsidR="00000000" w:rsidRPr="00000000">
        <w:rPr>
          <w:rFonts w:ascii="Arial" w:cs="Arial" w:eastAsia="Arial" w:hAnsi="Arial"/>
          <w:color w:val="000000"/>
          <w:sz w:val="24"/>
          <w:szCs w:val="24"/>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49x2ik5" w:id="29"/>
      <w:bookmarkEnd w:id="29"/>
      <w:r w:rsidDel="00000000" w:rsidR="00000000" w:rsidRPr="00000000">
        <w:rPr>
          <w:rFonts w:ascii="Arial" w:cs="Arial" w:eastAsia="Arial" w:hAnsi="Arial"/>
          <w:color w:val="000000"/>
          <w:sz w:val="24"/>
          <w:szCs w:val="24"/>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color w:val="000000"/>
          <w:sz w:val="24"/>
          <w:szCs w:val="24"/>
          <w:rtl w:val="0"/>
        </w:rPr>
        <w:t xml:space="preserve">Transferring Assets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D">
      <w:pPr>
        <w:keepNext w:val="1"/>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2p2csry" w:id="30"/>
      <w:bookmarkEnd w:id="30"/>
      <w:r w:rsidDel="00000000" w:rsidR="00000000" w:rsidRPr="00000000">
        <w:rPr>
          <w:rFonts w:ascii="Arial" w:cs="Arial" w:eastAsia="Arial" w:hAnsi="Arial"/>
          <w:color w:val="000000"/>
          <w:sz w:val="24"/>
          <w:szCs w:val="24"/>
          <w:rtl w:val="0"/>
        </w:rPr>
        <w:t xml:space="preserve">which, if any, of:</w:t>
      </w:r>
    </w:p>
    <w:p w:rsidR="00000000" w:rsidDel="00000000" w:rsidP="00000000" w:rsidRDefault="00000000" w:rsidRPr="00000000" w14:paraId="0000006E">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the Exclusive Assets that are not Transferable Assets; and </w:t>
      </w:r>
    </w:p>
    <w:p w:rsidR="00000000" w:rsidDel="00000000" w:rsidP="00000000" w:rsidRDefault="00000000" w:rsidRPr="00000000" w14:paraId="0000006F">
      <w:pPr>
        <w:numPr>
          <w:ilvl w:val="3"/>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3272" w:hanging="720"/>
        <w:rPr>
          <w:sz w:val="24"/>
          <w:szCs w:val="24"/>
        </w:rPr>
      </w:pPr>
      <w:r w:rsidDel="00000000" w:rsidR="00000000" w:rsidRPr="00000000">
        <w:rPr>
          <w:rFonts w:ascii="Arial" w:cs="Arial" w:eastAsia="Arial" w:hAnsi="Arial"/>
          <w:color w:val="000000"/>
          <w:sz w:val="24"/>
          <w:szCs w:val="24"/>
          <w:rtl w:val="0"/>
        </w:rPr>
        <w:t xml:space="preserve">the Non-Exclusive Assets,</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pos="2127"/>
        </w:tabs>
        <w:spacing w:after="120" w:before="120" w:line="240" w:lineRule="auto"/>
        <w:ind w:left="16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and/or the Replacement Supplier requires the continued use of; and</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bookmarkStart w:colFirst="0" w:colLast="0" w:name="_147n2zr" w:id="31"/>
      <w:bookmarkEnd w:id="31"/>
      <w:r w:rsidDel="00000000" w:rsidR="00000000" w:rsidRPr="00000000">
        <w:rPr>
          <w:rFonts w:ascii="Arial" w:cs="Arial" w:eastAsia="Arial" w:hAnsi="Arial"/>
          <w:color w:val="000000"/>
          <w:sz w:val="24"/>
          <w:szCs w:val="24"/>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color w:val="000000"/>
          <w:sz w:val="24"/>
          <w:szCs w:val="24"/>
          <w:rtl w:val="0"/>
        </w:rPr>
        <w:t xml:space="preserve">"Transferring Contracts"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709"/>
          <w:tab w:val="left" w:pos="2127"/>
        </w:tabs>
        <w:spacing w:after="120" w:before="120" w:line="240" w:lineRule="auto"/>
        <w:ind w:left="936" w:hanging="34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o7alnk" w:id="32"/>
      <w:bookmarkEnd w:id="32"/>
      <w:r w:rsidDel="00000000" w:rsidR="00000000" w:rsidRPr="00000000">
        <w:rPr>
          <w:rFonts w:ascii="Arial" w:cs="Arial" w:eastAsia="Arial" w:hAnsi="Arial"/>
          <w:color w:val="000000"/>
          <w:sz w:val="24"/>
          <w:szCs w:val="24"/>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5">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3ckvvd" w:id="33"/>
      <w:bookmarkEnd w:id="33"/>
      <w:r w:rsidDel="00000000" w:rsidR="00000000" w:rsidRPr="00000000">
        <w:rPr>
          <w:rFonts w:ascii="Arial" w:cs="Arial" w:eastAsia="Arial" w:hAnsi="Arial"/>
          <w:color w:val="000000"/>
          <w:sz w:val="24"/>
          <w:szCs w:val="24"/>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ihv636" w:id="34"/>
      <w:bookmarkEnd w:id="34"/>
      <w:r w:rsidDel="00000000" w:rsidR="00000000" w:rsidRPr="00000000">
        <w:rPr>
          <w:rFonts w:ascii="Arial" w:cs="Arial" w:eastAsia="Arial" w:hAnsi="Arial"/>
          <w:color w:val="000000"/>
          <w:sz w:val="24"/>
          <w:szCs w:val="24"/>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9">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32hioqz" w:id="35"/>
      <w:bookmarkEnd w:id="35"/>
      <w:r w:rsidDel="00000000" w:rsidR="00000000" w:rsidRPr="00000000">
        <w:rPr>
          <w:rFonts w:ascii="Arial" w:cs="Arial" w:eastAsia="Arial" w:hAnsi="Arial"/>
          <w:color w:val="000000"/>
          <w:sz w:val="24"/>
          <w:szCs w:val="24"/>
          <w:rtl w:val="0"/>
        </w:rPr>
        <w:t xml:space="preserve">The Buyer shall:</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accept assignments from the Supplier or join with the Supplier in procuring a novation of each Transferring Contract; and</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1hmsyys" w:id="36"/>
      <w:bookmarkEnd w:id="36"/>
      <w:r w:rsidDel="00000000" w:rsidR="00000000" w:rsidRPr="00000000">
        <w:rPr>
          <w:rFonts w:ascii="Arial" w:cs="Arial" w:eastAsia="Arial" w:hAnsi="Arial"/>
          <w:color w:val="000000"/>
          <w:sz w:val="24"/>
          <w:szCs w:val="24"/>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000000" w:rsidDel="00000000" w:rsidP="00000000" w:rsidRDefault="00000000" w:rsidRPr="00000000" w14:paraId="0000007E">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w:cs="Arial" w:eastAsia="Arial" w:hAnsi="Arial"/>
          <w:b w:val="1"/>
          <w:sz w:val="24"/>
          <w:szCs w:val="24"/>
        </w:rPr>
      </w:pPr>
      <w:bookmarkStart w:colFirst="0" w:colLast="0" w:name="_41mghml" w:id="37"/>
      <w:bookmarkEnd w:id="37"/>
      <w:r w:rsidDel="00000000" w:rsidR="00000000" w:rsidRPr="00000000">
        <w:rPr>
          <w:rFonts w:ascii="Arial" w:cs="Arial" w:eastAsia="Arial" w:hAnsi="Arial"/>
          <w:b w:val="1"/>
          <w:smallCaps w:val="1"/>
          <w:color w:val="000000"/>
          <w:sz w:val="24"/>
          <w:szCs w:val="24"/>
          <w:rtl w:val="0"/>
        </w:rPr>
        <w:t xml:space="preserve">N</w:t>
      </w:r>
      <w:r w:rsidDel="00000000" w:rsidR="00000000" w:rsidRPr="00000000">
        <w:rPr>
          <w:rFonts w:ascii="Arial Bold" w:cs="Arial Bold" w:eastAsia="Arial Bold" w:hAnsi="Arial Bold"/>
          <w:b w:val="1"/>
          <w:color w:val="000000"/>
          <w:sz w:val="24"/>
          <w:szCs w:val="24"/>
          <w:rtl w:val="0"/>
        </w:rPr>
        <w:t xml:space="preserve">o charges</w:t>
      </w: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r w:rsidDel="00000000" w:rsidR="00000000" w:rsidRPr="00000000">
        <w:rPr>
          <w:rFonts w:ascii="Arial" w:cs="Arial" w:eastAsia="Arial" w:hAnsi="Arial"/>
          <w:color w:val="000000"/>
          <w:sz w:val="24"/>
          <w:szCs w:val="24"/>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80">
      <w:pPr>
        <w:keepNext w:val="1"/>
        <w:numPr>
          <w:ilvl w:val="0"/>
          <w:numId w:val="1"/>
        </w:numPr>
        <w:pBdr>
          <w:top w:space="0" w:sz="0" w:val="nil"/>
          <w:left w:space="0" w:sz="0" w:val="nil"/>
          <w:bottom w:space="0" w:sz="0" w:val="nil"/>
          <w:right w:space="0" w:sz="0" w:val="nil"/>
          <w:between w:space="0" w:sz="0" w:val="nil"/>
        </w:pBdr>
        <w:tabs>
          <w:tab w:val="left" w:pos="0"/>
        </w:tabs>
        <w:spacing w:after="240" w:before="240" w:line="240" w:lineRule="auto"/>
        <w:ind w:left="644" w:hanging="360"/>
        <w:rPr>
          <w:rFonts w:ascii="Arial" w:cs="Arial" w:eastAsia="Arial" w:hAnsi="Arial"/>
          <w:b w:val="1"/>
          <w:sz w:val="24"/>
          <w:szCs w:val="24"/>
        </w:rPr>
      </w:pPr>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ividing the bills </w:t>
      </w:r>
      <w:r w:rsidDel="00000000" w:rsidR="00000000" w:rsidRPr="00000000">
        <w:rPr>
          <w:rtl w:val="0"/>
        </w:rPr>
      </w:r>
    </w:p>
    <w:p w:rsidR="00000000" w:rsidDel="00000000" w:rsidP="00000000" w:rsidRDefault="00000000" w:rsidRPr="00000000" w14:paraId="00000081">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sz w:val="24"/>
          <w:szCs w:val="24"/>
        </w:rPr>
      </w:pPr>
      <w:bookmarkStart w:colFirst="0" w:colLast="0" w:name="_2grqrue" w:id="38"/>
      <w:bookmarkEnd w:id="38"/>
      <w:r w:rsidDel="00000000" w:rsidR="00000000" w:rsidRPr="00000000">
        <w:rPr>
          <w:rFonts w:ascii="Arial" w:cs="Arial" w:eastAsia="Arial" w:hAnsi="Arial"/>
          <w:color w:val="000000"/>
          <w:sz w:val="24"/>
          <w:szCs w:val="24"/>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amounts shall be annualised and divided by 365 to reach a daily rate;</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pos="1985"/>
          <w:tab w:val="left" w:pos="2127"/>
        </w:tabs>
        <w:spacing w:after="120" w:before="120" w:line="240" w:lineRule="auto"/>
        <w:ind w:left="72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be responsible for or entitled to (as the case may be) the rest of the invoice.</w:t>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sectPr>
      <w:headerReference r:id="rId6" w:type="default"/>
      <w:footerReference r:id="rId7" w:type="default"/>
      <w:footerReference r:id="rId8"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DPS Ref: </w:t>
    </w:r>
    <w:r w:rsidDel="00000000" w:rsidR="00000000" w:rsidRPr="00000000">
      <w:rPr>
        <w:rFonts w:ascii="Arial" w:cs="Arial" w:eastAsia="Arial" w:hAnsi="Arial"/>
        <w:sz w:val="20"/>
        <w:szCs w:val="20"/>
        <w:rtl w:val="0"/>
      </w:rPr>
      <w:t xml:space="preserve">RM6120 Leasing and Loans Finance DPS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Order Schedule 10 (Exit Management)</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Order Ref: </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2021</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pos="4513"/>
        <w:tab w:val="right" w:pos="9026"/>
        <w:tab w:val="left" w:pos="3559"/>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8.99999999999994"/>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