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tabs>
          <w:tab w:val="left" w:pos="5715"/>
        </w:tabs>
        <w:spacing w:after="240" w:line="240" w:lineRule="auto"/>
        <w:rPr>
          <w:rFonts w:ascii="Arial Bold" w:cs="Arial Bold" w:eastAsia="Arial Bold" w:hAnsi="Arial Bold"/>
          <w:b w:val="1"/>
          <w:color w:val="000000"/>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tabs>
          <w:tab w:val="left" w:pos="5715"/>
        </w:tabs>
        <w:spacing w:after="240" w:line="240" w:lineRule="auto"/>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Order Schedule 1 (Transparency Reports)</w:t>
      </w:r>
    </w:p>
    <w:p w:rsidR="00000000" w:rsidDel="00000000" w:rsidP="00000000" w:rsidRDefault="00000000" w:rsidRPr="00000000" w14:paraId="00000003">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6">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DPS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240" w:lineRule="auto"/>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Annex A: List of Transparency Reports</w:t>
      </w:r>
    </w:p>
    <w:tbl>
      <w:tblPr>
        <w:tblStyle w:val="Table1"/>
        <w:tblW w:w="899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553"/>
        <w:gridCol w:w="2248"/>
        <w:gridCol w:w="2248"/>
        <w:tblGridChange w:id="0">
          <w:tblGrid>
            <w:gridCol w:w="2943"/>
            <w:gridCol w:w="1553"/>
            <w:gridCol w:w="2248"/>
            <w:gridCol w:w="2248"/>
          </w:tblGrid>
        </w:tblGridChange>
      </w:tblGrid>
      <w:tr>
        <w:trPr>
          <w:cantSplit w:val="0"/>
          <w:trHeight w:val="1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Subcontractors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Full list of Key Subcontractors including personnel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Upon request</w:t>
            </w:r>
            <w:r w:rsidDel="00000000" w:rsidR="00000000" w:rsidRPr="00000000">
              <w:rPr>
                <w:rtl w:val="0"/>
              </w:rPr>
            </w:r>
          </w:p>
        </w:tc>
      </w:tr>
    </w:tbl>
    <w:bookmarkStart w:colFirst="0" w:colLast="0" w:name="1fob9te" w:id="2"/>
    <w:bookmarkEnd w:id="2"/>
    <w:p w:rsidR="00000000" w:rsidDel="00000000" w:rsidP="00000000" w:rsidRDefault="00000000" w:rsidRPr="00000000" w14:paraId="00000018">
      <w:pPr>
        <w:tabs>
          <w:tab w:val="left" w:pos="1251"/>
        </w:tabs>
        <w:rPr>
          <w:rFonts w:ascii="Arial" w:cs="Arial" w:eastAsia="Arial" w:hAnsi="Arial"/>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3">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RM6219 Learning and Training</w:t>
      <w:tab/>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v1.0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Order Schedule 1 (Transparency Reports)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Order Ref: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13"/>
        <w:tab w:val="right" w:pos="9026"/>
      </w:tabs>
      <w:spacing w:after="0" w:line="240" w:lineRule="auto"/>
      <w:rPr>
        <w:i w:val="1"/>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b w:val="1"/>
        <w:color w:val="000000"/>
        <w:rtl w:val="0"/>
      </w:rPr>
      <w:t xml:space="preserve">Order Schedule 1 (Transparency Reports)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Order Ref: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 xml:space="preserve">Crown Copyright</w:t>
    </w:r>
    <w:r w:rsidDel="00000000" w:rsidR="00000000" w:rsidRPr="00000000">
      <w:rPr>
        <w:rFonts w:ascii="Arial" w:cs="Arial" w:eastAsia="Arial" w:hAnsi="Arial"/>
        <w:color w:val="000000"/>
        <w:sz w:val="16"/>
        <w:szCs w:val="16"/>
        <w:rtl w:val="0"/>
      </w:rPr>
      <w:t xml:space="preserve"> </w:t>
    </w:r>
    <w:r w:rsidDel="00000000" w:rsidR="00000000" w:rsidRPr="00000000">
      <w:rPr>
        <w:color w:val="000000"/>
        <w:rtl w:val="0"/>
      </w:rPr>
      <w:t xml:space="preserve">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gov.uk/government/publications/procurement-policy-note-0117-update-to-transparency-principles"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