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56CB8BCF" w:rsidR="000A3E97" w:rsidRPr="009A59E9" w:rsidRDefault="006B7AF2" w:rsidP="006268C8">
      <w:pPr>
        <w:pStyle w:val="BodyText"/>
        <w:kinsoku w:val="0"/>
        <w:overflowPunct w:val="0"/>
        <w:spacing w:before="2"/>
        <w:ind w:left="567" w:right="-53" w:firstLine="0"/>
        <w:jc w:val="center"/>
        <w:rPr>
          <w:b/>
          <w:bCs/>
          <w:spacing w:val="-1"/>
          <w:sz w:val="36"/>
          <w:szCs w:val="36"/>
        </w:rPr>
      </w:pPr>
      <w:r w:rsidRPr="006B7AF2">
        <w:rPr>
          <w:b/>
          <w:bCs/>
          <w:spacing w:val="-1"/>
          <w:sz w:val="36"/>
          <w:szCs w:val="36"/>
        </w:rPr>
        <w:t xml:space="preserve">Refurbishment </w:t>
      </w:r>
      <w:r>
        <w:rPr>
          <w:b/>
          <w:bCs/>
          <w:spacing w:val="-1"/>
          <w:sz w:val="36"/>
          <w:szCs w:val="36"/>
        </w:rPr>
        <w:t xml:space="preserve">of </w:t>
      </w:r>
      <w:r w:rsidR="00D5390D">
        <w:rPr>
          <w:b/>
          <w:bCs/>
          <w:spacing w:val="-1"/>
          <w:sz w:val="36"/>
          <w:szCs w:val="36"/>
        </w:rPr>
        <w:t>The Old Bank Camelford</w:t>
      </w:r>
      <w:r w:rsidR="00E9689E" w:rsidRPr="009A59E9">
        <w:rPr>
          <w:b/>
          <w:bCs/>
          <w:spacing w:val="-1"/>
          <w:sz w:val="36"/>
          <w:szCs w:val="36"/>
        </w:rPr>
        <w:t xml:space="preserve"> </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81A1765" w:rsidR="000A3E97" w:rsidRPr="00EE2784" w:rsidRDefault="00FC0A24" w:rsidP="006268C8">
      <w:pPr>
        <w:pStyle w:val="BodyText"/>
        <w:kinsoku w:val="0"/>
        <w:overflowPunct w:val="0"/>
        <w:spacing w:before="2"/>
        <w:ind w:left="567" w:right="-53" w:firstLine="0"/>
        <w:jc w:val="center"/>
        <w:rPr>
          <w:b/>
          <w:bCs/>
          <w:sz w:val="36"/>
          <w:szCs w:val="36"/>
        </w:rPr>
      </w:pPr>
      <w:r w:rsidRPr="00EE2784">
        <w:rPr>
          <w:b/>
          <w:bCs/>
          <w:sz w:val="36"/>
          <w:szCs w:val="36"/>
        </w:rPr>
        <w:t>Ref:</w:t>
      </w:r>
      <w:r w:rsidR="00D5390D">
        <w:rPr>
          <w:b/>
          <w:bCs/>
          <w:sz w:val="36"/>
          <w:szCs w:val="36"/>
        </w:rPr>
        <w:t xml:space="preserve"> CAP1 004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E61B5CA" w:rsidR="00EE2784" w:rsidRDefault="00EE2784">
      <w:pPr>
        <w:widowControl/>
        <w:autoSpaceDE/>
        <w:autoSpaceDN/>
        <w:adjustRightInd/>
        <w:spacing w:after="200" w:line="276" w:lineRule="auto"/>
        <w:rPr>
          <w:rFonts w:ascii="Verdana" w:hAnsi="Verdana"/>
          <w:sz w:val="20"/>
          <w:szCs w:val="20"/>
        </w:rPr>
      </w:pPr>
      <w:r>
        <w:rPr>
          <w:sz w:val="20"/>
          <w:szCs w:val="20"/>
        </w:rPr>
        <w:br w:type="page"/>
      </w:r>
    </w:p>
    <w:p w14:paraId="1B5FA6A6" w14:textId="38773621" w:rsidR="00E9689E" w:rsidRDefault="00D5390D" w:rsidP="00D5390D">
      <w:pPr>
        <w:pStyle w:val="Heading1"/>
      </w:pPr>
      <w:r w:rsidRPr="00D5390D">
        <w:rPr>
          <w:bCs w:val="0"/>
        </w:rPr>
        <w:lastRenderedPageBreak/>
        <w:t>1.</w:t>
      </w:r>
      <w:r>
        <w:t xml:space="preserve"> </w:t>
      </w:r>
      <w:r>
        <w:tab/>
      </w:r>
      <w:r w:rsidR="000A3E97" w:rsidRPr="004A562D">
        <w:t xml:space="preserve">About </w:t>
      </w:r>
      <w:r>
        <w:t>The Old Bank Camelford.</w:t>
      </w:r>
    </w:p>
    <w:p w14:paraId="1326DE30" w14:textId="6C6BCBDA" w:rsidR="00D5390D" w:rsidRDefault="00D5390D" w:rsidP="00D5390D"/>
    <w:p w14:paraId="775BEF06" w14:textId="77777777" w:rsidR="005A0325" w:rsidRDefault="00D5390D" w:rsidP="00D5390D">
      <w:pPr>
        <w:rPr>
          <w:rFonts w:ascii="Verdana" w:eastAsia="Times New Roman" w:hAnsi="Verdana"/>
          <w:sz w:val="20"/>
        </w:rPr>
      </w:pPr>
      <w:r w:rsidRPr="00D5390D">
        <w:rPr>
          <w:rFonts w:ascii="Verdana" w:eastAsia="Times New Roman" w:hAnsi="Verdana"/>
          <w:sz w:val="20"/>
        </w:rPr>
        <w:t>The Old bank</w:t>
      </w:r>
      <w:r>
        <w:rPr>
          <w:rFonts w:ascii="Verdana" w:eastAsia="Times New Roman" w:hAnsi="Verdana"/>
          <w:sz w:val="20"/>
        </w:rPr>
        <w:t xml:space="preserve"> is a local charity </w:t>
      </w:r>
      <w:r w:rsidRPr="00D5390D">
        <w:rPr>
          <w:rFonts w:ascii="Verdana" w:eastAsia="Times New Roman" w:hAnsi="Verdana"/>
          <w:sz w:val="20"/>
        </w:rPr>
        <w:t xml:space="preserve">breathing new life into the disused Nat West Bank building in Camelford, providing an affordable space for the community. The charity offers </w:t>
      </w:r>
      <w:r>
        <w:rPr>
          <w:rFonts w:ascii="Verdana" w:eastAsia="Times New Roman" w:hAnsi="Verdana"/>
          <w:sz w:val="20"/>
        </w:rPr>
        <w:t xml:space="preserve">regular events and support including weekly community larders for local residents who don’t qualify for foodbank support, weekly fresh food markets to reduce food waste, along with quiz nights, art classes, film clubs and a range of healthy living activities. </w:t>
      </w:r>
      <w:r w:rsidR="005A0325">
        <w:rPr>
          <w:rFonts w:ascii="Verdana" w:eastAsia="Times New Roman" w:hAnsi="Verdana"/>
          <w:sz w:val="20"/>
        </w:rPr>
        <w:t>The external part of the building can be seen at:</w:t>
      </w:r>
    </w:p>
    <w:p w14:paraId="6801A9EE" w14:textId="77777777" w:rsidR="005A0325" w:rsidRDefault="005A0325" w:rsidP="00D5390D">
      <w:pPr>
        <w:rPr>
          <w:rFonts w:ascii="Verdana" w:eastAsia="Times New Roman" w:hAnsi="Verdana"/>
          <w:sz w:val="20"/>
        </w:rPr>
      </w:pPr>
    </w:p>
    <w:p w14:paraId="7E785B55" w14:textId="22E10A32" w:rsidR="00D5390D" w:rsidRDefault="005A0325" w:rsidP="00D5390D">
      <w:pPr>
        <w:rPr>
          <w:rFonts w:ascii="Verdana" w:eastAsia="Times New Roman" w:hAnsi="Verdana"/>
          <w:sz w:val="20"/>
        </w:rPr>
      </w:pPr>
      <w:hyperlink r:id="rId11" w:history="1">
        <w:r w:rsidRPr="00BC0C28">
          <w:rPr>
            <w:rStyle w:val="Hyperlink"/>
            <w:rFonts w:ascii="Verdana" w:eastAsia="Times New Roman" w:hAnsi="Verdana"/>
            <w:sz w:val="20"/>
          </w:rPr>
          <w:t>https://www.google.com/maps/@50.622671,-4.6791692,3a,75y,341.21h,102.27t/data=!3m6!1e1!3m4!1sSdmlx1j8cj9XdZQ96lRCYg!2e0!7i16384!8i8192?entry=ttu</w:t>
        </w:r>
      </w:hyperlink>
    </w:p>
    <w:p w14:paraId="1F1FC3DD" w14:textId="77777777" w:rsidR="005A0325" w:rsidRPr="00D5390D" w:rsidRDefault="005A0325" w:rsidP="00D5390D">
      <w:pPr>
        <w:rPr>
          <w:rFonts w:ascii="Verdana" w:eastAsia="Times New Roman" w:hAnsi="Verdana"/>
          <w:sz w:val="20"/>
        </w:rPr>
      </w:pPr>
    </w:p>
    <w:p w14:paraId="3B18B131" w14:textId="77777777" w:rsidR="00D5390D" w:rsidRPr="00D5390D" w:rsidRDefault="00D5390D" w:rsidP="00D5390D"/>
    <w:p w14:paraId="6EBD3F4C" w14:textId="63310DB2" w:rsidR="008D38AA" w:rsidRDefault="008B4124" w:rsidP="00E9689E">
      <w:pPr>
        <w:pStyle w:val="Heading1"/>
      </w:pPr>
      <w:r w:rsidRPr="002D4526">
        <w:t>2</w:t>
      </w:r>
      <w:r w:rsidRPr="0073095D">
        <w:t xml:space="preserve">. </w:t>
      </w:r>
      <w:r w:rsidR="003D4F03">
        <w:tab/>
      </w:r>
      <w:r w:rsidR="000A3E97" w:rsidRPr="002D4526">
        <w:t>Background and Context</w:t>
      </w:r>
    </w:p>
    <w:p w14:paraId="659A4CA0" w14:textId="65170FCB" w:rsidR="00E9689E" w:rsidRDefault="00E9689E" w:rsidP="00E9689E"/>
    <w:p w14:paraId="40C5C7CC" w14:textId="5B649FB1" w:rsidR="00E9689E" w:rsidRDefault="00E9689E" w:rsidP="00E9689E"/>
    <w:p w14:paraId="0079F880" w14:textId="6882DAA2" w:rsidR="00E9689E" w:rsidRDefault="00E9689E" w:rsidP="00E9689E">
      <w:pPr>
        <w:rPr>
          <w:rFonts w:ascii="Verdana" w:eastAsia="Times New Roman" w:hAnsi="Verdana"/>
          <w:sz w:val="20"/>
        </w:rPr>
      </w:pPr>
      <w:r>
        <w:rPr>
          <w:rFonts w:ascii="Verdana" w:eastAsia="Times New Roman" w:hAnsi="Verdana"/>
          <w:sz w:val="20"/>
        </w:rPr>
        <w:t xml:space="preserve">This tender is to </w:t>
      </w:r>
      <w:r w:rsidRPr="00E9689E">
        <w:rPr>
          <w:rFonts w:ascii="Verdana" w:eastAsia="Times New Roman" w:hAnsi="Verdana"/>
          <w:sz w:val="20"/>
        </w:rPr>
        <w:t xml:space="preserve">improve the building </w:t>
      </w:r>
      <w:r w:rsidR="00D5390D">
        <w:rPr>
          <w:rFonts w:ascii="Verdana" w:eastAsia="Times New Roman" w:hAnsi="Verdana"/>
          <w:sz w:val="20"/>
        </w:rPr>
        <w:t xml:space="preserve">in order to </w:t>
      </w:r>
      <w:r w:rsidR="00665612">
        <w:rPr>
          <w:rFonts w:ascii="Verdana" w:eastAsia="Times New Roman" w:hAnsi="Verdana"/>
          <w:sz w:val="20"/>
        </w:rPr>
        <w:t xml:space="preserve">provide better, more attractive facilities for the current services that the charity delivers, as well as allow them to offer a </w:t>
      </w:r>
      <w:r w:rsidR="00D5390D">
        <w:rPr>
          <w:rFonts w:ascii="Verdana" w:eastAsia="Times New Roman" w:hAnsi="Verdana"/>
          <w:sz w:val="20"/>
        </w:rPr>
        <w:t xml:space="preserve">range of new </w:t>
      </w:r>
      <w:r w:rsidR="00665612">
        <w:rPr>
          <w:rFonts w:ascii="Verdana" w:eastAsia="Times New Roman" w:hAnsi="Verdana"/>
          <w:sz w:val="20"/>
        </w:rPr>
        <w:t xml:space="preserve">activities, including community café, community laundrette, </w:t>
      </w:r>
      <w:r w:rsidR="00520EFC">
        <w:rPr>
          <w:rFonts w:ascii="Verdana" w:eastAsia="Times New Roman" w:hAnsi="Verdana"/>
          <w:sz w:val="20"/>
        </w:rPr>
        <w:t>along with</w:t>
      </w:r>
      <w:r w:rsidR="00665612">
        <w:rPr>
          <w:rFonts w:ascii="Verdana" w:eastAsia="Times New Roman" w:hAnsi="Verdana"/>
          <w:sz w:val="20"/>
        </w:rPr>
        <w:t xml:space="preserve"> a range of advice</w:t>
      </w:r>
      <w:r w:rsidR="00520EFC">
        <w:rPr>
          <w:rFonts w:ascii="Verdana" w:eastAsia="Times New Roman" w:hAnsi="Verdana"/>
          <w:sz w:val="20"/>
        </w:rPr>
        <w:t>,</w:t>
      </w:r>
      <w:r w:rsidR="00665612">
        <w:rPr>
          <w:rFonts w:ascii="Verdana" w:eastAsia="Times New Roman" w:hAnsi="Verdana"/>
          <w:sz w:val="20"/>
        </w:rPr>
        <w:t xml:space="preserve"> guidance and employment support.</w:t>
      </w:r>
    </w:p>
    <w:p w14:paraId="540CFB23" w14:textId="110B4F80" w:rsidR="00D5390D" w:rsidRDefault="00D5390D" w:rsidP="00E9689E">
      <w:pPr>
        <w:rPr>
          <w:rFonts w:ascii="Verdana" w:eastAsia="Times New Roman" w:hAnsi="Verdana"/>
          <w:sz w:val="20"/>
        </w:rPr>
      </w:pPr>
    </w:p>
    <w:p w14:paraId="79F5968C" w14:textId="7F0A5F6D" w:rsidR="00D5390D" w:rsidRDefault="00665612" w:rsidP="00E9689E">
      <w:pPr>
        <w:rPr>
          <w:rFonts w:ascii="Verdana" w:eastAsia="Times New Roman" w:hAnsi="Verdana"/>
          <w:sz w:val="20"/>
        </w:rPr>
      </w:pPr>
      <w:r>
        <w:rPr>
          <w:rFonts w:ascii="Verdana" w:eastAsia="Times New Roman" w:hAnsi="Verdana"/>
          <w:sz w:val="20"/>
        </w:rPr>
        <w:t>The damp proofing and electrical work is vital to be able to provide a warm, comfortable and safe space for their vulnerable clients, along with the required elements of redecoration providing a welcoming, attractive and functional community hub for local residents to make good use of.</w:t>
      </w:r>
    </w:p>
    <w:p w14:paraId="2121C527" w14:textId="27953512" w:rsidR="00665612" w:rsidRDefault="00665612" w:rsidP="00E9689E">
      <w:pPr>
        <w:rPr>
          <w:rFonts w:ascii="Verdana" w:eastAsia="Times New Roman" w:hAnsi="Verdana"/>
          <w:sz w:val="20"/>
        </w:rPr>
      </w:pPr>
    </w:p>
    <w:p w14:paraId="2221CD75" w14:textId="4BFBCBFD" w:rsidR="00665612" w:rsidRDefault="00665612" w:rsidP="00E9689E">
      <w:pPr>
        <w:rPr>
          <w:rFonts w:ascii="Verdana" w:eastAsia="Times New Roman" w:hAnsi="Verdana"/>
          <w:sz w:val="20"/>
        </w:rPr>
      </w:pPr>
      <w:r>
        <w:rPr>
          <w:rFonts w:ascii="Verdana" w:eastAsia="Times New Roman" w:hAnsi="Verdana"/>
          <w:sz w:val="20"/>
        </w:rPr>
        <w:t>The charity currently supports approx. 700 local residents per week, with the expectation that this will rise to 1000 after the refurbishment is completed.</w:t>
      </w:r>
    </w:p>
    <w:p w14:paraId="4BEFA896" w14:textId="442359A2" w:rsidR="00665612" w:rsidRDefault="00665612" w:rsidP="00E9689E">
      <w:pPr>
        <w:rPr>
          <w:rFonts w:ascii="Verdana" w:eastAsia="Times New Roman" w:hAnsi="Verdana"/>
          <w:sz w:val="20"/>
        </w:rPr>
      </w:pPr>
    </w:p>
    <w:p w14:paraId="75016FC5" w14:textId="0AB7E786" w:rsidR="002D4526" w:rsidRPr="002D4526" w:rsidRDefault="002D4526" w:rsidP="002D4526">
      <w:pPr>
        <w:widowControl/>
        <w:autoSpaceDE/>
        <w:autoSpaceDN/>
        <w:adjustRightInd/>
        <w:spacing w:after="200" w:line="276" w:lineRule="auto"/>
        <w:rPr>
          <w:rFonts w:ascii="Calibri" w:eastAsia="Calibri" w:hAnsi="Calibri"/>
          <w:lang w:eastAsia="en-US"/>
        </w:rPr>
      </w:pPr>
      <w:r w:rsidRPr="002D4526">
        <w:rPr>
          <w:rFonts w:ascii="Calibri" w:eastAsia="Calibri" w:hAnsi="Calibri"/>
          <w:lang w:eastAsia="en-US"/>
        </w:rPr>
        <w:t xml:space="preserve">The </w:t>
      </w:r>
      <w:r w:rsidR="00665612">
        <w:rPr>
          <w:rFonts w:ascii="Calibri" w:eastAsia="Calibri" w:hAnsi="Calibri"/>
          <w:lang w:eastAsia="en-US"/>
        </w:rPr>
        <w:t>proposed works are</w:t>
      </w:r>
      <w:r w:rsidRPr="002D4526">
        <w:rPr>
          <w:rFonts w:ascii="Calibri" w:eastAsia="Calibri" w:hAnsi="Calibri"/>
          <w:lang w:eastAsia="en-US"/>
        </w:rPr>
        <w:t xml:space="preserve"> part of a grant funded application process and therefore procurement will be subject to grant approval of the project. We will </w:t>
      </w:r>
      <w:r>
        <w:rPr>
          <w:rFonts w:ascii="Calibri" w:eastAsia="Calibri" w:hAnsi="Calibri"/>
          <w:lang w:eastAsia="en-US"/>
        </w:rPr>
        <w:t>assess</w:t>
      </w:r>
      <w:r w:rsidRPr="002D4526">
        <w:rPr>
          <w:rFonts w:ascii="Calibri" w:eastAsia="Calibri" w:hAnsi="Calibri"/>
          <w:lang w:eastAsia="en-US"/>
        </w:rPr>
        <w:t xml:space="preserve"> tenders received on a Most </w:t>
      </w:r>
      <w:r>
        <w:rPr>
          <w:rFonts w:ascii="Calibri" w:eastAsia="Calibri" w:hAnsi="Calibri"/>
          <w:lang w:eastAsia="en-US"/>
        </w:rPr>
        <w:t>E</w:t>
      </w:r>
      <w:r w:rsidRPr="002D4526">
        <w:rPr>
          <w:rFonts w:ascii="Calibri" w:eastAsia="Calibri" w:hAnsi="Calibri"/>
          <w:lang w:eastAsia="en-US"/>
        </w:rPr>
        <w:t xml:space="preserve">conomically </w:t>
      </w:r>
      <w:r>
        <w:rPr>
          <w:rFonts w:ascii="Calibri" w:eastAsia="Calibri" w:hAnsi="Calibri"/>
          <w:lang w:eastAsia="en-US"/>
        </w:rPr>
        <w:t>A</w:t>
      </w:r>
      <w:r w:rsidRPr="002D4526">
        <w:rPr>
          <w:rFonts w:ascii="Calibri" w:eastAsia="Calibri" w:hAnsi="Calibri"/>
          <w:lang w:eastAsia="en-US"/>
        </w:rPr>
        <w:t xml:space="preserve">dvantageous </w:t>
      </w:r>
      <w:r>
        <w:rPr>
          <w:rFonts w:ascii="Calibri" w:eastAsia="Calibri" w:hAnsi="Calibri"/>
          <w:lang w:eastAsia="en-US"/>
        </w:rPr>
        <w:t>T</w:t>
      </w:r>
      <w:r w:rsidRPr="002D4526">
        <w:rPr>
          <w:rFonts w:ascii="Calibri" w:eastAsia="Calibri" w:hAnsi="Calibri"/>
          <w:lang w:eastAsia="en-US"/>
        </w:rPr>
        <w:t>ender.</w:t>
      </w:r>
    </w:p>
    <w:p w14:paraId="515771A5" w14:textId="7A358A66" w:rsidR="000F0421" w:rsidRPr="004A562D" w:rsidRDefault="00C21622" w:rsidP="00E9689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bookmarkStart w:id="0" w:name="_Hlk138413866"/>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7ECF4818" w14:textId="40650D65" w:rsidR="00D4366F" w:rsidRDefault="00C21622" w:rsidP="006749F6">
      <w:pPr>
        <w:pStyle w:val="Neading3"/>
      </w:pPr>
      <w:r w:rsidRPr="00A5075E">
        <w:t>3</w:t>
      </w:r>
      <w:r w:rsidR="002E2791" w:rsidRPr="00A5075E">
        <w:t>.1</w:t>
      </w:r>
      <w:r w:rsidR="00B634E3" w:rsidRPr="00A5075E">
        <w:tab/>
      </w:r>
      <w:r w:rsidR="00182302">
        <w:t xml:space="preserve">All tenderers should note that the following works will be carried out by </w:t>
      </w:r>
      <w:r w:rsidR="00875792">
        <w:t>the client</w:t>
      </w:r>
      <w:r w:rsidR="00520EFC">
        <w:t xml:space="preserve">: </w:t>
      </w:r>
      <w:r w:rsidR="00D4366F" w:rsidRPr="00D4366F">
        <w:t>Remov</w:t>
      </w:r>
      <w:r w:rsidR="00D4366F">
        <w:t>al</w:t>
      </w:r>
      <w:r w:rsidR="00D4366F" w:rsidRPr="00D4366F">
        <w:t xml:space="preserve"> </w:t>
      </w:r>
      <w:r w:rsidR="00520EFC">
        <w:t xml:space="preserve">of </w:t>
      </w:r>
      <w:r w:rsidR="00D4366F" w:rsidRPr="00D4366F">
        <w:t>all electrics, floor coverings, plumbing and furniture.</w:t>
      </w:r>
    </w:p>
    <w:p w14:paraId="3520C1DC" w14:textId="77777777" w:rsidR="00D4366F" w:rsidRDefault="00D4366F" w:rsidP="006749F6">
      <w:pPr>
        <w:pStyle w:val="Neading3"/>
      </w:pPr>
    </w:p>
    <w:p w14:paraId="3A84139B" w14:textId="305133D1" w:rsidR="00D4366F" w:rsidRDefault="00D4366F" w:rsidP="006749F6">
      <w:pPr>
        <w:pStyle w:val="Neading3"/>
      </w:pPr>
      <w:r>
        <w:t>3.2</w:t>
      </w:r>
      <w:r>
        <w:tab/>
        <w:t xml:space="preserve">The following </w:t>
      </w:r>
      <w:r w:rsidR="00520EFC">
        <w:t xml:space="preserve">works </w:t>
      </w:r>
      <w:r>
        <w:t>shall fall outside the scope of the tender:</w:t>
      </w:r>
    </w:p>
    <w:p w14:paraId="7CBF266D" w14:textId="4F96E6FB" w:rsidR="00D4366F" w:rsidRDefault="00520EFC" w:rsidP="006749F6">
      <w:pPr>
        <w:pStyle w:val="Neading3"/>
        <w:numPr>
          <w:ilvl w:val="0"/>
          <w:numId w:val="7"/>
        </w:numPr>
      </w:pPr>
      <w:r>
        <w:t>F</w:t>
      </w:r>
      <w:r w:rsidR="00D4366F">
        <w:t xml:space="preserve">ull </w:t>
      </w:r>
      <w:r w:rsidR="00182302">
        <w:t xml:space="preserve">electrical </w:t>
      </w:r>
      <w:r w:rsidR="00D4366F">
        <w:t xml:space="preserve">rewire of the property </w:t>
      </w:r>
    </w:p>
    <w:p w14:paraId="39FBE826" w14:textId="1DAC1EFE" w:rsidR="00D4366F" w:rsidRDefault="00D4366F" w:rsidP="006749F6">
      <w:pPr>
        <w:pStyle w:val="Neading3"/>
        <w:numPr>
          <w:ilvl w:val="0"/>
          <w:numId w:val="7"/>
        </w:numPr>
      </w:pPr>
      <w:r w:rsidRPr="00D4366F">
        <w:t xml:space="preserve">Windows – </w:t>
      </w:r>
      <w:r w:rsidR="00520EFC">
        <w:t>r</w:t>
      </w:r>
      <w:r w:rsidRPr="00D4366F">
        <w:t>eplacement of all windows to the front of the building</w:t>
      </w:r>
      <w:r w:rsidR="006749F6">
        <w:t xml:space="preserve"> and r</w:t>
      </w:r>
      <w:r w:rsidRPr="00D4366F">
        <w:t>epair and make good all windows to the rear of the building.</w:t>
      </w:r>
      <w:r>
        <w:t xml:space="preserve"> </w:t>
      </w:r>
    </w:p>
    <w:p w14:paraId="4AD74FA3" w14:textId="6F2DC95E" w:rsidR="00D4366F" w:rsidRDefault="00520EFC" w:rsidP="006749F6">
      <w:pPr>
        <w:pStyle w:val="Neading3"/>
        <w:numPr>
          <w:ilvl w:val="0"/>
          <w:numId w:val="7"/>
        </w:numPr>
      </w:pPr>
      <w:r>
        <w:t>N</w:t>
      </w:r>
      <w:r w:rsidR="00D4366F">
        <w:t>ew flooring</w:t>
      </w:r>
      <w:r w:rsidR="00875792">
        <w:t xml:space="preserve"> </w:t>
      </w:r>
    </w:p>
    <w:p w14:paraId="70F4CC00" w14:textId="4A9305D9" w:rsidR="00182302" w:rsidRDefault="00520EFC" w:rsidP="006749F6">
      <w:pPr>
        <w:pStyle w:val="Neading3"/>
        <w:numPr>
          <w:ilvl w:val="0"/>
          <w:numId w:val="7"/>
        </w:numPr>
      </w:pPr>
      <w:r>
        <w:t>N</w:t>
      </w:r>
      <w:r w:rsidR="00D4366F">
        <w:t>ew facia boards</w:t>
      </w:r>
      <w:r w:rsidR="00875792">
        <w:t xml:space="preserve"> </w:t>
      </w:r>
    </w:p>
    <w:p w14:paraId="7A0E3A89" w14:textId="77777777" w:rsidR="00182302" w:rsidRDefault="00182302" w:rsidP="006749F6">
      <w:pPr>
        <w:pStyle w:val="Neading3"/>
      </w:pPr>
    </w:p>
    <w:p w14:paraId="6AE5C719" w14:textId="27691924" w:rsidR="00D2330A" w:rsidRDefault="00D4366F" w:rsidP="00D2330A">
      <w:pPr>
        <w:pStyle w:val="Neading3"/>
      </w:pPr>
      <w:r>
        <w:t xml:space="preserve">3.3 </w:t>
      </w:r>
      <w:r>
        <w:tab/>
      </w:r>
      <w:r w:rsidR="00D2330A">
        <w:t>Remove the wall plaster up to full height; install cavity membrane and Plasterboard and skim walls for the following:</w:t>
      </w:r>
    </w:p>
    <w:p w14:paraId="05F64203" w14:textId="534F2EF3" w:rsidR="00D2330A" w:rsidRDefault="00D2330A" w:rsidP="00D2330A">
      <w:pPr>
        <w:pStyle w:val="Neading3"/>
      </w:pPr>
    </w:p>
    <w:p w14:paraId="1FC91385" w14:textId="2A604252" w:rsidR="00D2330A" w:rsidRDefault="00D2330A" w:rsidP="00D2330A">
      <w:pPr>
        <w:pStyle w:val="Neading3"/>
        <w:numPr>
          <w:ilvl w:val="0"/>
          <w:numId w:val="8"/>
        </w:numPr>
      </w:pPr>
      <w:r>
        <w:t>Right hand wall as you enter the property</w:t>
      </w:r>
      <w:r w:rsidR="006C21AF">
        <w:t xml:space="preserve"> (8m</w:t>
      </w:r>
      <w:r w:rsidR="006C21AF" w:rsidRPr="006C21AF">
        <w:rPr>
          <w:vertAlign w:val="superscript"/>
        </w:rPr>
        <w:t>2</w:t>
      </w:r>
      <w:r w:rsidR="006C21AF">
        <w:t>)</w:t>
      </w:r>
    </w:p>
    <w:p w14:paraId="1E9EF9BB" w14:textId="71DC48B6" w:rsidR="00D2330A" w:rsidRDefault="00D2330A" w:rsidP="00D2330A">
      <w:pPr>
        <w:pStyle w:val="Neading3"/>
        <w:numPr>
          <w:ilvl w:val="0"/>
          <w:numId w:val="8"/>
        </w:numPr>
      </w:pPr>
      <w:r>
        <w:t>Left and Right Hand Wall up to 1 metre in from the Fire Escape</w:t>
      </w:r>
      <w:r w:rsidR="006C21AF">
        <w:t xml:space="preserve"> (4m</w:t>
      </w:r>
      <w:r w:rsidR="006C21AF" w:rsidRPr="006C21AF">
        <w:rPr>
          <w:vertAlign w:val="superscript"/>
        </w:rPr>
        <w:t>2</w:t>
      </w:r>
      <w:r w:rsidR="006C21AF">
        <w:t>)</w:t>
      </w:r>
    </w:p>
    <w:p w14:paraId="1DFFEA17" w14:textId="114C279D" w:rsidR="00D2330A" w:rsidRDefault="00D2330A" w:rsidP="00D2330A">
      <w:pPr>
        <w:pStyle w:val="Neading3"/>
        <w:numPr>
          <w:ilvl w:val="0"/>
          <w:numId w:val="8"/>
        </w:numPr>
      </w:pPr>
      <w:r>
        <w:lastRenderedPageBreak/>
        <w:t>Solid Plastered Walls in the Book Room</w:t>
      </w:r>
      <w:r w:rsidR="006C21AF">
        <w:t xml:space="preserve"> (36m</w:t>
      </w:r>
      <w:r w:rsidR="006C21AF" w:rsidRPr="006C21AF">
        <w:rPr>
          <w:b/>
          <w:bCs/>
          <w:vertAlign w:val="superscript"/>
        </w:rPr>
        <w:t>2</w:t>
      </w:r>
      <w:r w:rsidR="006C21AF">
        <w:t>)</w:t>
      </w:r>
    </w:p>
    <w:p w14:paraId="1AF53759" w14:textId="6D295815" w:rsidR="00D2330A" w:rsidRDefault="00D2330A" w:rsidP="00D2330A">
      <w:pPr>
        <w:pStyle w:val="Neading3"/>
        <w:numPr>
          <w:ilvl w:val="0"/>
          <w:numId w:val="8"/>
        </w:numPr>
      </w:pPr>
      <w:r>
        <w:t xml:space="preserve">Rear and facing wall of the </w:t>
      </w:r>
      <w:r w:rsidR="006C21AF">
        <w:t>mezzanine</w:t>
      </w:r>
      <w:r>
        <w:t xml:space="preserve"> and the adjoining cupboard</w:t>
      </w:r>
      <w:r w:rsidR="006C21AF">
        <w:t xml:space="preserve"> </w:t>
      </w:r>
      <w:r w:rsidR="006C21AF" w:rsidRPr="006C21AF">
        <w:t>(</w:t>
      </w:r>
      <w:r w:rsidR="006C21AF">
        <w:t>40</w:t>
      </w:r>
      <w:r w:rsidR="006C21AF" w:rsidRPr="006C21AF">
        <w:t>m</w:t>
      </w:r>
      <w:r w:rsidR="006C21AF" w:rsidRPr="006C21AF">
        <w:rPr>
          <w:vertAlign w:val="superscript"/>
        </w:rPr>
        <w:t>2</w:t>
      </w:r>
      <w:r w:rsidR="006C21AF" w:rsidRPr="006C21AF">
        <w:t>)</w:t>
      </w:r>
    </w:p>
    <w:p w14:paraId="26AC0695" w14:textId="433DFA28" w:rsidR="00D2330A" w:rsidRDefault="00D2330A" w:rsidP="00D2330A">
      <w:pPr>
        <w:pStyle w:val="Neading3"/>
        <w:numPr>
          <w:ilvl w:val="0"/>
          <w:numId w:val="8"/>
        </w:numPr>
      </w:pPr>
      <w:r>
        <w:t>Outside wall of the side office</w:t>
      </w:r>
      <w:r w:rsidR="006C21AF">
        <w:t xml:space="preserve"> </w:t>
      </w:r>
      <w:r w:rsidR="006C21AF" w:rsidRPr="006C21AF">
        <w:t>(</w:t>
      </w:r>
      <w:r w:rsidR="006C21AF">
        <w:t>1</w:t>
      </w:r>
      <w:r w:rsidR="006C21AF" w:rsidRPr="006C21AF">
        <w:t>0m</w:t>
      </w:r>
      <w:r w:rsidR="006C21AF" w:rsidRPr="006C21AF">
        <w:rPr>
          <w:vertAlign w:val="superscript"/>
        </w:rPr>
        <w:t>2</w:t>
      </w:r>
      <w:r w:rsidR="006C21AF" w:rsidRPr="006C21AF">
        <w:t>)</w:t>
      </w:r>
    </w:p>
    <w:p w14:paraId="3597456C" w14:textId="00A26532" w:rsidR="00D2330A" w:rsidRDefault="00D2330A" w:rsidP="00D2330A">
      <w:pPr>
        <w:pStyle w:val="Neading3"/>
        <w:numPr>
          <w:ilvl w:val="0"/>
          <w:numId w:val="8"/>
        </w:numPr>
      </w:pPr>
      <w:r>
        <w:t>Left hand wall leading to outer kitchen</w:t>
      </w:r>
      <w:r w:rsidR="006C21AF" w:rsidRPr="006C21AF">
        <w:t>(</w:t>
      </w:r>
      <w:r w:rsidR="006C21AF">
        <w:t>1</w:t>
      </w:r>
      <w:r w:rsidR="006C21AF" w:rsidRPr="006C21AF">
        <w:t>0m</w:t>
      </w:r>
      <w:r w:rsidR="006C21AF" w:rsidRPr="006C21AF">
        <w:rPr>
          <w:vertAlign w:val="superscript"/>
        </w:rPr>
        <w:t>2</w:t>
      </w:r>
      <w:r w:rsidR="006C21AF" w:rsidRPr="006C21AF">
        <w:t>)</w:t>
      </w:r>
      <w:r w:rsidR="006C21AF">
        <w:t xml:space="preserve"> </w:t>
      </w:r>
    </w:p>
    <w:p w14:paraId="176DFFEC" w14:textId="2D389D42" w:rsidR="00D2330A" w:rsidRDefault="00D2330A" w:rsidP="00D2330A">
      <w:pPr>
        <w:pStyle w:val="Neading3"/>
        <w:numPr>
          <w:ilvl w:val="0"/>
          <w:numId w:val="8"/>
        </w:numPr>
      </w:pPr>
      <w:r>
        <w:t>Wall adjoining former safe door</w:t>
      </w:r>
      <w:r w:rsidR="006C21AF">
        <w:t xml:space="preserve"> </w:t>
      </w:r>
      <w:r w:rsidR="006C21AF" w:rsidRPr="006C21AF">
        <w:t>(</w:t>
      </w:r>
      <w:r w:rsidR="006C21AF">
        <w:t>1</w:t>
      </w:r>
      <w:r w:rsidR="006C21AF" w:rsidRPr="006C21AF">
        <w:t>0m</w:t>
      </w:r>
      <w:r w:rsidR="006C21AF" w:rsidRPr="006C21AF">
        <w:rPr>
          <w:vertAlign w:val="superscript"/>
        </w:rPr>
        <w:t>2</w:t>
      </w:r>
      <w:r w:rsidR="006C21AF" w:rsidRPr="006C21AF">
        <w:t>)</w:t>
      </w:r>
      <w:r w:rsidR="006C21AF">
        <w:t xml:space="preserve"> </w:t>
      </w:r>
    </w:p>
    <w:p w14:paraId="0F4887E5" w14:textId="77777777" w:rsidR="006C21AF" w:rsidRDefault="006C21AF" w:rsidP="006C21AF">
      <w:pPr>
        <w:pStyle w:val="Neading3"/>
        <w:ind w:left="720" w:firstLine="0"/>
      </w:pPr>
    </w:p>
    <w:p w14:paraId="0BF4BC61" w14:textId="351DE593" w:rsidR="00182302" w:rsidRDefault="00D2330A" w:rsidP="006749F6">
      <w:pPr>
        <w:pStyle w:val="Neading3"/>
      </w:pPr>
      <w:r>
        <w:t>3.4</w:t>
      </w:r>
      <w:r>
        <w:tab/>
      </w:r>
      <w:r w:rsidR="00D4366F" w:rsidRPr="00D4366F">
        <w:t xml:space="preserve">Treatment of rising damp </w:t>
      </w:r>
      <w:r w:rsidR="006749F6">
        <w:t>at the g</w:t>
      </w:r>
      <w:r w:rsidR="00D4366F" w:rsidRPr="00D4366F">
        <w:t>round floor leve</w:t>
      </w:r>
      <w:r w:rsidR="006749F6">
        <w:t>l</w:t>
      </w:r>
      <w:r w:rsidR="00A4090B">
        <w:t xml:space="preserve"> </w:t>
      </w:r>
      <w:r w:rsidR="006749F6">
        <w:t>by l</w:t>
      </w:r>
      <w:r w:rsidR="00D4366F" w:rsidRPr="00D4366F">
        <w:t xml:space="preserve">iquid damp proof membrane and self-levelling compound </w:t>
      </w:r>
      <w:r w:rsidR="006749F6">
        <w:t xml:space="preserve">as </w:t>
      </w:r>
      <w:r w:rsidR="00D4366F" w:rsidRPr="00D4366F">
        <w:t>needed</w:t>
      </w:r>
      <w:r w:rsidR="00A4090B">
        <w:t xml:space="preserve"> to the areas in 3.3</w:t>
      </w:r>
      <w:r w:rsidR="00D4366F" w:rsidRPr="00D4366F">
        <w:t>.</w:t>
      </w:r>
    </w:p>
    <w:p w14:paraId="69A0FCCB" w14:textId="600EE870" w:rsidR="00D4366F" w:rsidRDefault="00D4366F" w:rsidP="006749F6">
      <w:pPr>
        <w:pStyle w:val="Neading3"/>
      </w:pPr>
    </w:p>
    <w:p w14:paraId="36F7F1B8" w14:textId="76110241" w:rsidR="00D4366F" w:rsidRDefault="00D4366F" w:rsidP="006749F6">
      <w:pPr>
        <w:pStyle w:val="Neading3"/>
      </w:pPr>
      <w:r>
        <w:t>3.</w:t>
      </w:r>
      <w:r w:rsidR="005F61FE">
        <w:t>5</w:t>
      </w:r>
      <w:r>
        <w:tab/>
      </w:r>
      <w:r w:rsidRPr="00D4366F">
        <w:t>Investigate toilets and recommend a resolution to ensure t</w:t>
      </w:r>
      <w:r w:rsidR="00A4090B">
        <w:t>he 2</w:t>
      </w:r>
      <w:r w:rsidRPr="00D4366F">
        <w:t xml:space="preserve"> toilets and sinks are in working order. </w:t>
      </w:r>
      <w:r w:rsidR="00205460" w:rsidRPr="00205460">
        <w:t>Reconnect the first floor W.C.</w:t>
      </w:r>
      <w:r w:rsidR="00A4090B">
        <w:t xml:space="preserve"> </w:t>
      </w:r>
      <w:r w:rsidRPr="00D4366F">
        <w:t>This is to be tested on site</w:t>
      </w:r>
      <w:r w:rsidR="00205460">
        <w:t xml:space="preserve">.  </w:t>
      </w:r>
      <w:r w:rsidR="00A4090B">
        <w:t>R</w:t>
      </w:r>
      <w:r w:rsidRPr="00D4366F">
        <w:t>eplace the ground floor cistern and pan.</w:t>
      </w:r>
    </w:p>
    <w:p w14:paraId="3BD1D3D5" w14:textId="7BB85A15" w:rsidR="00D4366F" w:rsidRDefault="00D4366F" w:rsidP="006749F6">
      <w:pPr>
        <w:pStyle w:val="Neading3"/>
      </w:pPr>
    </w:p>
    <w:p w14:paraId="6A64D14F" w14:textId="084ADDE0" w:rsidR="00D4366F" w:rsidRPr="00205460" w:rsidRDefault="00D4366F" w:rsidP="006749F6">
      <w:pPr>
        <w:pStyle w:val="Neading3"/>
        <w:rPr>
          <w:color w:val="FF0000"/>
        </w:rPr>
      </w:pPr>
      <w:r>
        <w:t>3.</w:t>
      </w:r>
      <w:r w:rsidR="00A4090B">
        <w:t>6</w:t>
      </w:r>
      <w:r>
        <w:tab/>
      </w:r>
      <w:r w:rsidR="0055698E" w:rsidRPr="0055698E">
        <w:t xml:space="preserve">Install stud wall </w:t>
      </w:r>
      <w:r w:rsidR="00A4090B">
        <w:t xml:space="preserve">(5m in length) </w:t>
      </w:r>
      <w:r w:rsidR="0055698E" w:rsidRPr="0055698E">
        <w:t xml:space="preserve">and </w:t>
      </w:r>
      <w:r w:rsidR="00A4090B">
        <w:t xml:space="preserve">FD30 </w:t>
      </w:r>
      <w:r w:rsidR="0055698E" w:rsidRPr="0055698E">
        <w:t>door to create a corridor from the main room to the ground floor toilets.</w:t>
      </w:r>
      <w:r w:rsidR="00205460">
        <w:t xml:space="preserve"> </w:t>
      </w:r>
    </w:p>
    <w:p w14:paraId="3E855248" w14:textId="1BB27617" w:rsidR="0055698E" w:rsidRDefault="0055698E" w:rsidP="006749F6">
      <w:pPr>
        <w:pStyle w:val="Neading3"/>
      </w:pPr>
    </w:p>
    <w:p w14:paraId="640B68A9" w14:textId="6A74C818" w:rsidR="0055698E" w:rsidRDefault="0055698E" w:rsidP="006749F6">
      <w:pPr>
        <w:pStyle w:val="Neading3"/>
      </w:pPr>
      <w:r>
        <w:t>3.</w:t>
      </w:r>
      <w:r w:rsidR="00A4090B">
        <w:t>7</w:t>
      </w:r>
      <w:r>
        <w:tab/>
        <w:t>Dividing wall between main room and inner prep room – Replace the missing glass</w:t>
      </w:r>
      <w:r w:rsidR="00A4090B">
        <w:t xml:space="preserve"> (4m</w:t>
      </w:r>
      <w:r w:rsidR="00A4090B" w:rsidRPr="00A4090B">
        <w:rPr>
          <w:vertAlign w:val="superscript"/>
        </w:rPr>
        <w:t>2</w:t>
      </w:r>
      <w:r w:rsidR="00A4090B">
        <w:t>)</w:t>
      </w:r>
      <w:r>
        <w:t xml:space="preserve"> and apply safety film cover </w:t>
      </w:r>
      <w:r w:rsidR="00A4090B">
        <w:t>this and all the remaining glass panels (6 in number)</w:t>
      </w:r>
      <w:r>
        <w:t>.</w:t>
      </w:r>
    </w:p>
    <w:p w14:paraId="24BAF995" w14:textId="77777777" w:rsidR="0055698E" w:rsidRDefault="0055698E" w:rsidP="006749F6">
      <w:pPr>
        <w:pStyle w:val="Neading3"/>
      </w:pPr>
    </w:p>
    <w:p w14:paraId="340588F8" w14:textId="238046E3" w:rsidR="0055698E" w:rsidRDefault="0055698E" w:rsidP="006749F6">
      <w:pPr>
        <w:pStyle w:val="Neading3"/>
      </w:pPr>
      <w:r>
        <w:t>3.</w:t>
      </w:r>
      <w:r w:rsidR="00A4090B">
        <w:t>8</w:t>
      </w:r>
      <w:r>
        <w:tab/>
        <w:t>Replace all</w:t>
      </w:r>
      <w:r w:rsidR="00A4090B">
        <w:t xml:space="preserve"> </w:t>
      </w:r>
      <w:r>
        <w:t>12 internal doors</w:t>
      </w:r>
      <w:r w:rsidR="00A4090B">
        <w:t xml:space="preserve"> with FD30 compliant doors</w:t>
      </w:r>
      <w:r>
        <w:t xml:space="preserve">. The ground floor rear </w:t>
      </w:r>
      <w:r w:rsidR="00A4090B">
        <w:t xml:space="preserve">and first floor exit </w:t>
      </w:r>
      <w:r>
        <w:t>fire door</w:t>
      </w:r>
      <w:r w:rsidR="00A4090B">
        <w:t>s</w:t>
      </w:r>
      <w:r>
        <w:t xml:space="preserve"> </w:t>
      </w:r>
      <w:r w:rsidR="00A4090B">
        <w:t>are</w:t>
      </w:r>
      <w:r>
        <w:t xml:space="preserve"> to be re-hung to open out.</w:t>
      </w:r>
    </w:p>
    <w:p w14:paraId="536462A4" w14:textId="77777777" w:rsidR="0055698E" w:rsidRDefault="0055698E" w:rsidP="006749F6">
      <w:pPr>
        <w:pStyle w:val="Neading3"/>
      </w:pPr>
    </w:p>
    <w:p w14:paraId="3FC7B6EB" w14:textId="55C52CEF" w:rsidR="00603CC6" w:rsidRPr="00351BF6" w:rsidRDefault="0055698E" w:rsidP="006749F6">
      <w:pPr>
        <w:pStyle w:val="Neading3"/>
      </w:pPr>
      <w:r>
        <w:t>3.</w:t>
      </w:r>
      <w:r w:rsidR="00A4090B">
        <w:t>9</w:t>
      </w:r>
      <w:r>
        <w:tab/>
        <w:t>Full decoration of inside and outside of the building – Paint</w:t>
      </w:r>
      <w:r w:rsidR="00520EFC">
        <w:t xml:space="preserve">: </w:t>
      </w:r>
      <w:r w:rsidR="00603CC6">
        <w:t>(external</w:t>
      </w:r>
      <w:r w:rsidR="00520EFC">
        <w:t xml:space="preserve"> – white </w:t>
      </w:r>
      <w:r w:rsidR="00A4090B">
        <w:t>w</w:t>
      </w:r>
      <w:r w:rsidR="00351BF6">
        <w:t>e</w:t>
      </w:r>
      <w:r w:rsidR="00A4090B">
        <w:t>ather</w:t>
      </w:r>
      <w:r w:rsidR="00351BF6">
        <w:t>-</w:t>
      </w:r>
      <w:r w:rsidR="00A4090B">
        <w:t>shield external</w:t>
      </w:r>
      <w:r w:rsidR="00520EFC">
        <w:t xml:space="preserve"> paint</w:t>
      </w:r>
      <w:r w:rsidR="00603CC6">
        <w:t xml:space="preserve"> / </w:t>
      </w:r>
      <w:r w:rsidR="00C02883">
        <w:t>internal</w:t>
      </w:r>
      <w:r w:rsidR="00520EFC">
        <w:t xml:space="preserve"> – magnolia </w:t>
      </w:r>
      <w:r w:rsidR="00351BF6" w:rsidRPr="00351BF6">
        <w:t>(</w:t>
      </w:r>
      <w:r w:rsidR="00520EFC" w:rsidRPr="00351BF6">
        <w:t>finish to be agreed with client</w:t>
      </w:r>
      <w:r w:rsidR="00C02883" w:rsidRPr="00351BF6">
        <w:t>)</w:t>
      </w:r>
    </w:p>
    <w:p w14:paraId="3B927416" w14:textId="77777777" w:rsidR="0055698E" w:rsidRDefault="0055698E" w:rsidP="006749F6">
      <w:pPr>
        <w:pStyle w:val="Neading3"/>
      </w:pPr>
    </w:p>
    <w:p w14:paraId="1B704FAF" w14:textId="62188D3F" w:rsidR="001D19DF" w:rsidRDefault="0055698E" w:rsidP="005F61FE">
      <w:pPr>
        <w:pStyle w:val="Neading3"/>
        <w:rPr>
          <w:rFonts w:cs="Arial"/>
        </w:rPr>
      </w:pPr>
      <w:r>
        <w:t>3.</w:t>
      </w:r>
      <w:r w:rsidR="005F61FE">
        <w:t>1</w:t>
      </w:r>
      <w:r w:rsidR="00A4090B">
        <w:t>0</w:t>
      </w:r>
      <w:r>
        <w:tab/>
      </w:r>
      <w:r w:rsidR="001D19DF">
        <w:rPr>
          <w:rFonts w:cs="Arial"/>
        </w:rPr>
        <w:tab/>
      </w:r>
      <w:r w:rsidR="00875792">
        <w:rPr>
          <w:rFonts w:cs="Arial"/>
        </w:rPr>
        <w:t>R</w:t>
      </w:r>
      <w:r w:rsidR="001D19DF">
        <w:rPr>
          <w:rFonts w:cs="Arial"/>
        </w:rPr>
        <w:t>emov</w:t>
      </w:r>
      <w:r w:rsidR="00875792">
        <w:rPr>
          <w:rFonts w:cs="Arial"/>
        </w:rPr>
        <w:t>al of rubbish.</w:t>
      </w:r>
    </w:p>
    <w:p w14:paraId="43D61FE1" w14:textId="77777777" w:rsidR="0055698E" w:rsidRDefault="0055698E" w:rsidP="001D19DF">
      <w:pPr>
        <w:widowControl/>
        <w:autoSpaceDE/>
        <w:autoSpaceDN/>
        <w:adjustRightInd/>
        <w:spacing w:after="200"/>
        <w:ind w:left="720" w:hanging="720"/>
        <w:rPr>
          <w:rFonts w:ascii="Verdana" w:eastAsia="Calibri" w:hAnsi="Verdana" w:cs="Arial"/>
          <w:sz w:val="22"/>
          <w:szCs w:val="22"/>
          <w:lang w:eastAsia="en-US"/>
        </w:rPr>
      </w:pPr>
    </w:p>
    <w:bookmarkEnd w:id="0"/>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9C8F24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75792" w:rsidRPr="00875792">
        <w:rPr>
          <w:rFonts w:ascii="Verdana" w:hAnsi="Verdana"/>
          <w:color w:val="auto"/>
          <w:sz w:val="22"/>
          <w:szCs w:val="22"/>
        </w:rPr>
        <w:t>6</w:t>
      </w:r>
      <w:r w:rsidR="00351BF6">
        <w:rPr>
          <w:rFonts w:ascii="Verdana" w:hAnsi="Verdana"/>
          <w:color w:val="auto"/>
          <w:sz w:val="22"/>
          <w:szCs w:val="22"/>
        </w:rPr>
        <w:t>2</w:t>
      </w:r>
      <w:r w:rsidR="00EE2784" w:rsidRPr="00875792">
        <w:rPr>
          <w:rFonts w:ascii="Verdana" w:hAnsi="Verdana"/>
          <w:color w:val="auto"/>
          <w:sz w:val="22"/>
          <w:szCs w:val="22"/>
        </w:rPr>
        <w:t>,000</w:t>
      </w:r>
      <w:r w:rsidR="00381600" w:rsidRPr="00EE2784">
        <w:rPr>
          <w:rFonts w:ascii="Verdana" w:hAnsi="Verdana"/>
          <w:color w:val="auto"/>
          <w:sz w:val="22"/>
          <w:szCs w:val="22"/>
        </w:rPr>
        <w:t xml:space="preserve"> </w:t>
      </w:r>
      <w:r w:rsidR="00381600" w:rsidRPr="00043839">
        <w:rPr>
          <w:rFonts w:ascii="Verdana" w:hAnsi="Verdana"/>
          <w:color w:val="auto"/>
          <w:sz w:val="22"/>
          <w:szCs w:val="22"/>
        </w:rPr>
        <w:t>(</w:t>
      </w:r>
      <w:r w:rsidR="001D19DF">
        <w:rPr>
          <w:rFonts w:ascii="Verdana" w:hAnsi="Verdana"/>
          <w:color w:val="auto"/>
          <w:sz w:val="22"/>
          <w:szCs w:val="22"/>
        </w:rPr>
        <w:t xml:space="preserve">Excluding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9689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CAD0123" w:rsidR="00BB1F13" w:rsidRPr="00043839" w:rsidRDefault="00BB1F13" w:rsidP="006268C8">
      <w:pPr>
        <w:pStyle w:val="Default"/>
        <w:spacing w:before="60" w:after="60"/>
        <w:rPr>
          <w:rFonts w:ascii="Verdana" w:hAnsi="Verdana"/>
          <w:color w:val="auto"/>
          <w:sz w:val="22"/>
          <w:szCs w:val="22"/>
        </w:rPr>
      </w:pPr>
      <w:r w:rsidRPr="00D074AD">
        <w:rPr>
          <w:rFonts w:ascii="Verdana" w:hAnsi="Verdana"/>
          <w:color w:val="auto"/>
          <w:sz w:val="22"/>
          <w:szCs w:val="22"/>
        </w:rPr>
        <w:t xml:space="preserve">The timescale of the </w:t>
      </w:r>
      <w:r w:rsidR="00F14C5E" w:rsidRPr="00D074AD">
        <w:rPr>
          <w:rFonts w:ascii="Verdana" w:hAnsi="Verdana"/>
          <w:color w:val="auto"/>
          <w:sz w:val="22"/>
          <w:szCs w:val="22"/>
        </w:rPr>
        <w:t>programme</w:t>
      </w:r>
      <w:r w:rsidR="00F138F1" w:rsidRPr="00D074AD">
        <w:rPr>
          <w:rFonts w:ascii="Verdana" w:hAnsi="Verdana"/>
          <w:color w:val="auto"/>
          <w:sz w:val="22"/>
          <w:szCs w:val="22"/>
        </w:rPr>
        <w:t xml:space="preserve"> </w:t>
      </w:r>
      <w:r w:rsidRPr="00D074AD">
        <w:rPr>
          <w:rFonts w:ascii="Verdana" w:hAnsi="Verdana"/>
          <w:color w:val="auto"/>
          <w:sz w:val="22"/>
          <w:szCs w:val="22"/>
        </w:rPr>
        <w:t xml:space="preserve">is from the date of signing the contract until </w:t>
      </w:r>
      <w:r w:rsidR="00043839" w:rsidRPr="00D074AD">
        <w:rPr>
          <w:rFonts w:ascii="Verdana" w:hAnsi="Verdana"/>
          <w:color w:val="auto"/>
          <w:sz w:val="22"/>
          <w:szCs w:val="22"/>
        </w:rPr>
        <w:t xml:space="preserve">the </w:t>
      </w:r>
      <w:r w:rsidR="00A45490">
        <w:rPr>
          <w:rFonts w:ascii="Verdana" w:hAnsi="Verdana"/>
          <w:color w:val="auto"/>
          <w:sz w:val="22"/>
          <w:szCs w:val="22"/>
        </w:rPr>
        <w:t>31 March 2024</w:t>
      </w:r>
      <w:r w:rsidRPr="00D074AD">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00C02883" w:rsidRPr="00043839">
        <w:rPr>
          <w:rFonts w:ascii="Verdana" w:hAnsi="Verdana"/>
          <w:color w:val="auto"/>
          <w:sz w:val="22"/>
          <w:szCs w:val="22"/>
        </w:rPr>
        <w:t>is</w:t>
      </w:r>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trPr>
          <w:trHeight w:hRule="exact" w:val="5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5DAFB1C" w:rsidR="004A562D" w:rsidRPr="00EE2784" w:rsidRDefault="00875792" w:rsidP="004A562D">
            <w:pPr>
              <w:pStyle w:val="TableParagraph"/>
              <w:kinsoku w:val="0"/>
              <w:overflowPunct w:val="0"/>
              <w:rPr>
                <w:rFonts w:ascii="Verdana" w:hAnsi="Verdana"/>
                <w:sz w:val="22"/>
                <w:szCs w:val="22"/>
              </w:rPr>
            </w:pPr>
            <w:r>
              <w:rPr>
                <w:rFonts w:ascii="Verdana" w:hAnsi="Verdana"/>
                <w:sz w:val="22"/>
                <w:szCs w:val="22"/>
              </w:rPr>
              <w:t>12/10/2023</w:t>
            </w:r>
          </w:p>
        </w:tc>
      </w:tr>
      <w:tr w:rsidR="004A562D" w:rsidRPr="00043839" w14:paraId="6C13F099" w14:textId="77777777" w:rsidTr="00EE2784">
        <w:trPr>
          <w:trHeight w:hRule="exact" w:val="861"/>
        </w:trPr>
        <w:tc>
          <w:tcPr>
            <w:tcW w:w="5811" w:type="dxa"/>
            <w:shd w:val="clear" w:color="auto" w:fill="auto"/>
          </w:tcPr>
          <w:p w14:paraId="5482D8F3" w14:textId="4C53ED7A" w:rsidR="004A562D" w:rsidRPr="00231011" w:rsidRDefault="00297812" w:rsidP="004A562D">
            <w:pPr>
              <w:pStyle w:val="TableParagraph"/>
              <w:kinsoku w:val="0"/>
              <w:overflowPunct w:val="0"/>
              <w:ind w:left="102"/>
              <w:rPr>
                <w:rFonts w:ascii="Verdana" w:hAnsi="Verdana" w:cs="Verdana"/>
                <w:spacing w:val="-1"/>
                <w:sz w:val="22"/>
                <w:szCs w:val="22"/>
              </w:rPr>
            </w:pPr>
            <w:r w:rsidRPr="00297812">
              <w:rPr>
                <w:rFonts w:ascii="Verdana" w:hAnsi="Verdana" w:cs="Verdana"/>
                <w:spacing w:val="-1"/>
                <w:sz w:val="22"/>
                <w:szCs w:val="22"/>
              </w:rPr>
              <w:lastRenderedPageBreak/>
              <w:t xml:space="preserve">Site Visit by appointment.  Appointments are be made with </w:t>
            </w:r>
            <w:r w:rsidR="00875792">
              <w:rPr>
                <w:rFonts w:ascii="Verdana" w:hAnsi="Verdana" w:cs="Verdana"/>
                <w:spacing w:val="-1"/>
                <w:sz w:val="22"/>
                <w:szCs w:val="22"/>
              </w:rPr>
              <w:t>Becca Shearing</w:t>
            </w:r>
            <w:r w:rsidRPr="00297812">
              <w:rPr>
                <w:rFonts w:ascii="Verdana" w:hAnsi="Verdana" w:cs="Verdana"/>
                <w:spacing w:val="-1"/>
                <w:sz w:val="22"/>
                <w:szCs w:val="22"/>
              </w:rPr>
              <w:t xml:space="preserve"> via email</w:t>
            </w:r>
            <w:r w:rsidR="00520EFC">
              <w:rPr>
                <w:rFonts w:ascii="Verdana" w:hAnsi="Verdana" w:cs="Verdana"/>
                <w:spacing w:val="-1"/>
                <w:sz w:val="22"/>
                <w:szCs w:val="22"/>
              </w:rPr>
              <w:t>:</w:t>
            </w:r>
            <w:r w:rsidR="004D3ECC">
              <w:t xml:space="preserve"> </w:t>
            </w:r>
            <w:r w:rsidR="00875792" w:rsidRPr="00875792">
              <w:rPr>
                <w:rFonts w:ascii="Verdana" w:hAnsi="Verdana" w:cs="Verdana"/>
                <w:spacing w:val="-1"/>
                <w:sz w:val="22"/>
                <w:szCs w:val="22"/>
              </w:rPr>
              <w:t>becca@oldbank.org.uk</w:t>
            </w:r>
          </w:p>
        </w:tc>
        <w:tc>
          <w:tcPr>
            <w:tcW w:w="2694" w:type="dxa"/>
            <w:shd w:val="clear" w:color="auto" w:fill="auto"/>
          </w:tcPr>
          <w:p w14:paraId="3AC9D598" w14:textId="263C5DEA" w:rsidR="004A562D" w:rsidRPr="00EE2784" w:rsidRDefault="00875792" w:rsidP="004A562D">
            <w:pPr>
              <w:pStyle w:val="TableParagraph"/>
              <w:kinsoku w:val="0"/>
              <w:overflowPunct w:val="0"/>
              <w:rPr>
                <w:rFonts w:ascii="Verdana" w:hAnsi="Verdana"/>
                <w:sz w:val="22"/>
                <w:szCs w:val="22"/>
              </w:rPr>
            </w:pPr>
            <w:r>
              <w:rPr>
                <w:rFonts w:ascii="Verdana" w:hAnsi="Verdana"/>
                <w:sz w:val="22"/>
                <w:szCs w:val="22"/>
              </w:rPr>
              <w:t>20/10/2023</w:t>
            </w:r>
          </w:p>
        </w:tc>
      </w:tr>
      <w:tr w:rsidR="00EE2784" w:rsidRPr="00043839" w14:paraId="7A17DE84" w14:textId="77777777">
        <w:trPr>
          <w:trHeight w:hRule="exact" w:val="421"/>
        </w:trPr>
        <w:tc>
          <w:tcPr>
            <w:tcW w:w="5811" w:type="dxa"/>
            <w:shd w:val="clear" w:color="auto" w:fill="auto"/>
          </w:tcPr>
          <w:p w14:paraId="54020941" w14:textId="1C14F79D"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Last date for raising queries</w:t>
            </w:r>
          </w:p>
        </w:tc>
        <w:tc>
          <w:tcPr>
            <w:tcW w:w="2694" w:type="dxa"/>
            <w:shd w:val="clear" w:color="auto" w:fill="auto"/>
          </w:tcPr>
          <w:p w14:paraId="6D29DD33" w14:textId="2E955928" w:rsidR="00EE2784" w:rsidRPr="00EE2784" w:rsidRDefault="00EE2784" w:rsidP="00EE2784">
            <w:pPr>
              <w:pStyle w:val="TableParagraph"/>
              <w:kinsoku w:val="0"/>
              <w:overflowPunct w:val="0"/>
              <w:rPr>
                <w:rFonts w:ascii="Verdana" w:hAnsi="Verdana"/>
                <w:sz w:val="22"/>
                <w:szCs w:val="22"/>
              </w:rPr>
            </w:pPr>
            <w:r w:rsidRPr="00EE2784">
              <w:rPr>
                <w:rFonts w:ascii="Verdana" w:hAnsi="Verdana"/>
                <w:sz w:val="22"/>
                <w:szCs w:val="22"/>
              </w:rPr>
              <w:t>1700</w:t>
            </w:r>
            <w:r w:rsidR="00875792">
              <w:rPr>
                <w:rFonts w:ascii="Verdana" w:hAnsi="Verdana"/>
                <w:sz w:val="22"/>
                <w:szCs w:val="22"/>
              </w:rPr>
              <w:t>:</w:t>
            </w:r>
            <w:r w:rsidRPr="00EE2784">
              <w:rPr>
                <w:rFonts w:ascii="Verdana" w:hAnsi="Verdana"/>
                <w:sz w:val="22"/>
                <w:szCs w:val="22"/>
              </w:rPr>
              <w:t xml:space="preserve"> </w:t>
            </w:r>
            <w:r w:rsidR="00875792">
              <w:rPr>
                <w:rFonts w:ascii="Verdana" w:hAnsi="Verdana"/>
                <w:sz w:val="22"/>
                <w:szCs w:val="22"/>
              </w:rPr>
              <w:t>25/10/2023</w:t>
            </w:r>
          </w:p>
        </w:tc>
      </w:tr>
      <w:tr w:rsidR="00EE2784" w:rsidRPr="00043839" w14:paraId="01FF3EF8" w14:textId="77777777">
        <w:trPr>
          <w:trHeight w:hRule="exact" w:val="578"/>
        </w:trPr>
        <w:tc>
          <w:tcPr>
            <w:tcW w:w="5811" w:type="dxa"/>
            <w:shd w:val="clear" w:color="auto" w:fill="auto"/>
          </w:tcPr>
          <w:p w14:paraId="00C06ADD" w14:textId="0EA5357A" w:rsidR="00EE2784" w:rsidRPr="00231011" w:rsidRDefault="00EE2784" w:rsidP="00EE2784">
            <w:pPr>
              <w:pStyle w:val="TableParagraph"/>
              <w:kinsoku w:val="0"/>
              <w:overflowPunct w:val="0"/>
              <w:ind w:left="102"/>
              <w:rPr>
                <w:rFonts w:ascii="Verdana" w:hAnsi="Verdana"/>
                <w:b/>
                <w:sz w:val="22"/>
                <w:szCs w:val="22"/>
              </w:rPr>
            </w:pPr>
            <w:r w:rsidRPr="00231011">
              <w:rPr>
                <w:rFonts w:ascii="Verdana" w:hAnsi="Verdana"/>
                <w:sz w:val="22"/>
                <w:szCs w:val="22"/>
              </w:rPr>
              <w:t>Last date for clarifications to queries</w:t>
            </w:r>
          </w:p>
        </w:tc>
        <w:tc>
          <w:tcPr>
            <w:tcW w:w="2694" w:type="dxa"/>
            <w:shd w:val="clear" w:color="auto" w:fill="auto"/>
          </w:tcPr>
          <w:p w14:paraId="70D04BF7" w14:textId="77136886" w:rsidR="00EE2784" w:rsidRPr="00EE2784" w:rsidRDefault="00875792" w:rsidP="00EE2784">
            <w:pPr>
              <w:pStyle w:val="TableParagraph"/>
              <w:kinsoku w:val="0"/>
              <w:overflowPunct w:val="0"/>
              <w:rPr>
                <w:rFonts w:ascii="Verdana" w:hAnsi="Verdana"/>
                <w:b/>
                <w:sz w:val="22"/>
                <w:szCs w:val="22"/>
              </w:rPr>
            </w:pPr>
            <w:r>
              <w:rPr>
                <w:rFonts w:ascii="Verdana" w:hAnsi="Verdana"/>
                <w:sz w:val="22"/>
                <w:szCs w:val="22"/>
              </w:rPr>
              <w:t>27/10/2023</w:t>
            </w:r>
          </w:p>
        </w:tc>
      </w:tr>
      <w:tr w:rsidR="00EE2784" w:rsidRPr="00043839" w14:paraId="530071B0" w14:textId="77777777" w:rsidTr="00297812">
        <w:trPr>
          <w:trHeight w:hRule="exact" w:val="418"/>
        </w:trPr>
        <w:tc>
          <w:tcPr>
            <w:tcW w:w="5811" w:type="dxa"/>
            <w:shd w:val="clear" w:color="auto" w:fill="auto"/>
          </w:tcPr>
          <w:p w14:paraId="381F4EE4" w14:textId="1415924C"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Deadline to return ITT</w:t>
            </w:r>
          </w:p>
        </w:tc>
        <w:tc>
          <w:tcPr>
            <w:tcW w:w="2694" w:type="dxa"/>
            <w:shd w:val="clear" w:color="auto" w:fill="auto"/>
          </w:tcPr>
          <w:p w14:paraId="24224D69" w14:textId="4E86F4C1" w:rsidR="00EE2784" w:rsidRPr="00EE2784" w:rsidRDefault="00EE2784" w:rsidP="00EE2784">
            <w:pPr>
              <w:pStyle w:val="TableParagraph"/>
              <w:kinsoku w:val="0"/>
              <w:overflowPunct w:val="0"/>
              <w:rPr>
                <w:rFonts w:ascii="Verdana" w:hAnsi="Verdana"/>
                <w:sz w:val="22"/>
                <w:szCs w:val="22"/>
              </w:rPr>
            </w:pPr>
            <w:r w:rsidRPr="00EE2784">
              <w:rPr>
                <w:rFonts w:ascii="Verdana" w:hAnsi="Verdana"/>
                <w:sz w:val="22"/>
                <w:szCs w:val="22"/>
              </w:rPr>
              <w:t>1700:</w:t>
            </w:r>
            <w:r w:rsidR="00875792">
              <w:rPr>
                <w:rFonts w:ascii="Verdana" w:hAnsi="Verdana"/>
                <w:sz w:val="22"/>
                <w:szCs w:val="22"/>
              </w:rPr>
              <w:t xml:space="preserve"> 10/11/2023</w:t>
            </w:r>
          </w:p>
        </w:tc>
      </w:tr>
      <w:tr w:rsidR="00EE2784" w:rsidRPr="00043839" w14:paraId="050A673F" w14:textId="77777777" w:rsidTr="00297812">
        <w:trPr>
          <w:trHeight w:hRule="exact" w:val="567"/>
        </w:trPr>
        <w:tc>
          <w:tcPr>
            <w:tcW w:w="5811" w:type="dxa"/>
            <w:shd w:val="clear" w:color="auto" w:fill="auto"/>
          </w:tcPr>
          <w:p w14:paraId="53163DC9" w14:textId="28D3F98F"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174D217D" w14:textId="76B12D13" w:rsidR="00EE2784" w:rsidRPr="00EE2784" w:rsidRDefault="00875792" w:rsidP="00EE2784">
            <w:pPr>
              <w:pStyle w:val="TableParagraph"/>
              <w:kinsoku w:val="0"/>
              <w:overflowPunct w:val="0"/>
              <w:rPr>
                <w:rFonts w:ascii="Verdana" w:hAnsi="Verdana"/>
                <w:sz w:val="22"/>
                <w:szCs w:val="22"/>
              </w:rPr>
            </w:pPr>
            <w:r>
              <w:rPr>
                <w:rFonts w:ascii="Verdana" w:hAnsi="Verdana"/>
                <w:sz w:val="22"/>
                <w:szCs w:val="22"/>
              </w:rPr>
              <w:t>13/11/2023</w:t>
            </w:r>
          </w:p>
        </w:tc>
      </w:tr>
      <w:tr w:rsidR="00EE2784" w:rsidRPr="00043839" w14:paraId="57484289" w14:textId="77777777" w:rsidTr="00297812">
        <w:trPr>
          <w:trHeight w:hRule="exact" w:val="1978"/>
        </w:trPr>
        <w:tc>
          <w:tcPr>
            <w:tcW w:w="5811" w:type="dxa"/>
            <w:shd w:val="clear" w:color="auto" w:fill="auto"/>
          </w:tcPr>
          <w:p w14:paraId="7B277D27" w14:textId="5E7B44F0" w:rsidR="00EE2784" w:rsidRPr="00043839"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34F933E2" w14:textId="7D512B45" w:rsidR="00EE2784" w:rsidRPr="00043839" w:rsidRDefault="00875792" w:rsidP="00EE2784">
            <w:pPr>
              <w:pStyle w:val="TableParagraph"/>
              <w:kinsoku w:val="0"/>
              <w:overflowPunct w:val="0"/>
              <w:rPr>
                <w:rFonts w:ascii="Verdana" w:hAnsi="Verdana"/>
                <w:sz w:val="22"/>
                <w:szCs w:val="22"/>
              </w:rPr>
            </w:pPr>
            <w:r>
              <w:rPr>
                <w:rFonts w:ascii="Verdana" w:hAnsi="Verdana"/>
                <w:sz w:val="22"/>
                <w:szCs w:val="22"/>
              </w:rPr>
              <w:t xml:space="preserve">16/11/2023. </w:t>
            </w:r>
            <w:r w:rsidR="00297812">
              <w:rPr>
                <w:rFonts w:ascii="Verdana" w:hAnsi="Verdana"/>
                <w:sz w:val="22"/>
                <w:szCs w:val="22"/>
              </w:rPr>
              <w:t xml:space="preserve"> </w:t>
            </w:r>
            <w:r w:rsidR="00EE2784" w:rsidRPr="00231011">
              <w:rPr>
                <w:rFonts w:ascii="Verdana" w:hAnsi="Verdana"/>
                <w:sz w:val="22"/>
                <w:szCs w:val="22"/>
              </w:rPr>
              <w:t>This is subject to successfully obtaining grant funding and will normally be no later than 90 days from contract evaluation</w:t>
            </w:r>
          </w:p>
        </w:tc>
      </w:tr>
      <w:tr w:rsidR="00D074AD" w:rsidRPr="00043839" w14:paraId="1DD30729" w14:textId="77777777" w:rsidTr="00EB28C2">
        <w:trPr>
          <w:trHeight w:hRule="exact" w:val="577"/>
        </w:trPr>
        <w:tc>
          <w:tcPr>
            <w:tcW w:w="5811" w:type="dxa"/>
          </w:tcPr>
          <w:p w14:paraId="129820B3" w14:textId="4D524895" w:rsidR="00D074AD"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start date</w:t>
            </w:r>
          </w:p>
        </w:tc>
        <w:tc>
          <w:tcPr>
            <w:tcW w:w="2694" w:type="dxa"/>
          </w:tcPr>
          <w:p w14:paraId="712B1BB6" w14:textId="5571DB0E" w:rsidR="00D074AD" w:rsidRDefault="00A45490" w:rsidP="00EE2784">
            <w:pPr>
              <w:pStyle w:val="TableParagraph"/>
              <w:kinsoku w:val="0"/>
              <w:overflowPunct w:val="0"/>
              <w:rPr>
                <w:rFonts w:ascii="Verdana" w:hAnsi="Verdana"/>
                <w:sz w:val="22"/>
                <w:szCs w:val="22"/>
              </w:rPr>
            </w:pPr>
            <w:r>
              <w:rPr>
                <w:rFonts w:ascii="Verdana" w:hAnsi="Verdana"/>
                <w:sz w:val="22"/>
                <w:szCs w:val="22"/>
              </w:rPr>
              <w:t>02/01/2024</w:t>
            </w:r>
          </w:p>
        </w:tc>
      </w:tr>
      <w:tr w:rsidR="00D074AD" w:rsidRPr="00043839" w14:paraId="26E9DBD4" w14:textId="77777777" w:rsidTr="00EB28C2">
        <w:trPr>
          <w:trHeight w:hRule="exact" w:val="577"/>
        </w:trPr>
        <w:tc>
          <w:tcPr>
            <w:tcW w:w="5811" w:type="dxa"/>
          </w:tcPr>
          <w:p w14:paraId="6D959307" w14:textId="588C1FE7" w:rsidR="00D074AD"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end date</w:t>
            </w:r>
          </w:p>
        </w:tc>
        <w:tc>
          <w:tcPr>
            <w:tcW w:w="2694" w:type="dxa"/>
          </w:tcPr>
          <w:p w14:paraId="1E365F11" w14:textId="67545EE8" w:rsidR="00D074AD" w:rsidRDefault="00A45490" w:rsidP="00EE2784">
            <w:pPr>
              <w:pStyle w:val="TableParagraph"/>
              <w:kinsoku w:val="0"/>
              <w:overflowPunct w:val="0"/>
              <w:rPr>
                <w:rFonts w:ascii="Verdana" w:hAnsi="Verdana"/>
                <w:sz w:val="22"/>
                <w:szCs w:val="22"/>
              </w:rPr>
            </w:pPr>
            <w:r>
              <w:rPr>
                <w:rFonts w:ascii="Verdana" w:hAnsi="Verdana"/>
                <w:sz w:val="22"/>
                <w:szCs w:val="22"/>
              </w:rPr>
              <w:t>29/0</w:t>
            </w:r>
            <w:r w:rsidR="00351BF6">
              <w:rPr>
                <w:rFonts w:ascii="Verdana" w:hAnsi="Verdana"/>
                <w:sz w:val="22"/>
                <w:szCs w:val="22"/>
              </w:rPr>
              <w:t>3</w:t>
            </w:r>
            <w:r>
              <w:rPr>
                <w:rFonts w:ascii="Verdana" w:hAnsi="Verdana"/>
                <w:sz w:val="22"/>
                <w:szCs w:val="22"/>
              </w:rPr>
              <w:t>/2024</w:t>
            </w:r>
          </w:p>
        </w:tc>
      </w:tr>
      <w:tr w:rsidR="00EE2784" w:rsidRPr="00043839" w14:paraId="46B4C80A" w14:textId="77777777" w:rsidTr="00EB28C2">
        <w:trPr>
          <w:trHeight w:hRule="exact" w:val="577"/>
        </w:trPr>
        <w:tc>
          <w:tcPr>
            <w:tcW w:w="5811" w:type="dxa"/>
          </w:tcPr>
          <w:p w14:paraId="0A2D6F05" w14:textId="1F9B5C35" w:rsidR="00EE2784" w:rsidRPr="00043839"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Acceptance by client no later than</w:t>
            </w:r>
          </w:p>
        </w:tc>
        <w:tc>
          <w:tcPr>
            <w:tcW w:w="2694" w:type="dxa"/>
          </w:tcPr>
          <w:p w14:paraId="0C08BFDA" w14:textId="28831AF0" w:rsidR="00EE2784" w:rsidRPr="00043839" w:rsidRDefault="00A45490" w:rsidP="00EE2784">
            <w:pPr>
              <w:pStyle w:val="TableParagraph"/>
              <w:kinsoku w:val="0"/>
              <w:overflowPunct w:val="0"/>
              <w:rPr>
                <w:rFonts w:ascii="Verdana" w:hAnsi="Verdana"/>
                <w:sz w:val="22"/>
                <w:szCs w:val="22"/>
              </w:rPr>
            </w:pPr>
            <w:r>
              <w:rPr>
                <w:rFonts w:ascii="Verdana" w:hAnsi="Verdana"/>
                <w:sz w:val="22"/>
                <w:szCs w:val="22"/>
              </w:rPr>
              <w:t>0</w:t>
            </w:r>
            <w:r w:rsidR="00351BF6">
              <w:rPr>
                <w:rFonts w:ascii="Verdana" w:hAnsi="Verdana"/>
                <w:sz w:val="22"/>
                <w:szCs w:val="22"/>
              </w:rPr>
              <w:t>5</w:t>
            </w:r>
            <w:r>
              <w:rPr>
                <w:rFonts w:ascii="Verdana" w:hAnsi="Verdana"/>
                <w:sz w:val="22"/>
                <w:szCs w:val="22"/>
              </w:rPr>
              <w:t>/0</w:t>
            </w:r>
            <w:r w:rsidR="00351BF6">
              <w:rPr>
                <w:rFonts w:ascii="Verdana" w:hAnsi="Verdana"/>
                <w:sz w:val="22"/>
                <w:szCs w:val="22"/>
              </w:rPr>
              <w:t>4</w:t>
            </w:r>
            <w:r>
              <w:rPr>
                <w:rFonts w:ascii="Verdana" w:hAnsi="Verdana"/>
                <w:sz w:val="22"/>
                <w:szCs w:val="22"/>
              </w:rPr>
              <w:t>/2024</w:t>
            </w:r>
          </w:p>
        </w:tc>
      </w:tr>
    </w:tbl>
    <w:p w14:paraId="028E9661" w14:textId="77777777" w:rsidR="00621937" w:rsidRDefault="00621937" w:rsidP="00E9689E">
      <w:pPr>
        <w:pStyle w:val="Heading1"/>
      </w:pPr>
    </w:p>
    <w:p w14:paraId="1E3F6944" w14:textId="77777777" w:rsidR="00E53C64" w:rsidRDefault="00E53C64" w:rsidP="00E9689E">
      <w:pPr>
        <w:pStyle w:val="Heading1"/>
      </w:pPr>
    </w:p>
    <w:p w14:paraId="48D4BC89" w14:textId="7610CF0A" w:rsidR="00F241D3" w:rsidRPr="00043839" w:rsidRDefault="00C21622" w:rsidP="00E9689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F203E2B" w:rsidR="00F131E4" w:rsidRPr="00297812" w:rsidRDefault="00F131E4" w:rsidP="00710D92">
      <w:pPr>
        <w:pStyle w:val="Default"/>
        <w:numPr>
          <w:ilvl w:val="0"/>
          <w:numId w:val="1"/>
        </w:numPr>
        <w:spacing w:before="60" w:after="60"/>
        <w:ind w:left="1418" w:hanging="709"/>
        <w:rPr>
          <w:rFonts w:ascii="Verdana" w:hAnsi="Verdana"/>
          <w:color w:val="auto"/>
          <w:sz w:val="22"/>
          <w:szCs w:val="22"/>
        </w:rPr>
      </w:pPr>
      <w:r w:rsidRPr="00297812">
        <w:rPr>
          <w:rFonts w:ascii="Verdana" w:hAnsi="Verdana"/>
          <w:color w:val="auto"/>
          <w:sz w:val="22"/>
          <w:szCs w:val="22"/>
        </w:rPr>
        <w:t xml:space="preserve">A single point of contact for all contact between the tenderer and </w:t>
      </w:r>
      <w:r w:rsidR="00C02883">
        <w:rPr>
          <w:rFonts w:ascii="Verdana" w:hAnsi="Verdana"/>
          <w:color w:val="auto"/>
          <w:sz w:val="22"/>
          <w:szCs w:val="22"/>
        </w:rPr>
        <w:t>THE OLD BANK CAMELFORD</w:t>
      </w:r>
      <w:r w:rsidR="00C02883" w:rsidRPr="00297812">
        <w:rPr>
          <w:rFonts w:ascii="Verdana" w:hAnsi="Verdana" w:cs="Verdana"/>
          <w:sz w:val="22"/>
          <w:szCs w:val="22"/>
        </w:rPr>
        <w:t xml:space="preserve"> </w:t>
      </w:r>
      <w:r w:rsidR="00A45490" w:rsidRPr="00297812">
        <w:rPr>
          <w:rFonts w:ascii="Verdana" w:hAnsi="Verdana"/>
          <w:color w:val="auto"/>
          <w:sz w:val="22"/>
          <w:szCs w:val="22"/>
        </w:rPr>
        <w:t>during</w:t>
      </w:r>
      <w:r w:rsidRPr="00297812">
        <w:rPr>
          <w:rFonts w:ascii="Verdana" w:hAnsi="Verdana"/>
          <w:color w:val="auto"/>
          <w:sz w:val="22"/>
          <w:szCs w:val="22"/>
        </w:rPr>
        <w:t xml:space="preserve"> the tender selection process, and for further correspondence.</w:t>
      </w:r>
    </w:p>
    <w:p w14:paraId="2556EFF9" w14:textId="77777777" w:rsidR="00F241D3" w:rsidRPr="00297812" w:rsidRDefault="00F241D3" w:rsidP="00710D92">
      <w:pPr>
        <w:pStyle w:val="BodyText"/>
        <w:numPr>
          <w:ilvl w:val="0"/>
          <w:numId w:val="1"/>
        </w:numPr>
        <w:tabs>
          <w:tab w:val="left" w:pos="892"/>
          <w:tab w:val="left" w:pos="1418"/>
        </w:tabs>
        <w:kinsoku w:val="0"/>
        <w:overflowPunct w:val="0"/>
        <w:ind w:left="1418" w:hanging="709"/>
      </w:pPr>
      <w:r w:rsidRPr="00297812">
        <w:t>Confirmation that the tenderer has the resources available to meet the requirements outlined in this brief and its timelines</w:t>
      </w:r>
    </w:p>
    <w:p w14:paraId="0265525D" w14:textId="77777777" w:rsidR="004B66F2" w:rsidRPr="004B66F2" w:rsidRDefault="00F241D3" w:rsidP="00710D92">
      <w:pPr>
        <w:pStyle w:val="BodyText"/>
        <w:numPr>
          <w:ilvl w:val="0"/>
          <w:numId w:val="1"/>
        </w:numPr>
        <w:tabs>
          <w:tab w:val="left" w:pos="892"/>
          <w:tab w:val="left" w:pos="1418"/>
        </w:tabs>
        <w:kinsoku w:val="0"/>
        <w:overflowPunct w:val="0"/>
        <w:ind w:left="1418" w:hanging="709"/>
        <w:rPr>
          <w:i/>
          <w:iCs/>
        </w:rPr>
      </w:pPr>
      <w:r w:rsidRPr="00297812">
        <w:t>Confirmation that the tenderer holds current valid insurance policies as set out below and, if successful, supporting documentation will be provided as evidenc</w:t>
      </w:r>
      <w:r w:rsidRPr="004A562D">
        <w:t>e</w:t>
      </w:r>
      <w:r w:rsidR="004A562D" w:rsidRPr="004A562D">
        <w:t>:</w:t>
      </w:r>
      <w:r w:rsidR="004B66F2">
        <w:t xml:space="preserve"> </w:t>
      </w:r>
    </w:p>
    <w:p w14:paraId="01A259E6" w14:textId="02F60C5B" w:rsidR="004A562D" w:rsidRPr="00D074AD" w:rsidRDefault="004A562D" w:rsidP="00710D92">
      <w:pPr>
        <w:pStyle w:val="BodyText"/>
        <w:numPr>
          <w:ilvl w:val="0"/>
          <w:numId w:val="2"/>
        </w:numPr>
        <w:tabs>
          <w:tab w:val="left" w:pos="892"/>
          <w:tab w:val="left" w:pos="1418"/>
        </w:tabs>
        <w:kinsoku w:val="0"/>
        <w:overflowPunct w:val="0"/>
      </w:pPr>
      <w:r w:rsidRPr="004B66F2">
        <w:t xml:space="preserve">Employers Liability Insurance with a limit of indemnity of not less </w:t>
      </w:r>
      <w:r w:rsidRPr="00D074AD">
        <w:t xml:space="preserve">than </w:t>
      </w:r>
      <w:r w:rsidR="00425385" w:rsidRPr="00D074AD">
        <w:t>five</w:t>
      </w:r>
      <w:r w:rsidRPr="00D074AD">
        <w:t xml:space="preserve"> million (£</w:t>
      </w:r>
      <w:r w:rsidR="00425385" w:rsidRPr="00D074AD">
        <w:t>5</w:t>
      </w:r>
      <w:r w:rsidRPr="00D074AD">
        <w:t xml:space="preserve">,000,000) </w:t>
      </w:r>
    </w:p>
    <w:p w14:paraId="3A96C50A" w14:textId="15B42110" w:rsidR="004A562D" w:rsidRPr="00D074AD" w:rsidRDefault="004A562D" w:rsidP="00710D92">
      <w:pPr>
        <w:pStyle w:val="BodyText"/>
        <w:numPr>
          <w:ilvl w:val="0"/>
          <w:numId w:val="2"/>
        </w:numPr>
        <w:tabs>
          <w:tab w:val="left" w:pos="892"/>
          <w:tab w:val="left" w:pos="1418"/>
        </w:tabs>
        <w:kinsoku w:val="0"/>
        <w:overflowPunct w:val="0"/>
      </w:pPr>
      <w:r w:rsidRPr="00D074AD">
        <w:t xml:space="preserve">Public Liability Insurance with a limit of indemnity of not less than </w:t>
      </w:r>
      <w:r w:rsidR="00425385" w:rsidRPr="00D074AD">
        <w:t>five</w:t>
      </w:r>
      <w:r w:rsidRPr="00D074AD">
        <w:t xml:space="preserve"> million (£</w:t>
      </w:r>
      <w:r w:rsidR="00425385" w:rsidRPr="00D074AD">
        <w:t>5</w:t>
      </w:r>
      <w:r w:rsidRPr="00D074AD">
        <w:t>,000,000).</w:t>
      </w:r>
    </w:p>
    <w:p w14:paraId="7B4F6A52" w14:textId="1F83FE22" w:rsidR="00F241D3" w:rsidRDefault="00F241D3" w:rsidP="00710D92">
      <w:pPr>
        <w:pStyle w:val="BodyText"/>
        <w:numPr>
          <w:ilvl w:val="0"/>
          <w:numId w:val="1"/>
        </w:numPr>
        <w:tabs>
          <w:tab w:val="left" w:pos="1418"/>
          <w:tab w:val="left" w:pos="1560"/>
        </w:tabs>
        <w:kinsoku w:val="0"/>
        <w:overflowPunct w:val="0"/>
        <w:ind w:left="1418" w:hanging="709"/>
      </w:pPr>
      <w:r w:rsidRPr="00043839">
        <w:t>Conflict of interest statement</w:t>
      </w:r>
      <w:r w:rsidR="00D074AD">
        <w:t xml:space="preserve"> (see section 8)</w:t>
      </w:r>
    </w:p>
    <w:p w14:paraId="2A138FFB" w14:textId="3C9B2D34" w:rsidR="00342A71" w:rsidRDefault="00342A71" w:rsidP="00710D92">
      <w:pPr>
        <w:pStyle w:val="BodyText"/>
        <w:numPr>
          <w:ilvl w:val="0"/>
          <w:numId w:val="1"/>
        </w:numPr>
        <w:tabs>
          <w:tab w:val="left" w:pos="1418"/>
          <w:tab w:val="left" w:pos="1560"/>
        </w:tabs>
        <w:kinsoku w:val="0"/>
        <w:overflowPunct w:val="0"/>
        <w:ind w:left="1418" w:hanging="709"/>
      </w:pPr>
      <w:r>
        <w:t>Confirmation that the supplier is registered with the Environment Agency as a Registered Waste Carrier</w:t>
      </w:r>
    </w:p>
    <w:p w14:paraId="2821EA1A" w14:textId="4AC9C0CF" w:rsidR="00342A71" w:rsidRDefault="00342A71" w:rsidP="00710D92">
      <w:pPr>
        <w:pStyle w:val="BodyText"/>
        <w:numPr>
          <w:ilvl w:val="0"/>
          <w:numId w:val="1"/>
        </w:numPr>
        <w:tabs>
          <w:tab w:val="left" w:pos="1418"/>
          <w:tab w:val="left" w:pos="1560"/>
        </w:tabs>
        <w:kinsoku w:val="0"/>
        <w:overflowPunct w:val="0"/>
        <w:ind w:left="1418" w:hanging="709"/>
      </w:pPr>
      <w:r>
        <w:t xml:space="preserve">Confirmation the work carried </w:t>
      </w:r>
      <w:r w:rsidRPr="00C02883">
        <w:t>for 3.</w:t>
      </w:r>
      <w:r w:rsidR="00C02883" w:rsidRPr="00C02883">
        <w:t>3</w:t>
      </w:r>
      <w:r w:rsidR="00351BF6">
        <w:t xml:space="preserve"> and 3.4</w:t>
      </w:r>
      <w:r>
        <w:t xml:space="preserve"> has a </w:t>
      </w:r>
      <w:r w:rsidR="00D074AD">
        <w:t>10 year guarantee</w:t>
      </w:r>
    </w:p>
    <w:p w14:paraId="08E9262A" w14:textId="77777777" w:rsidR="00A102FE" w:rsidRDefault="00A102FE" w:rsidP="006268C8">
      <w:pPr>
        <w:pStyle w:val="BodyText"/>
        <w:tabs>
          <w:tab w:val="left" w:pos="709"/>
        </w:tabs>
        <w:kinsoku w:val="0"/>
        <w:overflowPunct w:val="0"/>
        <w:ind w:left="0" w:right="197" w:firstLine="0"/>
      </w:pPr>
    </w:p>
    <w:p w14:paraId="7A957C5C" w14:textId="2FA2CBCA" w:rsidR="002E24C0" w:rsidRDefault="00E878B2" w:rsidP="00297812">
      <w:pPr>
        <w:pStyle w:val="BodyText"/>
        <w:tabs>
          <w:tab w:val="left" w:pos="709"/>
        </w:tabs>
        <w:kinsoku w:val="0"/>
        <w:overflowPunct w:val="0"/>
        <w:ind w:left="706" w:right="197" w:hanging="706"/>
        <w:rPr>
          <w:spacing w:val="-1"/>
        </w:rPr>
      </w:pPr>
      <w:r>
        <w:rPr>
          <w:spacing w:val="-1"/>
        </w:rPr>
        <w:lastRenderedPageBreak/>
        <w:t>6</w:t>
      </w:r>
      <w:r w:rsidR="002E24C0" w:rsidRPr="00043839">
        <w:rPr>
          <w:spacing w:val="-1"/>
        </w:rPr>
        <w:t>.2</w:t>
      </w:r>
      <w:r w:rsidR="002E24C0" w:rsidRPr="00043839">
        <w:rPr>
          <w:spacing w:val="-1"/>
        </w:rPr>
        <w:tab/>
      </w:r>
      <w:r w:rsidR="00297812" w:rsidRPr="00297812">
        <w:rPr>
          <w:spacing w:val="-1"/>
        </w:rPr>
        <w:t>Provide two examples of previous projects which you feel demonstrate your ability to deliver this type of project. (maximum 1 page of A4 per example).</w:t>
      </w:r>
    </w:p>
    <w:p w14:paraId="1370C44D" w14:textId="77777777" w:rsidR="00297812" w:rsidRPr="00043839" w:rsidRDefault="00297812" w:rsidP="00297812">
      <w:pPr>
        <w:pStyle w:val="BodyText"/>
        <w:tabs>
          <w:tab w:val="left" w:pos="709"/>
        </w:tabs>
        <w:kinsoku w:val="0"/>
        <w:overflowPunct w:val="0"/>
        <w:ind w:left="706" w:right="197" w:hanging="706"/>
        <w:rPr>
          <w:rFonts w:cstheme="majorHAnsi"/>
        </w:rPr>
      </w:pPr>
    </w:p>
    <w:p w14:paraId="2F176620" w14:textId="6F8A3834"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297812" w:rsidRPr="00297812">
        <w:t xml:space="preserve">Provide experience of the project manager and the senior </w:t>
      </w:r>
      <w:r w:rsidR="00297812">
        <w:t>trade</w:t>
      </w:r>
      <w:r w:rsidR="00297812" w:rsidRPr="00FB68AA">
        <w:t>s</w:t>
      </w:r>
      <w:r w:rsidR="00FB68AA" w:rsidRPr="00FB68AA">
        <w:t>people</w:t>
      </w:r>
      <w:r w:rsidR="00297812" w:rsidRPr="00FB68AA">
        <w:t xml:space="preserve"> </w:t>
      </w:r>
      <w:r w:rsidR="00297812" w:rsidRPr="00297812">
        <w:t>which demonstrates their building experience. (maximum 1 page of A4 per example).</w:t>
      </w:r>
      <w:r w:rsidR="00D074AD">
        <w:t xml:space="preserve">  This should include evidence of the CSSW Approved installer </w:t>
      </w:r>
    </w:p>
    <w:p w14:paraId="6575E90E" w14:textId="77777777" w:rsidR="00425385" w:rsidRDefault="00425385" w:rsidP="00A626D2">
      <w:pPr>
        <w:pStyle w:val="BodyText"/>
        <w:tabs>
          <w:tab w:val="left" w:pos="709"/>
        </w:tabs>
        <w:kinsoku w:val="0"/>
        <w:overflowPunct w:val="0"/>
        <w:ind w:left="720" w:hanging="720"/>
      </w:pPr>
    </w:p>
    <w:p w14:paraId="3697E639" w14:textId="19F882B1"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r w:rsidR="00D074AD">
        <w:rPr>
          <w:spacing w:val="-1"/>
        </w:rPr>
        <w:t xml:space="preserve"> broken down as for </w:t>
      </w:r>
      <w:r w:rsidR="00D074AD" w:rsidRPr="00C02883">
        <w:rPr>
          <w:spacing w:val="-1"/>
        </w:rPr>
        <w:t>3.</w:t>
      </w:r>
      <w:r w:rsidR="00C02883" w:rsidRPr="00C02883">
        <w:rPr>
          <w:spacing w:val="-1"/>
        </w:rPr>
        <w:t>3</w:t>
      </w:r>
      <w:r w:rsidR="00D074AD" w:rsidRPr="00C02883">
        <w:rPr>
          <w:spacing w:val="-1"/>
        </w:rPr>
        <w:t xml:space="preserve"> – 3.</w:t>
      </w:r>
      <w:r w:rsidR="00C02883" w:rsidRPr="00C02883">
        <w:rPr>
          <w:spacing w:val="-1"/>
        </w:rPr>
        <w:t>1</w:t>
      </w:r>
      <w:r w:rsidR="00351BF6">
        <w:rPr>
          <w:spacing w:val="-1"/>
        </w:rPr>
        <w:t>0</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0437E141" w14:textId="77777777" w:rsidR="00C02883" w:rsidRDefault="00C02883" w:rsidP="006268C8">
      <w:pPr>
        <w:kinsoku w:val="0"/>
        <w:overflowPunct w:val="0"/>
        <w:rPr>
          <w:rFonts w:ascii="Verdana" w:hAnsi="Verdana" w:cs="Verdana"/>
          <w:b/>
          <w:iCs/>
          <w:spacing w:val="-1"/>
          <w:sz w:val="22"/>
          <w:szCs w:val="22"/>
        </w:rPr>
      </w:pPr>
    </w:p>
    <w:p w14:paraId="2A7D9B57" w14:textId="06B260CA"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20F4304" w:rsidR="009E5BAE" w:rsidRPr="00297812" w:rsidRDefault="009E5BAE" w:rsidP="006268C8">
      <w:pPr>
        <w:spacing w:before="60" w:after="60"/>
        <w:rPr>
          <w:rFonts w:ascii="Verdana" w:eastAsia="Times New Roman" w:hAnsi="Verdana" w:cs="Arial Narrow"/>
          <w:sz w:val="22"/>
          <w:szCs w:val="22"/>
        </w:rPr>
      </w:pPr>
      <w:r w:rsidRPr="00297812">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C02883">
        <w:rPr>
          <w:rFonts w:ascii="Verdana" w:hAnsi="Verdana"/>
          <w:sz w:val="22"/>
          <w:szCs w:val="22"/>
        </w:rPr>
        <w:t>THE OLD BANK CAMELFORD</w:t>
      </w:r>
      <w:r w:rsidR="00A45490">
        <w:rPr>
          <w:rFonts w:ascii="Verdana" w:eastAsia="Times New Roman" w:hAnsi="Verdana" w:cs="Arial Narrow"/>
          <w:sz w:val="22"/>
          <w:szCs w:val="22"/>
        </w:rPr>
        <w:t>.</w:t>
      </w:r>
    </w:p>
    <w:p w14:paraId="005EB8D1" w14:textId="77777777" w:rsidR="009E5BAE" w:rsidRPr="00297812" w:rsidRDefault="009E5BAE" w:rsidP="006268C8">
      <w:pPr>
        <w:kinsoku w:val="0"/>
        <w:overflowPunct w:val="0"/>
        <w:spacing w:before="3"/>
        <w:rPr>
          <w:rFonts w:ascii="Verdana" w:hAnsi="Verdana" w:cs="Verdana"/>
          <w:sz w:val="22"/>
          <w:szCs w:val="22"/>
        </w:rPr>
      </w:pPr>
    </w:p>
    <w:p w14:paraId="09FFA39B" w14:textId="220CDF81" w:rsidR="009E5BAE" w:rsidRPr="00297812" w:rsidRDefault="00E878B2" w:rsidP="006268C8">
      <w:pPr>
        <w:kinsoku w:val="0"/>
        <w:overflowPunct w:val="0"/>
        <w:rPr>
          <w:rFonts w:ascii="Verdana" w:hAnsi="Verdana" w:cs="Verdana"/>
          <w:b/>
          <w:iCs/>
          <w:spacing w:val="-1"/>
          <w:sz w:val="22"/>
          <w:szCs w:val="22"/>
        </w:rPr>
      </w:pPr>
      <w:r w:rsidRPr="00297812">
        <w:rPr>
          <w:rFonts w:ascii="Verdana" w:hAnsi="Verdana" w:cs="Verdana"/>
          <w:b/>
          <w:iCs/>
          <w:spacing w:val="-1"/>
          <w:sz w:val="22"/>
          <w:szCs w:val="22"/>
        </w:rPr>
        <w:t>8</w:t>
      </w:r>
      <w:r w:rsidR="003D4F03" w:rsidRPr="00297812">
        <w:rPr>
          <w:rFonts w:ascii="Verdana" w:hAnsi="Verdana" w:cs="Verdana"/>
          <w:b/>
          <w:iCs/>
          <w:spacing w:val="-1"/>
          <w:sz w:val="22"/>
          <w:szCs w:val="22"/>
        </w:rPr>
        <w:t>.</w:t>
      </w:r>
      <w:r w:rsidR="00043839" w:rsidRPr="00297812">
        <w:rPr>
          <w:rFonts w:ascii="Verdana" w:hAnsi="Verdana" w:cs="Verdana"/>
          <w:b/>
          <w:iCs/>
          <w:spacing w:val="-1"/>
          <w:sz w:val="22"/>
          <w:szCs w:val="22"/>
        </w:rPr>
        <w:t xml:space="preserve"> </w:t>
      </w:r>
      <w:r w:rsidR="003D4F03" w:rsidRPr="00297812">
        <w:rPr>
          <w:rFonts w:ascii="Verdana" w:hAnsi="Verdana" w:cs="Verdana"/>
          <w:b/>
          <w:iCs/>
          <w:spacing w:val="-1"/>
          <w:sz w:val="22"/>
          <w:szCs w:val="22"/>
        </w:rPr>
        <w:tab/>
      </w:r>
      <w:r w:rsidR="009E5BAE" w:rsidRPr="00297812">
        <w:rPr>
          <w:rFonts w:ascii="Verdana" w:hAnsi="Verdana" w:cs="Verdana"/>
          <w:b/>
          <w:iCs/>
          <w:spacing w:val="-1"/>
          <w:sz w:val="22"/>
          <w:szCs w:val="22"/>
        </w:rPr>
        <w:t xml:space="preserve">Conflicts </w:t>
      </w:r>
      <w:r w:rsidR="009E5BAE" w:rsidRPr="00297812">
        <w:rPr>
          <w:rFonts w:ascii="Verdana" w:hAnsi="Verdana" w:cs="Verdana"/>
          <w:b/>
          <w:iCs/>
          <w:sz w:val="22"/>
          <w:szCs w:val="22"/>
        </w:rPr>
        <w:t>of</w:t>
      </w:r>
      <w:r w:rsidR="009E5BAE" w:rsidRPr="00297812">
        <w:rPr>
          <w:rFonts w:ascii="Verdana" w:hAnsi="Verdana" w:cs="Verdana"/>
          <w:b/>
          <w:iCs/>
          <w:spacing w:val="-2"/>
          <w:sz w:val="22"/>
          <w:szCs w:val="22"/>
        </w:rPr>
        <w:t xml:space="preserve"> </w:t>
      </w:r>
      <w:r w:rsidR="009E5BAE" w:rsidRPr="00297812">
        <w:rPr>
          <w:rFonts w:ascii="Verdana" w:hAnsi="Verdana" w:cs="Verdana"/>
          <w:b/>
          <w:iCs/>
          <w:spacing w:val="-1"/>
          <w:sz w:val="22"/>
          <w:szCs w:val="22"/>
        </w:rPr>
        <w:t>Interest</w:t>
      </w:r>
    </w:p>
    <w:p w14:paraId="2F343891" w14:textId="77777777" w:rsidR="009E5BAE" w:rsidRPr="00297812" w:rsidRDefault="009E5BAE" w:rsidP="006268C8">
      <w:pPr>
        <w:kinsoku w:val="0"/>
        <w:overflowPunct w:val="0"/>
        <w:ind w:left="120"/>
        <w:rPr>
          <w:rFonts w:ascii="Verdana" w:hAnsi="Verdana" w:cs="Verdana"/>
          <w:b/>
          <w:sz w:val="22"/>
          <w:szCs w:val="22"/>
        </w:rPr>
      </w:pPr>
    </w:p>
    <w:p w14:paraId="016AE28E" w14:textId="24DCF817" w:rsidR="009E5BAE" w:rsidRPr="00043839" w:rsidRDefault="009E5BAE" w:rsidP="006268C8">
      <w:pPr>
        <w:kinsoku w:val="0"/>
        <w:overflowPunct w:val="0"/>
        <w:spacing w:before="42"/>
        <w:ind w:right="170"/>
        <w:rPr>
          <w:rFonts w:ascii="Verdana" w:hAnsi="Verdana" w:cs="Verdana"/>
          <w:spacing w:val="-1"/>
          <w:sz w:val="22"/>
          <w:szCs w:val="22"/>
        </w:rPr>
      </w:pPr>
      <w:r w:rsidRPr="00297812">
        <w:rPr>
          <w:rFonts w:ascii="Verdana" w:eastAsia="Times New Roman" w:hAnsi="Verdana" w:cs="Arial Narrow"/>
          <w:sz w:val="22"/>
          <w:szCs w:val="22"/>
        </w:rPr>
        <w:t>Tenderers must provide a clear statement with regard to potential conflicts of</w:t>
      </w:r>
      <w:r w:rsidRPr="00297812">
        <w:rPr>
          <w:rFonts w:ascii="Verdana" w:hAnsi="Verdana" w:cs="Verdana"/>
          <w:spacing w:val="47"/>
          <w:sz w:val="22"/>
          <w:szCs w:val="22"/>
        </w:rPr>
        <w:t xml:space="preserve"> </w:t>
      </w:r>
      <w:r w:rsidRPr="00297812">
        <w:rPr>
          <w:rFonts w:ascii="Verdana" w:hAnsi="Verdana" w:cs="Verdana"/>
          <w:spacing w:val="-1"/>
          <w:sz w:val="22"/>
          <w:szCs w:val="22"/>
        </w:rPr>
        <w:t>interests.</w:t>
      </w:r>
      <w:r w:rsidRPr="00297812">
        <w:rPr>
          <w:rFonts w:ascii="Verdana" w:hAnsi="Verdana" w:cs="Verdana"/>
          <w:spacing w:val="-2"/>
          <w:sz w:val="22"/>
          <w:szCs w:val="22"/>
        </w:rPr>
        <w:t xml:space="preserve"> </w:t>
      </w:r>
      <w:r w:rsidRPr="00297812">
        <w:rPr>
          <w:rFonts w:ascii="Verdana" w:hAnsi="Verdana" w:cs="Verdana"/>
          <w:spacing w:val="-1"/>
          <w:sz w:val="22"/>
          <w:szCs w:val="22"/>
        </w:rPr>
        <w:t>Therefore,</w:t>
      </w:r>
      <w:r w:rsidRPr="00297812">
        <w:rPr>
          <w:rFonts w:ascii="Verdana" w:hAnsi="Verdana" w:cs="Verdana"/>
          <w:spacing w:val="-2"/>
          <w:sz w:val="22"/>
          <w:szCs w:val="22"/>
        </w:rPr>
        <w:t xml:space="preserve"> </w:t>
      </w:r>
      <w:r w:rsidRPr="00297812">
        <w:rPr>
          <w:rFonts w:ascii="Verdana" w:hAnsi="Verdana" w:cs="Verdana"/>
          <w:b/>
          <w:bCs/>
          <w:spacing w:val="-1"/>
          <w:sz w:val="22"/>
          <w:szCs w:val="22"/>
        </w:rPr>
        <w:t>please</w:t>
      </w:r>
      <w:r w:rsidRPr="00297812">
        <w:rPr>
          <w:rFonts w:ascii="Verdana" w:hAnsi="Verdana" w:cs="Verdana"/>
          <w:b/>
          <w:bCs/>
          <w:spacing w:val="-2"/>
          <w:sz w:val="22"/>
          <w:szCs w:val="22"/>
        </w:rPr>
        <w:t xml:space="preserve"> </w:t>
      </w:r>
      <w:r w:rsidRPr="00297812">
        <w:rPr>
          <w:rFonts w:ascii="Verdana" w:hAnsi="Verdana" w:cs="Verdana"/>
          <w:b/>
          <w:bCs/>
          <w:spacing w:val="-1"/>
          <w:sz w:val="22"/>
          <w:szCs w:val="22"/>
        </w:rPr>
        <w:t>confirm within your tender submission</w:t>
      </w:r>
      <w:r w:rsidRPr="00297812">
        <w:rPr>
          <w:rFonts w:ascii="Verdana" w:hAnsi="Verdana" w:cs="Verdana"/>
          <w:b/>
          <w:bCs/>
          <w:sz w:val="22"/>
          <w:szCs w:val="22"/>
        </w:rPr>
        <w:t xml:space="preserve"> </w:t>
      </w:r>
      <w:r w:rsidRPr="00297812">
        <w:rPr>
          <w:rFonts w:ascii="Verdana" w:hAnsi="Verdana" w:cs="Verdana"/>
          <w:spacing w:val="-1"/>
          <w:sz w:val="22"/>
          <w:szCs w:val="22"/>
        </w:rPr>
        <w:t>whether,</w:t>
      </w:r>
      <w:r w:rsidRPr="00297812">
        <w:rPr>
          <w:rFonts w:ascii="Verdana" w:hAnsi="Verdana" w:cs="Verdana"/>
          <w:spacing w:val="-2"/>
          <w:sz w:val="22"/>
          <w:szCs w:val="22"/>
        </w:rPr>
        <w:t xml:space="preserve"> </w:t>
      </w:r>
      <w:r w:rsidRPr="00297812">
        <w:rPr>
          <w:rFonts w:ascii="Verdana" w:hAnsi="Verdana" w:cs="Verdana"/>
          <w:spacing w:val="-1"/>
          <w:sz w:val="22"/>
          <w:szCs w:val="22"/>
        </w:rPr>
        <w:t>to the best</w:t>
      </w:r>
      <w:r w:rsidRPr="00297812">
        <w:rPr>
          <w:rFonts w:ascii="Verdana" w:hAnsi="Verdana" w:cs="Verdana"/>
          <w:spacing w:val="-2"/>
          <w:sz w:val="22"/>
          <w:szCs w:val="22"/>
        </w:rPr>
        <w:t xml:space="preserve"> </w:t>
      </w:r>
      <w:r w:rsidRPr="00297812">
        <w:rPr>
          <w:rFonts w:ascii="Verdana" w:hAnsi="Verdana" w:cs="Verdana"/>
          <w:sz w:val="22"/>
          <w:szCs w:val="22"/>
        </w:rPr>
        <w:t>of</w:t>
      </w:r>
      <w:r w:rsidRPr="00297812">
        <w:rPr>
          <w:rFonts w:ascii="Verdana" w:hAnsi="Verdana" w:cs="Verdana"/>
          <w:spacing w:val="-2"/>
          <w:sz w:val="22"/>
          <w:szCs w:val="22"/>
        </w:rPr>
        <w:t xml:space="preserve"> </w:t>
      </w:r>
      <w:r w:rsidRPr="00297812">
        <w:rPr>
          <w:rFonts w:ascii="Verdana" w:hAnsi="Verdana" w:cs="Verdana"/>
          <w:spacing w:val="-1"/>
          <w:sz w:val="22"/>
          <w:szCs w:val="22"/>
        </w:rPr>
        <w:t>your</w:t>
      </w:r>
      <w:r w:rsidRPr="00297812">
        <w:rPr>
          <w:rFonts w:ascii="Verdana" w:hAnsi="Verdana" w:cs="Verdana"/>
          <w:spacing w:val="40"/>
          <w:sz w:val="22"/>
          <w:szCs w:val="22"/>
        </w:rPr>
        <w:t xml:space="preserve"> </w:t>
      </w:r>
      <w:r w:rsidRPr="00297812">
        <w:rPr>
          <w:rFonts w:ascii="Verdana" w:hAnsi="Verdana" w:cs="Verdana"/>
          <w:spacing w:val="-1"/>
          <w:sz w:val="22"/>
          <w:szCs w:val="22"/>
        </w:rPr>
        <w:t>knowledge,</w:t>
      </w:r>
      <w:r w:rsidRPr="00297812">
        <w:rPr>
          <w:rFonts w:ascii="Verdana" w:hAnsi="Verdana" w:cs="Verdana"/>
          <w:spacing w:val="-2"/>
          <w:sz w:val="22"/>
          <w:szCs w:val="22"/>
        </w:rPr>
        <w:t xml:space="preserve"> </w:t>
      </w:r>
      <w:r w:rsidRPr="00297812">
        <w:rPr>
          <w:rFonts w:ascii="Verdana" w:hAnsi="Verdana" w:cs="Verdana"/>
          <w:spacing w:val="-1"/>
          <w:sz w:val="22"/>
          <w:szCs w:val="22"/>
        </w:rPr>
        <w:t>there</w:t>
      </w:r>
      <w:r w:rsidRPr="00297812">
        <w:rPr>
          <w:rFonts w:ascii="Verdana" w:hAnsi="Verdana" w:cs="Verdana"/>
          <w:spacing w:val="2"/>
          <w:sz w:val="22"/>
          <w:szCs w:val="22"/>
        </w:rPr>
        <w:t xml:space="preserve"> </w:t>
      </w:r>
      <w:r w:rsidRPr="00297812">
        <w:rPr>
          <w:rFonts w:ascii="Verdana" w:hAnsi="Verdana" w:cs="Verdana"/>
          <w:spacing w:val="-2"/>
          <w:sz w:val="22"/>
          <w:szCs w:val="22"/>
        </w:rPr>
        <w:t>is</w:t>
      </w:r>
      <w:r w:rsidRPr="00297812">
        <w:rPr>
          <w:rFonts w:ascii="Verdana" w:hAnsi="Verdana" w:cs="Verdana"/>
          <w:spacing w:val="-1"/>
          <w:sz w:val="22"/>
          <w:szCs w:val="22"/>
        </w:rPr>
        <w:t xml:space="preserve"> </w:t>
      </w:r>
      <w:r w:rsidRPr="00297812">
        <w:rPr>
          <w:rFonts w:ascii="Verdana" w:hAnsi="Verdana" w:cs="Verdana"/>
          <w:sz w:val="22"/>
          <w:szCs w:val="22"/>
        </w:rPr>
        <w:t>any</w:t>
      </w:r>
      <w:r w:rsidRPr="00297812">
        <w:rPr>
          <w:rFonts w:ascii="Verdana" w:hAnsi="Verdana" w:cs="Verdana"/>
          <w:spacing w:val="-2"/>
          <w:sz w:val="22"/>
          <w:szCs w:val="22"/>
        </w:rPr>
        <w:t xml:space="preserve"> </w:t>
      </w:r>
      <w:r w:rsidRPr="00297812">
        <w:rPr>
          <w:rFonts w:ascii="Verdana" w:hAnsi="Verdana" w:cs="Verdana"/>
          <w:spacing w:val="-1"/>
          <w:sz w:val="22"/>
          <w:szCs w:val="22"/>
        </w:rPr>
        <w:t>conflict</w:t>
      </w:r>
      <w:r w:rsidRPr="00297812">
        <w:rPr>
          <w:rFonts w:ascii="Verdana" w:hAnsi="Verdana" w:cs="Verdana"/>
          <w:spacing w:val="1"/>
          <w:sz w:val="22"/>
          <w:szCs w:val="22"/>
        </w:rPr>
        <w:t xml:space="preserve"> </w:t>
      </w:r>
      <w:r w:rsidRPr="00297812">
        <w:rPr>
          <w:rFonts w:ascii="Verdana" w:hAnsi="Verdana" w:cs="Verdana"/>
          <w:sz w:val="22"/>
          <w:szCs w:val="22"/>
        </w:rPr>
        <w:t xml:space="preserve">of </w:t>
      </w:r>
      <w:r w:rsidRPr="00297812">
        <w:rPr>
          <w:rFonts w:ascii="Verdana" w:hAnsi="Verdana" w:cs="Verdana"/>
          <w:spacing w:val="-1"/>
          <w:sz w:val="22"/>
          <w:szCs w:val="22"/>
        </w:rPr>
        <w:t>interest</w:t>
      </w:r>
      <w:r w:rsidRPr="00297812">
        <w:rPr>
          <w:rFonts w:ascii="Verdana" w:hAnsi="Verdana" w:cs="Verdana"/>
          <w:spacing w:val="-2"/>
          <w:sz w:val="22"/>
          <w:szCs w:val="22"/>
        </w:rPr>
        <w:t xml:space="preserve"> </w:t>
      </w:r>
      <w:r w:rsidRPr="00297812">
        <w:rPr>
          <w:rFonts w:ascii="Verdana" w:hAnsi="Verdana" w:cs="Verdana"/>
          <w:spacing w:val="-1"/>
          <w:sz w:val="22"/>
          <w:szCs w:val="22"/>
        </w:rPr>
        <w:t>between</w:t>
      </w:r>
      <w:r w:rsidRPr="00297812">
        <w:rPr>
          <w:rFonts w:ascii="Verdana" w:hAnsi="Verdana" w:cs="Verdana"/>
          <w:spacing w:val="-2"/>
          <w:sz w:val="22"/>
          <w:szCs w:val="22"/>
        </w:rPr>
        <w:t xml:space="preserve"> </w:t>
      </w:r>
      <w:r w:rsidRPr="00297812">
        <w:rPr>
          <w:rFonts w:ascii="Verdana" w:hAnsi="Verdana" w:cs="Verdana"/>
          <w:spacing w:val="-1"/>
          <w:sz w:val="22"/>
          <w:szCs w:val="22"/>
        </w:rPr>
        <w:t>your</w:t>
      </w:r>
      <w:r w:rsidRPr="00297812">
        <w:rPr>
          <w:rFonts w:ascii="Verdana" w:hAnsi="Verdana" w:cs="Verdana"/>
          <w:spacing w:val="-2"/>
          <w:sz w:val="22"/>
          <w:szCs w:val="22"/>
        </w:rPr>
        <w:t xml:space="preserve"> </w:t>
      </w:r>
      <w:r w:rsidRPr="00297812">
        <w:rPr>
          <w:rFonts w:ascii="Verdana" w:hAnsi="Verdana" w:cs="Verdana"/>
          <w:spacing w:val="-1"/>
          <w:sz w:val="22"/>
          <w:szCs w:val="22"/>
        </w:rPr>
        <w:t>organisation</w:t>
      </w:r>
      <w:r w:rsidRPr="00297812">
        <w:rPr>
          <w:rFonts w:ascii="Verdana" w:hAnsi="Verdana" w:cs="Verdana"/>
          <w:spacing w:val="-2"/>
          <w:sz w:val="22"/>
          <w:szCs w:val="22"/>
        </w:rPr>
        <w:t xml:space="preserve"> </w:t>
      </w:r>
      <w:r w:rsidRPr="00297812">
        <w:rPr>
          <w:rFonts w:ascii="Verdana" w:hAnsi="Verdana" w:cs="Verdana"/>
          <w:spacing w:val="-1"/>
          <w:sz w:val="22"/>
          <w:szCs w:val="22"/>
        </w:rPr>
        <w:t>and</w:t>
      </w:r>
      <w:r w:rsidRPr="00297812">
        <w:rPr>
          <w:rFonts w:ascii="Verdana" w:hAnsi="Verdana" w:cs="Verdana"/>
          <w:spacing w:val="26"/>
          <w:sz w:val="22"/>
          <w:szCs w:val="22"/>
        </w:rPr>
        <w:t xml:space="preserve"> </w:t>
      </w:r>
      <w:r w:rsidR="00C02883">
        <w:rPr>
          <w:rFonts w:ascii="Verdana" w:hAnsi="Verdana"/>
          <w:sz w:val="22"/>
          <w:szCs w:val="22"/>
        </w:rPr>
        <w:t>THE OLD BANK CAMELFORD</w:t>
      </w:r>
      <w:r w:rsidR="00C02883" w:rsidRPr="00297812">
        <w:rPr>
          <w:rFonts w:ascii="Verdana" w:hAnsi="Verdana" w:cs="Verdana"/>
          <w:sz w:val="22"/>
          <w:szCs w:val="22"/>
        </w:rPr>
        <w:t xml:space="preserve"> </w:t>
      </w:r>
      <w:r w:rsidRPr="00297812">
        <w:rPr>
          <w:rFonts w:ascii="Verdana" w:hAnsi="Verdana" w:cs="Verdana"/>
          <w:sz w:val="22"/>
          <w:szCs w:val="22"/>
        </w:rPr>
        <w:t>or</w:t>
      </w:r>
      <w:r w:rsidRPr="00297812">
        <w:rPr>
          <w:rFonts w:ascii="Verdana" w:hAnsi="Verdana" w:cs="Verdana"/>
          <w:spacing w:val="-2"/>
          <w:sz w:val="22"/>
          <w:szCs w:val="22"/>
        </w:rPr>
        <w:t xml:space="preserve"> its</w:t>
      </w:r>
      <w:r w:rsidRPr="00297812">
        <w:rPr>
          <w:rFonts w:ascii="Verdana" w:hAnsi="Verdana" w:cs="Verdana"/>
          <w:spacing w:val="-1"/>
          <w:sz w:val="22"/>
          <w:szCs w:val="22"/>
        </w:rPr>
        <w:t xml:space="preserve"> </w:t>
      </w:r>
      <w:r w:rsidR="00F14C5E" w:rsidRPr="00297812">
        <w:rPr>
          <w:rFonts w:ascii="Verdana" w:hAnsi="Verdana" w:cs="Verdana"/>
          <w:spacing w:val="-1"/>
          <w:sz w:val="22"/>
          <w:szCs w:val="22"/>
        </w:rPr>
        <w:t>programme</w:t>
      </w:r>
      <w:r w:rsidR="00F138F1" w:rsidRPr="00297812">
        <w:rPr>
          <w:rFonts w:ascii="Verdana" w:hAnsi="Verdana" w:cs="Verdana"/>
          <w:spacing w:val="-1"/>
          <w:sz w:val="22"/>
          <w:szCs w:val="22"/>
        </w:rPr>
        <w:t xml:space="preserve"> </w:t>
      </w:r>
      <w:r w:rsidRPr="00297812">
        <w:rPr>
          <w:rFonts w:ascii="Verdana" w:hAnsi="Verdana" w:cs="Verdana"/>
          <w:spacing w:val="-1"/>
          <w:sz w:val="22"/>
          <w:szCs w:val="22"/>
        </w:rPr>
        <w:t>team</w:t>
      </w:r>
      <w:r w:rsidRPr="00297812">
        <w:rPr>
          <w:rFonts w:ascii="Verdana" w:hAnsi="Verdana" w:cs="Verdana"/>
          <w:spacing w:val="-2"/>
          <w:sz w:val="22"/>
          <w:szCs w:val="22"/>
        </w:rPr>
        <w:t xml:space="preserve"> </w:t>
      </w:r>
      <w:r w:rsidRPr="00297812">
        <w:rPr>
          <w:rFonts w:ascii="Verdana" w:hAnsi="Verdana" w:cs="Verdana"/>
          <w:spacing w:val="-1"/>
          <w:sz w:val="22"/>
          <w:szCs w:val="22"/>
        </w:rPr>
        <w:t>that</w:t>
      </w:r>
      <w:r w:rsidRPr="00297812">
        <w:rPr>
          <w:rFonts w:ascii="Verdana" w:hAnsi="Verdana" w:cs="Verdana"/>
          <w:spacing w:val="1"/>
          <w:sz w:val="22"/>
          <w:szCs w:val="22"/>
        </w:rPr>
        <w:t xml:space="preserve"> </w:t>
      </w:r>
      <w:r w:rsidRPr="00297812">
        <w:rPr>
          <w:rFonts w:ascii="Verdana" w:hAnsi="Verdana" w:cs="Verdana"/>
          <w:spacing w:val="-2"/>
          <w:sz w:val="22"/>
          <w:szCs w:val="22"/>
        </w:rPr>
        <w:t>is</w:t>
      </w:r>
      <w:r w:rsidRPr="00297812">
        <w:rPr>
          <w:rFonts w:ascii="Verdana" w:hAnsi="Verdana" w:cs="Verdana"/>
          <w:spacing w:val="1"/>
          <w:sz w:val="22"/>
          <w:szCs w:val="22"/>
        </w:rPr>
        <w:t xml:space="preserve"> </w:t>
      </w:r>
      <w:r w:rsidRPr="00297812">
        <w:rPr>
          <w:rFonts w:ascii="Verdana" w:hAnsi="Verdana" w:cs="Verdana"/>
          <w:spacing w:val="-1"/>
          <w:sz w:val="22"/>
          <w:szCs w:val="22"/>
        </w:rPr>
        <w:t>likely</w:t>
      </w:r>
      <w:r w:rsidRPr="00297812">
        <w:rPr>
          <w:rFonts w:ascii="Verdana" w:hAnsi="Verdana" w:cs="Verdana"/>
          <w:spacing w:val="-2"/>
          <w:sz w:val="22"/>
          <w:szCs w:val="22"/>
        </w:rPr>
        <w:t xml:space="preserve"> </w:t>
      </w:r>
      <w:r w:rsidRPr="00297812">
        <w:rPr>
          <w:rFonts w:ascii="Verdana" w:hAnsi="Verdana" w:cs="Verdana"/>
          <w:spacing w:val="-1"/>
          <w:sz w:val="22"/>
          <w:szCs w:val="22"/>
        </w:rPr>
        <w:t>to</w:t>
      </w:r>
      <w:r w:rsidRPr="00297812">
        <w:rPr>
          <w:rFonts w:ascii="Verdana" w:hAnsi="Verdana" w:cs="Verdana"/>
          <w:spacing w:val="2"/>
          <w:sz w:val="22"/>
          <w:szCs w:val="22"/>
        </w:rPr>
        <w:t xml:space="preserve"> </w:t>
      </w:r>
      <w:r w:rsidRPr="00297812">
        <w:rPr>
          <w:rFonts w:ascii="Verdana" w:hAnsi="Verdana" w:cs="Verdana"/>
          <w:spacing w:val="-1"/>
          <w:sz w:val="22"/>
          <w:szCs w:val="22"/>
        </w:rPr>
        <w:t xml:space="preserve">influence the outcome </w:t>
      </w:r>
      <w:r w:rsidRPr="00297812">
        <w:rPr>
          <w:rFonts w:ascii="Verdana" w:hAnsi="Verdana" w:cs="Verdana"/>
          <w:sz w:val="22"/>
          <w:szCs w:val="22"/>
        </w:rPr>
        <w:t>of</w:t>
      </w:r>
      <w:r w:rsidRPr="00297812">
        <w:rPr>
          <w:rFonts w:ascii="Verdana" w:hAnsi="Verdana" w:cs="Verdana"/>
          <w:spacing w:val="-4"/>
          <w:sz w:val="22"/>
          <w:szCs w:val="22"/>
        </w:rPr>
        <w:t xml:space="preserve"> </w:t>
      </w:r>
      <w:r w:rsidRPr="00297812">
        <w:rPr>
          <w:rFonts w:ascii="Verdana" w:hAnsi="Verdana" w:cs="Verdana"/>
          <w:spacing w:val="-1"/>
          <w:sz w:val="22"/>
          <w:szCs w:val="22"/>
        </w:rPr>
        <w:t>this</w:t>
      </w:r>
      <w:r w:rsidRPr="00297812">
        <w:rPr>
          <w:rFonts w:ascii="Verdana" w:hAnsi="Verdana" w:cs="Verdana"/>
          <w:spacing w:val="41"/>
          <w:sz w:val="22"/>
          <w:szCs w:val="22"/>
        </w:rPr>
        <w:t xml:space="preserve"> </w:t>
      </w:r>
      <w:r w:rsidRPr="00297812">
        <w:rPr>
          <w:rFonts w:ascii="Verdana" w:hAnsi="Verdana" w:cs="Verdana"/>
          <w:spacing w:val="-1"/>
          <w:sz w:val="22"/>
          <w:szCs w:val="22"/>
        </w:rPr>
        <w:t>procurement</w:t>
      </w:r>
      <w:r w:rsidRPr="00297812">
        <w:rPr>
          <w:rFonts w:ascii="Verdana" w:hAnsi="Verdana" w:cs="Verdana"/>
          <w:spacing w:val="-2"/>
          <w:sz w:val="22"/>
          <w:szCs w:val="22"/>
        </w:rPr>
        <w:t xml:space="preserve"> </w:t>
      </w:r>
      <w:r w:rsidRPr="00297812">
        <w:rPr>
          <w:rFonts w:ascii="Verdana" w:hAnsi="Verdana" w:cs="Verdana"/>
          <w:spacing w:val="-1"/>
          <w:sz w:val="22"/>
          <w:szCs w:val="22"/>
        </w:rPr>
        <w:t>either</w:t>
      </w:r>
      <w:r w:rsidRPr="00297812">
        <w:rPr>
          <w:rFonts w:ascii="Verdana" w:hAnsi="Verdana" w:cs="Verdana"/>
          <w:spacing w:val="-2"/>
          <w:sz w:val="22"/>
          <w:szCs w:val="22"/>
        </w:rPr>
        <w:t xml:space="preserve"> </w:t>
      </w:r>
      <w:r w:rsidRPr="00297812">
        <w:rPr>
          <w:rFonts w:ascii="Verdana" w:hAnsi="Verdana" w:cs="Verdana"/>
          <w:spacing w:val="-1"/>
          <w:sz w:val="22"/>
          <w:szCs w:val="22"/>
        </w:rPr>
        <w:t>directly</w:t>
      </w:r>
      <w:r w:rsidRPr="00297812">
        <w:rPr>
          <w:rFonts w:ascii="Verdana" w:hAnsi="Verdana" w:cs="Verdana"/>
          <w:spacing w:val="-2"/>
          <w:sz w:val="22"/>
          <w:szCs w:val="22"/>
        </w:rPr>
        <w:t xml:space="preserve"> </w:t>
      </w:r>
      <w:r w:rsidRPr="00297812">
        <w:rPr>
          <w:rFonts w:ascii="Verdana" w:hAnsi="Verdana" w:cs="Verdana"/>
          <w:sz w:val="22"/>
          <w:szCs w:val="22"/>
        </w:rPr>
        <w:t>or</w:t>
      </w:r>
      <w:r w:rsidRPr="00297812">
        <w:rPr>
          <w:rFonts w:ascii="Verdana" w:hAnsi="Verdana" w:cs="Verdana"/>
          <w:spacing w:val="1"/>
          <w:sz w:val="22"/>
          <w:szCs w:val="22"/>
        </w:rPr>
        <w:t xml:space="preserve"> </w:t>
      </w:r>
      <w:r w:rsidRPr="00297812">
        <w:rPr>
          <w:rFonts w:ascii="Verdana" w:hAnsi="Verdana" w:cs="Verdana"/>
          <w:spacing w:val="-1"/>
          <w:sz w:val="22"/>
          <w:szCs w:val="22"/>
        </w:rPr>
        <w:t>indirectly</w:t>
      </w:r>
      <w:r w:rsidRPr="00297812">
        <w:rPr>
          <w:rFonts w:ascii="Verdana" w:hAnsi="Verdana" w:cs="Verdana"/>
          <w:spacing w:val="-2"/>
          <w:sz w:val="22"/>
          <w:szCs w:val="22"/>
        </w:rPr>
        <w:t xml:space="preserve"> </w:t>
      </w:r>
      <w:r w:rsidRPr="00297812">
        <w:rPr>
          <w:rFonts w:ascii="Verdana" w:hAnsi="Verdana" w:cs="Verdana"/>
          <w:spacing w:val="-1"/>
          <w:sz w:val="22"/>
          <w:szCs w:val="22"/>
        </w:rPr>
        <w:t>through</w:t>
      </w:r>
      <w:r w:rsidRPr="00297812">
        <w:rPr>
          <w:rFonts w:ascii="Verdana" w:hAnsi="Verdana" w:cs="Verdana"/>
          <w:spacing w:val="-2"/>
          <w:sz w:val="22"/>
          <w:szCs w:val="22"/>
        </w:rPr>
        <w:t xml:space="preserve"> </w:t>
      </w:r>
      <w:r w:rsidRPr="00297812">
        <w:rPr>
          <w:rFonts w:ascii="Verdana" w:hAnsi="Verdana" w:cs="Verdana"/>
          <w:spacing w:val="-1"/>
          <w:sz w:val="22"/>
          <w:szCs w:val="22"/>
        </w:rPr>
        <w:t>financial,</w:t>
      </w:r>
      <w:r w:rsidRPr="00297812">
        <w:rPr>
          <w:rFonts w:ascii="Verdana" w:hAnsi="Verdana" w:cs="Verdana"/>
          <w:spacing w:val="-2"/>
          <w:sz w:val="22"/>
          <w:szCs w:val="22"/>
        </w:rPr>
        <w:t xml:space="preserve"> </w:t>
      </w:r>
      <w:r w:rsidRPr="00297812">
        <w:rPr>
          <w:rFonts w:ascii="Verdana" w:hAnsi="Verdana" w:cs="Verdana"/>
          <w:spacing w:val="-1"/>
          <w:sz w:val="22"/>
          <w:szCs w:val="22"/>
        </w:rPr>
        <w:t xml:space="preserve">economic </w:t>
      </w:r>
      <w:r w:rsidRPr="00297812">
        <w:rPr>
          <w:rFonts w:ascii="Verdana" w:hAnsi="Verdana" w:cs="Verdana"/>
          <w:sz w:val="22"/>
          <w:szCs w:val="22"/>
        </w:rPr>
        <w:t>or</w:t>
      </w:r>
      <w:r w:rsidRPr="00297812">
        <w:rPr>
          <w:rFonts w:ascii="Verdana" w:hAnsi="Verdana" w:cs="Verdana"/>
          <w:spacing w:val="-2"/>
          <w:sz w:val="22"/>
          <w:szCs w:val="22"/>
        </w:rPr>
        <w:t xml:space="preserve"> </w:t>
      </w:r>
      <w:r w:rsidRPr="00297812">
        <w:rPr>
          <w:rFonts w:ascii="Verdana" w:hAnsi="Verdana" w:cs="Verdana"/>
          <w:spacing w:val="-1"/>
          <w:sz w:val="22"/>
          <w:szCs w:val="22"/>
        </w:rPr>
        <w:t>other</w:t>
      </w:r>
      <w:r w:rsidRPr="00297812">
        <w:rPr>
          <w:rFonts w:ascii="Verdana" w:hAnsi="Verdana" w:cs="Verdana"/>
          <w:spacing w:val="45"/>
          <w:sz w:val="22"/>
          <w:szCs w:val="22"/>
        </w:rPr>
        <w:t xml:space="preserve"> </w:t>
      </w:r>
      <w:r w:rsidRPr="00297812">
        <w:rPr>
          <w:rFonts w:ascii="Verdana" w:hAnsi="Verdana" w:cs="Verdana"/>
          <w:spacing w:val="-1"/>
          <w:sz w:val="22"/>
          <w:szCs w:val="22"/>
        </w:rPr>
        <w:t>personal</w:t>
      </w:r>
      <w:r w:rsidRPr="00297812">
        <w:rPr>
          <w:rFonts w:ascii="Verdana" w:hAnsi="Verdana" w:cs="Verdana"/>
          <w:spacing w:val="-2"/>
          <w:sz w:val="22"/>
          <w:szCs w:val="22"/>
        </w:rPr>
        <w:t xml:space="preserve"> </w:t>
      </w:r>
      <w:r w:rsidRPr="00297812">
        <w:rPr>
          <w:rFonts w:ascii="Verdana" w:hAnsi="Verdana" w:cs="Verdana"/>
          <w:spacing w:val="-1"/>
          <w:sz w:val="22"/>
          <w:szCs w:val="22"/>
        </w:rPr>
        <w:t>interest</w:t>
      </w:r>
      <w:r w:rsidRPr="00297812">
        <w:rPr>
          <w:rFonts w:ascii="Verdana" w:hAnsi="Verdana" w:cs="Verdana"/>
          <w:spacing w:val="-2"/>
          <w:sz w:val="22"/>
          <w:szCs w:val="22"/>
        </w:rPr>
        <w:t xml:space="preserve"> </w:t>
      </w:r>
      <w:r w:rsidRPr="00297812">
        <w:rPr>
          <w:rFonts w:ascii="Verdana" w:hAnsi="Verdana" w:cs="Verdana"/>
          <w:spacing w:val="-1"/>
          <w:sz w:val="22"/>
          <w:szCs w:val="22"/>
        </w:rPr>
        <w:t>which</w:t>
      </w:r>
      <w:r w:rsidRPr="00297812">
        <w:rPr>
          <w:rFonts w:ascii="Verdana" w:hAnsi="Verdana" w:cs="Verdana"/>
          <w:spacing w:val="-2"/>
          <w:sz w:val="22"/>
          <w:szCs w:val="22"/>
        </w:rPr>
        <w:t xml:space="preserve"> </w:t>
      </w:r>
      <w:r w:rsidRPr="00297812">
        <w:rPr>
          <w:rFonts w:ascii="Verdana" w:hAnsi="Verdana" w:cs="Verdana"/>
          <w:spacing w:val="-1"/>
          <w:sz w:val="22"/>
          <w:szCs w:val="22"/>
        </w:rPr>
        <w:t>might</w:t>
      </w:r>
      <w:r w:rsidRPr="00297812">
        <w:rPr>
          <w:rFonts w:ascii="Verdana" w:hAnsi="Verdana" w:cs="Verdana"/>
          <w:spacing w:val="-2"/>
          <w:sz w:val="22"/>
          <w:szCs w:val="22"/>
        </w:rPr>
        <w:t xml:space="preserve"> </w:t>
      </w:r>
      <w:r w:rsidRPr="00297812">
        <w:rPr>
          <w:rFonts w:ascii="Verdana" w:hAnsi="Verdana" w:cs="Verdana"/>
          <w:spacing w:val="-1"/>
          <w:sz w:val="22"/>
          <w:szCs w:val="22"/>
        </w:rPr>
        <w:t>be perceived</w:t>
      </w:r>
      <w:r w:rsidRPr="00297812">
        <w:rPr>
          <w:rFonts w:ascii="Verdana" w:hAnsi="Verdana" w:cs="Verdana"/>
          <w:spacing w:val="1"/>
          <w:sz w:val="22"/>
          <w:szCs w:val="22"/>
        </w:rPr>
        <w:t xml:space="preserve"> </w:t>
      </w:r>
      <w:r w:rsidRPr="00297812">
        <w:rPr>
          <w:rFonts w:ascii="Verdana" w:hAnsi="Verdana" w:cs="Verdana"/>
          <w:spacing w:val="-1"/>
          <w:sz w:val="22"/>
          <w:szCs w:val="22"/>
        </w:rPr>
        <w:t>to compromise the impartiality</w:t>
      </w:r>
      <w:r w:rsidRPr="00297812">
        <w:rPr>
          <w:rFonts w:ascii="Verdana" w:hAnsi="Verdana" w:cs="Verdana"/>
          <w:spacing w:val="38"/>
          <w:sz w:val="22"/>
          <w:szCs w:val="22"/>
        </w:rPr>
        <w:t xml:space="preserve"> </w:t>
      </w:r>
      <w:r w:rsidRPr="00297812">
        <w:rPr>
          <w:rFonts w:ascii="Verdana" w:hAnsi="Verdana" w:cs="Verdana"/>
          <w:spacing w:val="-1"/>
          <w:sz w:val="22"/>
          <w:szCs w:val="22"/>
        </w:rPr>
        <w:t>and</w:t>
      </w:r>
      <w:r w:rsidRPr="00297812">
        <w:rPr>
          <w:rFonts w:ascii="Verdana" w:hAnsi="Verdana" w:cs="Verdana"/>
          <w:spacing w:val="1"/>
          <w:sz w:val="22"/>
          <w:szCs w:val="22"/>
        </w:rPr>
        <w:t xml:space="preserve"> </w:t>
      </w:r>
      <w:r w:rsidRPr="00297812">
        <w:rPr>
          <w:rFonts w:ascii="Verdana" w:hAnsi="Verdana" w:cs="Verdana"/>
          <w:spacing w:val="-1"/>
          <w:sz w:val="22"/>
          <w:szCs w:val="22"/>
        </w:rPr>
        <w:t xml:space="preserve">independence </w:t>
      </w:r>
      <w:r w:rsidRPr="00297812">
        <w:rPr>
          <w:rFonts w:ascii="Verdana" w:hAnsi="Verdana" w:cs="Verdana"/>
          <w:sz w:val="22"/>
          <w:szCs w:val="22"/>
        </w:rPr>
        <w:t>of</w:t>
      </w:r>
      <w:r w:rsidRPr="00297812">
        <w:rPr>
          <w:rFonts w:ascii="Verdana" w:hAnsi="Verdana" w:cs="Verdana"/>
          <w:spacing w:val="-4"/>
          <w:sz w:val="22"/>
          <w:szCs w:val="22"/>
        </w:rPr>
        <w:t xml:space="preserve"> </w:t>
      </w:r>
      <w:r w:rsidRPr="00297812">
        <w:rPr>
          <w:rFonts w:ascii="Verdana" w:hAnsi="Verdana" w:cs="Verdana"/>
          <w:spacing w:val="-1"/>
          <w:sz w:val="22"/>
          <w:szCs w:val="22"/>
        </w:rPr>
        <w:t>any</w:t>
      </w:r>
      <w:r w:rsidRPr="00297812">
        <w:rPr>
          <w:rFonts w:ascii="Verdana" w:hAnsi="Verdana" w:cs="Verdana"/>
          <w:spacing w:val="-2"/>
          <w:sz w:val="22"/>
          <w:szCs w:val="22"/>
        </w:rPr>
        <w:t xml:space="preserve"> </w:t>
      </w:r>
      <w:r w:rsidRPr="00297812">
        <w:rPr>
          <w:rFonts w:ascii="Verdana" w:hAnsi="Verdana" w:cs="Verdana"/>
          <w:spacing w:val="-1"/>
          <w:sz w:val="22"/>
          <w:szCs w:val="22"/>
        </w:rPr>
        <w:t>party</w:t>
      </w:r>
      <w:r w:rsidRPr="00297812">
        <w:rPr>
          <w:rFonts w:ascii="Verdana" w:hAnsi="Verdana" w:cs="Verdana"/>
          <w:sz w:val="22"/>
          <w:szCs w:val="22"/>
        </w:rPr>
        <w:t xml:space="preserve"> </w:t>
      </w:r>
      <w:r w:rsidRPr="00297812">
        <w:rPr>
          <w:rFonts w:ascii="Verdana" w:hAnsi="Verdana" w:cs="Verdana"/>
          <w:spacing w:val="-1"/>
          <w:sz w:val="22"/>
          <w:szCs w:val="22"/>
        </w:rPr>
        <w:t>in</w:t>
      </w:r>
      <w:r w:rsidRPr="00297812">
        <w:rPr>
          <w:rFonts w:ascii="Verdana" w:hAnsi="Verdana" w:cs="Verdana"/>
          <w:spacing w:val="-2"/>
          <w:sz w:val="22"/>
          <w:szCs w:val="22"/>
        </w:rPr>
        <w:t xml:space="preserve"> </w:t>
      </w:r>
      <w:r w:rsidRPr="00297812">
        <w:rPr>
          <w:rFonts w:ascii="Verdana" w:hAnsi="Verdana" w:cs="Verdana"/>
          <w:spacing w:val="-1"/>
          <w:sz w:val="22"/>
          <w:szCs w:val="22"/>
        </w:rPr>
        <w:t>the context</w:t>
      </w:r>
      <w:r w:rsidRPr="00297812">
        <w:rPr>
          <w:rFonts w:ascii="Verdana" w:hAnsi="Verdana" w:cs="Verdana"/>
          <w:spacing w:val="-2"/>
          <w:sz w:val="22"/>
          <w:szCs w:val="22"/>
        </w:rPr>
        <w:t xml:space="preserve"> </w:t>
      </w:r>
      <w:r w:rsidRPr="00297812">
        <w:rPr>
          <w:rFonts w:ascii="Verdana" w:hAnsi="Verdana" w:cs="Verdana"/>
          <w:sz w:val="22"/>
          <w:szCs w:val="22"/>
        </w:rPr>
        <w:t>of</w:t>
      </w:r>
      <w:r w:rsidRPr="00297812">
        <w:rPr>
          <w:rFonts w:ascii="Verdana" w:hAnsi="Verdana" w:cs="Verdana"/>
          <w:spacing w:val="-2"/>
          <w:sz w:val="22"/>
          <w:szCs w:val="22"/>
        </w:rPr>
        <w:t xml:space="preserve"> </w:t>
      </w:r>
      <w:r w:rsidRPr="00297812">
        <w:rPr>
          <w:rFonts w:ascii="Verdana" w:hAnsi="Verdana" w:cs="Verdana"/>
          <w:spacing w:val="-1"/>
          <w:sz w:val="22"/>
          <w:szCs w:val="22"/>
        </w:rPr>
        <w:t>this procurement</w:t>
      </w:r>
      <w:r w:rsidRPr="00297812">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2DAA930C" w:rsidR="009E5BAE" w:rsidRPr="00297812" w:rsidRDefault="009E5BAE" w:rsidP="006268C8">
      <w:pPr>
        <w:spacing w:before="60" w:after="60"/>
        <w:rPr>
          <w:rFonts w:ascii="Verdana" w:eastAsia="Times New Roman" w:hAnsi="Verdana" w:cs="Arial Narrow"/>
          <w:sz w:val="22"/>
          <w:szCs w:val="22"/>
        </w:rPr>
      </w:pPr>
      <w:r w:rsidRPr="00297812">
        <w:rPr>
          <w:rFonts w:ascii="Verdana" w:eastAsia="Times New Roman" w:hAnsi="Verdana" w:cs="Arial Narrow"/>
          <w:sz w:val="22"/>
          <w:szCs w:val="22"/>
        </w:rPr>
        <w:t xml:space="preserve">Receipt of this statement will permit </w:t>
      </w:r>
      <w:r w:rsidR="00C02883">
        <w:rPr>
          <w:rFonts w:ascii="Verdana" w:hAnsi="Verdana"/>
          <w:sz w:val="22"/>
          <w:szCs w:val="22"/>
        </w:rPr>
        <w:t>THE OLD BANK CAMELFORD</w:t>
      </w:r>
      <w:r w:rsidR="00C02883" w:rsidRPr="00297812">
        <w:rPr>
          <w:rFonts w:ascii="Verdana" w:eastAsia="Times New Roman" w:hAnsi="Verdana" w:cs="Arial Narrow"/>
          <w:sz w:val="22"/>
          <w:szCs w:val="22"/>
        </w:rPr>
        <w:t xml:space="preserve"> </w:t>
      </w:r>
      <w:r w:rsidRPr="00297812">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9689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317709C" w14:textId="47AF452F" w:rsidR="00297812" w:rsidRPr="00C02883" w:rsidRDefault="00302053" w:rsidP="006268C8">
      <w:pPr>
        <w:pStyle w:val="Default"/>
        <w:spacing w:before="60" w:after="60"/>
        <w:rPr>
          <w:rFonts w:ascii="Verdana" w:hAnsi="Verdana"/>
          <w:sz w:val="22"/>
          <w:szCs w:val="22"/>
        </w:rPr>
      </w:pPr>
      <w:hyperlink r:id="rId12" w:history="1">
        <w:r w:rsidR="00A45490" w:rsidRPr="00C02883">
          <w:rPr>
            <w:rStyle w:val="Hyperlink"/>
            <w:rFonts w:ascii="Verdana" w:hAnsi="Verdana" w:cs="Arial Narrow"/>
            <w:sz w:val="22"/>
            <w:szCs w:val="22"/>
          </w:rPr>
          <w:t>becca@oldbank.org.uk</w:t>
        </w:r>
      </w:hyperlink>
    </w:p>
    <w:p w14:paraId="44EED4B8" w14:textId="77777777" w:rsidR="00A45490" w:rsidRDefault="00A45490" w:rsidP="006268C8">
      <w:pPr>
        <w:pStyle w:val="Default"/>
        <w:spacing w:before="60" w:after="60"/>
      </w:pPr>
    </w:p>
    <w:p w14:paraId="24FDBFEC" w14:textId="5CAF1076"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C634348" w:rsidR="006D5657" w:rsidRPr="00297812" w:rsidRDefault="006D5657"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Responses to clarifications will be anonymised and uploaded by </w:t>
      </w:r>
      <w:bookmarkStart w:id="1" w:name="_Hlk128568722"/>
      <w:r w:rsidR="00603CC6">
        <w:rPr>
          <w:rFonts w:ascii="Verdana" w:hAnsi="Verdana"/>
          <w:color w:val="auto"/>
          <w:sz w:val="22"/>
          <w:szCs w:val="22"/>
        </w:rPr>
        <w:t>THE OLD BANK CAMELFORD</w:t>
      </w:r>
      <w:r w:rsidR="004B66F2" w:rsidRPr="00297812">
        <w:rPr>
          <w:rFonts w:ascii="Verdana" w:hAnsi="Verdana"/>
          <w:color w:val="auto"/>
          <w:sz w:val="22"/>
          <w:szCs w:val="22"/>
        </w:rPr>
        <w:t xml:space="preserve"> </w:t>
      </w:r>
      <w:bookmarkEnd w:id="1"/>
      <w:r w:rsidRPr="00297812">
        <w:rPr>
          <w:rFonts w:ascii="Verdana" w:hAnsi="Verdana"/>
          <w:color w:val="auto"/>
          <w:sz w:val="22"/>
          <w:szCs w:val="22"/>
        </w:rPr>
        <w:t>to Contracts Finder and will be viewable to all tenderers.</w:t>
      </w:r>
    </w:p>
    <w:p w14:paraId="69424C18" w14:textId="77777777" w:rsidR="006D5657" w:rsidRPr="00297812" w:rsidRDefault="006D5657" w:rsidP="006268C8">
      <w:pPr>
        <w:pStyle w:val="Default"/>
        <w:spacing w:before="60" w:after="60"/>
        <w:rPr>
          <w:rFonts w:ascii="Verdana" w:hAnsi="Verdana"/>
          <w:color w:val="auto"/>
          <w:sz w:val="22"/>
          <w:szCs w:val="22"/>
        </w:rPr>
      </w:pPr>
    </w:p>
    <w:p w14:paraId="2F6E3599" w14:textId="21A22E58" w:rsidR="006D5657" w:rsidRPr="00043839" w:rsidRDefault="006D5657"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No representation by way of explanation or otherwise to persons or corporations tendering or desirous of tendering as to the meaning of the tender, contract or </w:t>
      </w:r>
      <w:r w:rsidRPr="00297812">
        <w:rPr>
          <w:rFonts w:ascii="Verdana" w:hAnsi="Verdana"/>
          <w:color w:val="auto"/>
          <w:sz w:val="22"/>
          <w:szCs w:val="22"/>
        </w:rPr>
        <w:lastRenderedPageBreak/>
        <w:t>other tender documents or as to any other matter or thing to be done under the</w:t>
      </w:r>
      <w:r w:rsidRPr="00297812">
        <w:rPr>
          <w:rFonts w:ascii="Verdana" w:hAnsi="Verdana"/>
          <w:color w:val="auto"/>
          <w:spacing w:val="-1"/>
          <w:sz w:val="22"/>
          <w:szCs w:val="22"/>
        </w:rPr>
        <w:t xml:space="preserve"> proposed</w:t>
      </w:r>
      <w:r w:rsidRPr="00297812">
        <w:rPr>
          <w:rFonts w:ascii="Verdana" w:hAnsi="Verdana"/>
          <w:color w:val="auto"/>
          <w:spacing w:val="-2"/>
          <w:sz w:val="22"/>
          <w:szCs w:val="22"/>
        </w:rPr>
        <w:t xml:space="preserve"> </w:t>
      </w:r>
      <w:r w:rsidRPr="00297812">
        <w:rPr>
          <w:rFonts w:ascii="Verdana" w:hAnsi="Verdana"/>
          <w:color w:val="auto"/>
          <w:spacing w:val="-1"/>
          <w:sz w:val="22"/>
          <w:szCs w:val="22"/>
        </w:rPr>
        <w:t>contract</w:t>
      </w:r>
      <w:r w:rsidRPr="00297812">
        <w:rPr>
          <w:rFonts w:ascii="Verdana" w:hAnsi="Verdana"/>
          <w:color w:val="auto"/>
          <w:spacing w:val="-2"/>
          <w:sz w:val="22"/>
          <w:szCs w:val="22"/>
        </w:rPr>
        <w:t xml:space="preserve"> </w:t>
      </w:r>
      <w:r w:rsidRPr="00297812">
        <w:rPr>
          <w:rFonts w:ascii="Verdana" w:hAnsi="Verdana"/>
          <w:color w:val="auto"/>
          <w:spacing w:val="-1"/>
          <w:sz w:val="22"/>
          <w:szCs w:val="22"/>
        </w:rPr>
        <w:t>shall</w:t>
      </w:r>
      <w:r w:rsidRPr="00297812">
        <w:rPr>
          <w:rFonts w:ascii="Verdana" w:hAnsi="Verdana"/>
          <w:color w:val="auto"/>
          <w:spacing w:val="-2"/>
          <w:sz w:val="22"/>
          <w:szCs w:val="22"/>
        </w:rPr>
        <w:t xml:space="preserve"> </w:t>
      </w:r>
      <w:r w:rsidRPr="00297812">
        <w:rPr>
          <w:rFonts w:ascii="Verdana" w:hAnsi="Verdana"/>
          <w:color w:val="auto"/>
          <w:spacing w:val="-1"/>
          <w:sz w:val="22"/>
          <w:szCs w:val="22"/>
        </w:rPr>
        <w:t>bind</w:t>
      </w:r>
      <w:r w:rsidRPr="00297812">
        <w:rPr>
          <w:rFonts w:ascii="Verdana" w:hAnsi="Verdana"/>
          <w:color w:val="auto"/>
          <w:spacing w:val="-2"/>
          <w:sz w:val="22"/>
          <w:szCs w:val="22"/>
        </w:rPr>
        <w:t xml:space="preserve"> </w:t>
      </w:r>
      <w:r w:rsidR="00603CC6">
        <w:rPr>
          <w:rFonts w:ascii="Verdana" w:hAnsi="Verdana"/>
          <w:color w:val="auto"/>
          <w:spacing w:val="-1"/>
          <w:sz w:val="22"/>
          <w:szCs w:val="22"/>
        </w:rPr>
        <w:t xml:space="preserve">THE OLD BANK CAMELFORD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9689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D478B4" w:rsidRPr="00297812">
              <w:rPr>
                <w:rFonts w:ascii="Verdana" w:eastAsia="Calibri" w:hAnsi="Verdana"/>
                <w:sz w:val="22"/>
                <w:szCs w:val="22"/>
                <w:lang w:eastAsia="en-US"/>
              </w:rPr>
              <w:t>.1</w:t>
            </w:r>
            <w:r w:rsidR="00F33591" w:rsidRPr="00297812">
              <w:rPr>
                <w:rFonts w:ascii="Verdana" w:eastAsia="Calibri" w:hAnsi="Verdana"/>
                <w:sz w:val="22"/>
                <w:szCs w:val="22"/>
                <w:lang w:eastAsia="en-US"/>
              </w:rPr>
              <w:t xml:space="preserve"> </w:t>
            </w:r>
            <w:r w:rsidR="00AC3C13" w:rsidRPr="0029781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297812" w:rsidRDefault="00D478B4"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Acceptable covering letter including confirmation o</w:t>
            </w:r>
            <w:r w:rsidR="00043839" w:rsidRPr="00297812">
              <w:rPr>
                <w:rFonts w:ascii="Verdana" w:eastAsia="Calibri" w:hAnsi="Verdana"/>
                <w:sz w:val="22"/>
                <w:szCs w:val="22"/>
                <w:lang w:eastAsia="en-US"/>
              </w:rPr>
              <w:t xml:space="preserve">f the requirements detailed at </w:t>
            </w:r>
            <w:r w:rsidR="00E878B2" w:rsidRPr="00297812">
              <w:rPr>
                <w:rFonts w:ascii="Verdana" w:eastAsia="Calibri" w:hAnsi="Verdana"/>
                <w:sz w:val="22"/>
                <w:szCs w:val="22"/>
                <w:lang w:eastAsia="en-US"/>
              </w:rPr>
              <w:t>6</w:t>
            </w:r>
            <w:r w:rsidRPr="0029781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1EE26B3"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CB0724" w:rsidRPr="00297812">
              <w:rPr>
                <w:rFonts w:ascii="Verdana" w:eastAsia="Calibri" w:hAnsi="Verdana"/>
                <w:sz w:val="22"/>
                <w:szCs w:val="22"/>
                <w:lang w:eastAsia="en-US"/>
              </w:rPr>
              <w:t>.</w:t>
            </w:r>
            <w:r w:rsidR="00F33591" w:rsidRPr="00297812">
              <w:rPr>
                <w:rFonts w:ascii="Verdana" w:eastAsia="Calibri" w:hAnsi="Verdana"/>
                <w:sz w:val="22"/>
                <w:szCs w:val="22"/>
                <w:lang w:eastAsia="en-US"/>
              </w:rPr>
              <w:t xml:space="preserve">2 </w:t>
            </w:r>
            <w:r w:rsidR="00297812" w:rsidRPr="00297812">
              <w:rPr>
                <w:rFonts w:ascii="Verdana" w:eastAsia="Calibri" w:hAnsi="Verdana"/>
                <w:sz w:val="22"/>
                <w:szCs w:val="22"/>
                <w:lang w:eastAsia="en-US"/>
              </w:rPr>
              <w:t>Previous project examples</w:t>
            </w:r>
          </w:p>
        </w:tc>
        <w:tc>
          <w:tcPr>
            <w:tcW w:w="916" w:type="dxa"/>
            <w:shd w:val="clear" w:color="auto" w:fill="D9D9D9"/>
          </w:tcPr>
          <w:p w14:paraId="28461C28" w14:textId="0A4503C6" w:rsidR="00AC3C13"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169C9CE1" w14:textId="77777777" w:rsidTr="00672083">
        <w:tc>
          <w:tcPr>
            <w:tcW w:w="8222" w:type="dxa"/>
            <w:shd w:val="clear" w:color="auto" w:fill="auto"/>
          </w:tcPr>
          <w:p w14:paraId="7D122B72" w14:textId="506383EC" w:rsidR="001F725E" w:rsidRPr="00297812" w:rsidRDefault="00297812" w:rsidP="006268C8">
            <w:pPr>
              <w:widowControl/>
              <w:autoSpaceDE/>
              <w:autoSpaceDN/>
              <w:adjustRightInd/>
              <w:contextualSpacing/>
              <w:rPr>
                <w:rFonts w:ascii="Verdana" w:hAnsi="Verdana" w:cstheme="majorHAnsi"/>
                <w:sz w:val="22"/>
                <w:szCs w:val="22"/>
              </w:rPr>
            </w:pPr>
            <w:r w:rsidRPr="00297812">
              <w:rPr>
                <w:rFonts w:ascii="Verdana" w:hAnsi="Verdana" w:cstheme="majorHAnsi"/>
                <w:sz w:val="22"/>
                <w:szCs w:val="22"/>
              </w:rPr>
              <w:t>Provide two examples of previous projects which you feel demonstrate your ability to deliver this type of project. (maximum 1 page of A4 per example).</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22AB8D2E"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155205" w:rsidRPr="00297812">
              <w:rPr>
                <w:rFonts w:ascii="Verdana" w:eastAsia="Calibri" w:hAnsi="Verdana"/>
                <w:sz w:val="22"/>
                <w:szCs w:val="22"/>
                <w:lang w:eastAsia="en-US"/>
              </w:rPr>
              <w:t>.3</w:t>
            </w:r>
            <w:r w:rsidR="00297812">
              <w:rPr>
                <w:rFonts w:ascii="Verdana" w:eastAsia="Calibri" w:hAnsi="Verdana"/>
                <w:sz w:val="22"/>
                <w:szCs w:val="22"/>
                <w:lang w:eastAsia="en-US"/>
              </w:rPr>
              <w:t xml:space="preserve"> Experience</w:t>
            </w:r>
          </w:p>
        </w:tc>
        <w:tc>
          <w:tcPr>
            <w:tcW w:w="916" w:type="dxa"/>
            <w:shd w:val="clear" w:color="auto" w:fill="D9D9D9"/>
          </w:tcPr>
          <w:p w14:paraId="229A6ECB" w14:textId="05ECCF58" w:rsidR="00AC3C13"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672083">
        <w:tc>
          <w:tcPr>
            <w:tcW w:w="8222" w:type="dxa"/>
          </w:tcPr>
          <w:p w14:paraId="2342A130" w14:textId="70D8E76B" w:rsidR="00B52E8E" w:rsidRPr="00297812" w:rsidRDefault="00297812"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Provide experience of the project manager and the senior tradesm</w:t>
            </w:r>
            <w:r>
              <w:rPr>
                <w:rFonts w:ascii="Verdana" w:eastAsia="Calibri" w:hAnsi="Verdana"/>
                <w:sz w:val="22"/>
                <w:szCs w:val="22"/>
                <w:lang w:eastAsia="en-US"/>
              </w:rPr>
              <w:t>en</w:t>
            </w:r>
            <w:r w:rsidRPr="00297812">
              <w:rPr>
                <w:rFonts w:ascii="Verdana" w:eastAsia="Calibri" w:hAnsi="Verdana"/>
                <w:sz w:val="22"/>
                <w:szCs w:val="22"/>
                <w:lang w:eastAsia="en-US"/>
              </w:rPr>
              <w:t xml:space="preserve"> which demonstrates their building experience. (maximum 1 page of A4 per example).</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760D82" w:rsidRPr="00297812">
              <w:rPr>
                <w:rFonts w:ascii="Verdana" w:eastAsia="Calibri" w:hAnsi="Verdana"/>
                <w:sz w:val="22"/>
                <w:szCs w:val="22"/>
                <w:lang w:eastAsia="en-US"/>
              </w:rPr>
              <w:t>.4 Budget</w:t>
            </w:r>
          </w:p>
        </w:tc>
        <w:tc>
          <w:tcPr>
            <w:tcW w:w="916" w:type="dxa"/>
            <w:shd w:val="clear" w:color="auto" w:fill="D9D9D9"/>
          </w:tcPr>
          <w:p w14:paraId="087D7062" w14:textId="62D6ADB3" w:rsidR="00760D82"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760D82" w:rsidRPr="00421CBC" w14:paraId="0A2A4EC2" w14:textId="77777777" w:rsidTr="00672083">
        <w:tc>
          <w:tcPr>
            <w:tcW w:w="8222" w:type="dxa"/>
          </w:tcPr>
          <w:p w14:paraId="59E4C351" w14:textId="77777777" w:rsidR="001F725E" w:rsidRPr="00297812" w:rsidRDefault="001F725E" w:rsidP="006268C8">
            <w:pPr>
              <w:widowControl/>
              <w:autoSpaceDE/>
              <w:autoSpaceDN/>
              <w:adjustRightInd/>
              <w:contextualSpacing/>
              <w:rPr>
                <w:rFonts w:ascii="Verdana" w:hAnsi="Verdana" w:cstheme="majorHAnsi"/>
                <w:sz w:val="22"/>
                <w:szCs w:val="22"/>
              </w:rPr>
            </w:pPr>
            <w:r w:rsidRPr="00297812">
              <w:rPr>
                <w:rFonts w:ascii="Verdana" w:hAnsi="Verdana" w:cstheme="majorHAnsi"/>
                <w:sz w:val="22"/>
                <w:szCs w:val="22"/>
              </w:rPr>
              <w:t xml:space="preserve">A </w:t>
            </w:r>
            <w:r w:rsidRPr="00297812">
              <w:rPr>
                <w:rFonts w:ascii="Verdana" w:hAnsi="Verdana" w:cstheme="majorHAnsi"/>
                <w:b/>
                <w:bCs/>
                <w:sz w:val="22"/>
                <w:szCs w:val="22"/>
              </w:rPr>
              <w:t>fixed fee</w:t>
            </w:r>
            <w:r w:rsidRPr="00297812">
              <w:rPr>
                <w:rFonts w:ascii="Verdana" w:hAnsi="Verdana" w:cstheme="majorHAnsi"/>
                <w:sz w:val="22"/>
                <w:szCs w:val="22"/>
              </w:rPr>
              <w:t xml:space="preserve"> for this work</w:t>
            </w:r>
            <w:r w:rsidR="008B50E7" w:rsidRPr="00297812">
              <w:rPr>
                <w:rFonts w:ascii="Verdana" w:hAnsi="Verdana" w:cstheme="majorHAnsi"/>
                <w:sz w:val="22"/>
                <w:szCs w:val="22"/>
              </w:rPr>
              <w:t xml:space="preserve"> (</w:t>
            </w:r>
            <w:r w:rsidRPr="00297812">
              <w:rPr>
                <w:rFonts w:ascii="Verdana" w:hAnsi="Verdana" w:cstheme="majorHAnsi"/>
                <w:sz w:val="22"/>
                <w:szCs w:val="22"/>
              </w:rPr>
              <w:t>exc VAT</w:t>
            </w:r>
            <w:r w:rsidR="008B50E7" w:rsidRPr="00297812">
              <w:rPr>
                <w:rFonts w:ascii="Verdana" w:hAnsi="Verdana" w:cstheme="majorHAnsi"/>
                <w:sz w:val="22"/>
                <w:szCs w:val="22"/>
              </w:rPr>
              <w:t>)</w:t>
            </w:r>
            <w:r w:rsidRPr="00297812">
              <w:rPr>
                <w:rFonts w:ascii="Verdana" w:hAnsi="Verdana" w:cstheme="majorHAnsi"/>
                <w:sz w:val="22"/>
                <w:szCs w:val="22"/>
              </w:rPr>
              <w:t xml:space="preserve"> includ</w:t>
            </w:r>
            <w:r w:rsidR="008B50E7" w:rsidRPr="00297812">
              <w:rPr>
                <w:rFonts w:ascii="Verdana" w:hAnsi="Verdana" w:cstheme="majorHAnsi"/>
                <w:sz w:val="22"/>
                <w:szCs w:val="22"/>
              </w:rPr>
              <w:t>ing</w:t>
            </w:r>
            <w:r w:rsidRPr="00297812">
              <w:rPr>
                <w:rFonts w:ascii="Verdana" w:hAnsi="Verdana" w:cstheme="majorHAnsi"/>
                <w:sz w:val="22"/>
                <w:szCs w:val="22"/>
              </w:rPr>
              <w:t xml:space="preserve"> travel and other expenses</w:t>
            </w:r>
          </w:p>
          <w:p w14:paraId="3825E533" w14:textId="77777777" w:rsidR="00FA2CD2" w:rsidRPr="00297812" w:rsidRDefault="00FA2CD2" w:rsidP="006268C8">
            <w:pPr>
              <w:widowControl/>
              <w:autoSpaceDE/>
              <w:autoSpaceDN/>
              <w:adjustRightInd/>
              <w:spacing w:after="60"/>
              <w:rPr>
                <w:rFonts w:ascii="Verdana" w:eastAsia="Calibri" w:hAnsi="Verdana"/>
                <w:sz w:val="22"/>
                <w:szCs w:val="22"/>
                <w:lang w:eastAsia="en-US"/>
              </w:rPr>
            </w:pPr>
          </w:p>
          <w:p w14:paraId="20D6A926" w14:textId="47A3078B" w:rsidR="00B52E8E" w:rsidRPr="00297812" w:rsidRDefault="008B50E7"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The</w:t>
            </w:r>
            <w:r w:rsidR="00760D82" w:rsidRPr="00297812">
              <w:rPr>
                <w:rFonts w:ascii="Verdana" w:eastAsia="Calibri" w:hAnsi="Verdana"/>
                <w:sz w:val="22"/>
                <w:szCs w:val="22"/>
                <w:lang w:eastAsia="en-US"/>
              </w:rPr>
              <w:t xml:space="preserve"> lowest bid will be awarded the full </w:t>
            </w:r>
            <w:r w:rsidR="00297812">
              <w:rPr>
                <w:rFonts w:ascii="Verdana" w:eastAsia="Calibri" w:hAnsi="Verdana"/>
                <w:sz w:val="22"/>
                <w:szCs w:val="22"/>
                <w:lang w:eastAsia="en-US"/>
              </w:rPr>
              <w:t>40</w:t>
            </w:r>
            <w:r w:rsidR="003B0C18" w:rsidRPr="00297812">
              <w:rPr>
                <w:rFonts w:ascii="Verdana" w:eastAsia="Calibri" w:hAnsi="Verdana"/>
                <w:sz w:val="22"/>
                <w:szCs w:val="22"/>
                <w:lang w:eastAsia="en-US"/>
              </w:rPr>
              <w:t xml:space="preserve"> </w:t>
            </w:r>
            <w:r w:rsidR="00760D82" w:rsidRPr="00297812">
              <w:rPr>
                <w:rFonts w:ascii="Verdana" w:eastAsia="Calibri" w:hAnsi="Verdana"/>
                <w:sz w:val="22"/>
                <w:szCs w:val="22"/>
                <w:lang w:eastAsia="en-US"/>
              </w:rPr>
              <w:t>marks. Other bids will be awarded a mark that is proportionate to the level of their bid in c</w:t>
            </w:r>
            <w:r w:rsidRPr="00297812">
              <w:rPr>
                <w:rFonts w:ascii="Verdana" w:eastAsia="Calibri" w:hAnsi="Verdana"/>
                <w:sz w:val="22"/>
                <w:szCs w:val="22"/>
                <w:lang w:eastAsia="en-US"/>
              </w:rPr>
              <w:t xml:space="preserve">omparison to the lowest bid i.e. </w:t>
            </w:r>
            <w:r w:rsidR="00760D82" w:rsidRPr="00297812">
              <w:rPr>
                <w:rFonts w:ascii="Verdana" w:eastAsia="Calibri" w:hAnsi="Verdana"/>
                <w:sz w:val="22"/>
                <w:szCs w:val="22"/>
                <w:lang w:eastAsia="en-US"/>
              </w:rPr>
              <w:t xml:space="preserve">Marks awarded = </w:t>
            </w:r>
            <w:r w:rsidR="00297812">
              <w:rPr>
                <w:rFonts w:ascii="Verdana" w:eastAsia="Calibri" w:hAnsi="Verdana"/>
                <w:sz w:val="22"/>
                <w:szCs w:val="22"/>
                <w:lang w:eastAsia="en-US"/>
              </w:rPr>
              <w:t>40</w:t>
            </w:r>
            <w:r w:rsidR="00760D82" w:rsidRPr="00297812">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Above average demonstration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F4F7940" w:rsidR="006C33DF" w:rsidRPr="00297812" w:rsidRDefault="00944CA5"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During the tender assessment period, </w:t>
      </w:r>
      <w:r w:rsidR="00603CC6">
        <w:rPr>
          <w:rFonts w:ascii="Verdana" w:hAnsi="Verdana"/>
          <w:color w:val="auto"/>
          <w:sz w:val="22"/>
          <w:szCs w:val="22"/>
        </w:rPr>
        <w:t>THE OLD BANK CAMELFORD</w:t>
      </w:r>
      <w:r w:rsidRPr="00297812">
        <w:rPr>
          <w:rFonts w:ascii="Verdana" w:hAnsi="Verdana"/>
          <w:color w:val="auto"/>
          <w:sz w:val="22"/>
          <w:szCs w:val="22"/>
        </w:rPr>
        <w:t xml:space="preserve"> reserves the right to seek clarification in writing from the tenderers, to assist it in it</w:t>
      </w:r>
      <w:r w:rsidR="006C33DF" w:rsidRPr="00297812">
        <w:rPr>
          <w:rFonts w:ascii="Verdana" w:hAnsi="Verdana"/>
          <w:color w:val="auto"/>
          <w:sz w:val="22"/>
          <w:szCs w:val="22"/>
        </w:rPr>
        <w:t xml:space="preserve">s consideration of the tender. </w:t>
      </w:r>
      <w:r w:rsidRPr="00297812">
        <w:rPr>
          <w:rFonts w:ascii="Verdana" w:hAnsi="Verdana"/>
          <w:color w:val="auto"/>
          <w:sz w:val="22"/>
          <w:szCs w:val="22"/>
        </w:rPr>
        <w:t>Tenders will be evaluated to determine the most economically advantageous offer taking into consideration the award criteria weightings in the table above.</w:t>
      </w:r>
      <w:r w:rsidR="006C33DF" w:rsidRPr="00297812">
        <w:rPr>
          <w:rFonts w:ascii="Verdana" w:hAnsi="Verdana"/>
          <w:color w:val="auto"/>
          <w:sz w:val="22"/>
          <w:szCs w:val="22"/>
        </w:rPr>
        <w:t xml:space="preserve"> </w:t>
      </w:r>
    </w:p>
    <w:p w14:paraId="339EB6F3" w14:textId="77777777" w:rsidR="006C33DF" w:rsidRPr="00297812" w:rsidRDefault="006C33DF" w:rsidP="006268C8">
      <w:pPr>
        <w:pStyle w:val="Default"/>
        <w:spacing w:before="60" w:after="60"/>
        <w:rPr>
          <w:rFonts w:ascii="Verdana" w:hAnsi="Verdana"/>
          <w:color w:val="auto"/>
          <w:sz w:val="22"/>
          <w:szCs w:val="22"/>
        </w:rPr>
      </w:pPr>
    </w:p>
    <w:p w14:paraId="6ADD5F0B" w14:textId="78089D65" w:rsidR="00944CA5" w:rsidRPr="00297812" w:rsidRDefault="00603CC6" w:rsidP="006268C8">
      <w:pPr>
        <w:pStyle w:val="Default"/>
        <w:spacing w:before="60" w:after="60"/>
        <w:rPr>
          <w:rFonts w:ascii="Verdana" w:hAnsi="Verdana"/>
          <w:color w:val="auto"/>
          <w:sz w:val="22"/>
          <w:szCs w:val="22"/>
        </w:rPr>
      </w:pPr>
      <w:r>
        <w:rPr>
          <w:rFonts w:ascii="Verdana" w:hAnsi="Verdana"/>
          <w:color w:val="auto"/>
          <w:sz w:val="22"/>
          <w:szCs w:val="22"/>
        </w:rPr>
        <w:t>THE OLD BANK CAMELFORD</w:t>
      </w:r>
      <w:r w:rsidR="00C02883">
        <w:rPr>
          <w:rFonts w:ascii="Verdana" w:hAnsi="Verdana"/>
          <w:color w:val="auto"/>
          <w:sz w:val="22"/>
          <w:szCs w:val="22"/>
        </w:rPr>
        <w:t xml:space="preserve"> </w:t>
      </w:r>
      <w:r w:rsidR="00944CA5" w:rsidRPr="00297812">
        <w:rPr>
          <w:rFonts w:ascii="Verdana" w:hAnsi="Verdana"/>
          <w:color w:val="auto"/>
          <w:sz w:val="22"/>
          <w:szCs w:val="22"/>
        </w:rPr>
        <w:t xml:space="preserve">is not bound to accept the lowest price or any tender. </w:t>
      </w:r>
      <w:r>
        <w:rPr>
          <w:rFonts w:ascii="Verdana" w:hAnsi="Verdana"/>
          <w:color w:val="auto"/>
          <w:sz w:val="22"/>
          <w:szCs w:val="22"/>
        </w:rPr>
        <w:t>THE OLD BANK CAMELFORD</w:t>
      </w:r>
      <w:r w:rsidR="00944CA5" w:rsidRPr="00297812">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THE OLD BANK CAMELFORD</w:t>
      </w:r>
      <w:r w:rsidR="00944CA5" w:rsidRPr="00297812">
        <w:rPr>
          <w:rFonts w:ascii="Verdana" w:hAnsi="Verdana"/>
          <w:color w:val="auto"/>
          <w:sz w:val="22"/>
          <w:szCs w:val="22"/>
        </w:rPr>
        <w:t xml:space="preserve">’s internal procedures and </w:t>
      </w:r>
      <w:r>
        <w:rPr>
          <w:rFonts w:ascii="Verdana" w:hAnsi="Verdana"/>
          <w:color w:val="auto"/>
          <w:sz w:val="22"/>
          <w:szCs w:val="22"/>
        </w:rPr>
        <w:t xml:space="preserve">THE OLD BANK CAMELFORD </w:t>
      </w:r>
      <w:r w:rsidR="00944CA5" w:rsidRPr="00297812">
        <w:rPr>
          <w:rFonts w:ascii="Verdana" w:hAnsi="Verdana"/>
          <w:color w:val="auto"/>
          <w:sz w:val="22"/>
          <w:szCs w:val="22"/>
        </w:rPr>
        <w:t>being able to proceed.</w:t>
      </w:r>
    </w:p>
    <w:p w14:paraId="49940FDF" w14:textId="77777777" w:rsidR="00043839" w:rsidRPr="00297812"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08C9B69D" w:rsidR="009E5BAE" w:rsidRPr="004E6813"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w:t>
      </w:r>
      <w:r w:rsidR="00D24728">
        <w:rPr>
          <w:rFonts w:ascii="Verdana" w:eastAsia="Calibri" w:hAnsi="Verdana"/>
          <w:sz w:val="22"/>
          <w:szCs w:val="22"/>
          <w:lang w:eastAsia="en-US"/>
        </w:rPr>
        <w:t xml:space="preserve">encompass this ITT </w:t>
      </w:r>
      <w:r w:rsidR="00D24728" w:rsidRPr="004E6813">
        <w:rPr>
          <w:rFonts w:ascii="Verdana" w:eastAsia="Calibri" w:hAnsi="Verdana"/>
          <w:sz w:val="22"/>
          <w:szCs w:val="22"/>
          <w:lang w:eastAsia="en-US"/>
        </w:rPr>
        <w:t xml:space="preserve">and your response and </w:t>
      </w:r>
      <w:r w:rsidR="00C02883" w:rsidRPr="004E6813">
        <w:rPr>
          <w:rFonts w:ascii="Verdana" w:eastAsia="Calibri" w:hAnsi="Verdana"/>
          <w:sz w:val="22"/>
          <w:szCs w:val="22"/>
          <w:lang w:eastAsia="en-US"/>
        </w:rPr>
        <w:t>will only</w:t>
      </w:r>
      <w:r w:rsidR="00D24728" w:rsidRPr="004E6813">
        <w:rPr>
          <w:rFonts w:ascii="Verdana" w:eastAsia="Calibri" w:hAnsi="Verdana"/>
          <w:sz w:val="22"/>
          <w:szCs w:val="22"/>
          <w:lang w:eastAsia="en-US"/>
        </w:rPr>
        <w:t xml:space="preserve"> proceed with the written authority of </w:t>
      </w:r>
      <w:r w:rsidR="00C02883">
        <w:rPr>
          <w:rFonts w:ascii="Verdana" w:eastAsia="Calibri" w:hAnsi="Verdana"/>
          <w:sz w:val="22"/>
          <w:szCs w:val="22"/>
          <w:lang w:eastAsia="en-US"/>
        </w:rPr>
        <w:t xml:space="preserve">the Chair of </w:t>
      </w:r>
      <w:r w:rsidR="00603CC6">
        <w:rPr>
          <w:rFonts w:ascii="Verdana" w:hAnsi="Verdana"/>
          <w:sz w:val="22"/>
          <w:szCs w:val="22"/>
        </w:rPr>
        <w:t>THE OLD BANK CAMELFORD</w:t>
      </w:r>
      <w:r w:rsidR="004E6813" w:rsidRPr="004E6813">
        <w:rPr>
          <w:rFonts w:ascii="Verdana" w:eastAsia="Calibri" w:hAnsi="Verdana"/>
          <w:sz w:val="22"/>
          <w:szCs w:val="22"/>
          <w:lang w:eastAsia="en-US"/>
        </w:rPr>
        <w:t>.</w:t>
      </w:r>
    </w:p>
    <w:p w14:paraId="72CF66F3" w14:textId="76AFE183" w:rsidR="00F241D3" w:rsidRPr="00043839" w:rsidRDefault="008048C0" w:rsidP="00E9689E">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9689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D5E4FBD" w14:textId="30488633" w:rsidR="00231011" w:rsidRPr="00C02883" w:rsidRDefault="00231011" w:rsidP="00C02883">
      <w:pPr>
        <w:pStyle w:val="Default"/>
        <w:spacing w:before="60" w:after="60"/>
        <w:rPr>
          <w:rFonts w:ascii="Verdana" w:hAnsi="Verdana"/>
          <w:sz w:val="22"/>
          <w:szCs w:val="22"/>
        </w:rPr>
      </w:pPr>
      <w:r w:rsidRPr="00C02883">
        <w:rPr>
          <w:rFonts w:ascii="Verdana" w:hAnsi="Verdana"/>
          <w:spacing w:val="-1"/>
          <w:sz w:val="22"/>
          <w:szCs w:val="22"/>
        </w:rPr>
        <w:lastRenderedPageBreak/>
        <w:t xml:space="preserve">Emailed tenders should be sent electronically to </w:t>
      </w:r>
      <w:hyperlink r:id="rId13" w:history="1">
        <w:r w:rsidR="00C02883" w:rsidRPr="00C02883">
          <w:rPr>
            <w:rStyle w:val="Hyperlink"/>
            <w:rFonts w:ascii="Verdana" w:hAnsi="Verdana" w:cs="Arial Narrow"/>
            <w:sz w:val="22"/>
            <w:szCs w:val="22"/>
          </w:rPr>
          <w:t>becca@oldbank.org.uk</w:t>
        </w:r>
      </w:hyperlink>
      <w:r w:rsidR="00C02883" w:rsidRPr="00C02883">
        <w:rPr>
          <w:rFonts w:ascii="Verdana" w:hAnsi="Verdana"/>
          <w:sz w:val="22"/>
          <w:szCs w:val="22"/>
        </w:rPr>
        <w:t xml:space="preserve"> </w:t>
      </w:r>
      <w:r w:rsidRPr="00C02883">
        <w:rPr>
          <w:rFonts w:ascii="Verdana" w:hAnsi="Verdana"/>
          <w:spacing w:val="-1"/>
          <w:sz w:val="22"/>
          <w:szCs w:val="22"/>
        </w:rPr>
        <w:t>with the following message clearly noted in the Subject box; ‘</w:t>
      </w:r>
      <w:r w:rsidR="006B7AF2" w:rsidRPr="00C02883">
        <w:rPr>
          <w:rFonts w:ascii="Verdana" w:hAnsi="Verdana"/>
          <w:spacing w:val="-1"/>
          <w:sz w:val="22"/>
          <w:szCs w:val="22"/>
        </w:rPr>
        <w:t xml:space="preserve">Refurbishment of </w:t>
      </w:r>
      <w:r w:rsidR="00C02883">
        <w:rPr>
          <w:rFonts w:ascii="Verdana" w:hAnsi="Verdana"/>
          <w:spacing w:val="-1"/>
          <w:sz w:val="22"/>
          <w:szCs w:val="22"/>
        </w:rPr>
        <w:t xml:space="preserve">The Old Bank Camelford.’ </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67DE1DD0" w14:textId="77777777" w:rsidR="00C02883" w:rsidRDefault="00C02883" w:rsidP="00E9689E">
      <w:pPr>
        <w:pStyle w:val="Heading1"/>
      </w:pPr>
    </w:p>
    <w:p w14:paraId="31FB90AE" w14:textId="77777777" w:rsidR="00C02883" w:rsidRDefault="00C02883" w:rsidP="00E9689E">
      <w:pPr>
        <w:pStyle w:val="Heading1"/>
      </w:pPr>
    </w:p>
    <w:p w14:paraId="3178A986" w14:textId="4F2AA4A8" w:rsidR="00F241D3" w:rsidRPr="00043839" w:rsidRDefault="00457AFE" w:rsidP="00E9689E">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68319BA" w:rsidR="00F241D3" w:rsidRPr="00D24728"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The issue of this documentation does not commit </w:t>
      </w:r>
      <w:r w:rsidR="00603CC6">
        <w:rPr>
          <w:rFonts w:ascii="Verdana" w:hAnsi="Verdana"/>
          <w:color w:val="auto"/>
          <w:sz w:val="22"/>
          <w:szCs w:val="22"/>
        </w:rPr>
        <w:t>THE OLD BANK CAMELFORD</w:t>
      </w:r>
      <w:r w:rsidR="00FC0A24" w:rsidRPr="00D24728">
        <w:rPr>
          <w:rFonts w:ascii="Verdana" w:hAnsi="Verdana"/>
          <w:color w:val="auto"/>
          <w:sz w:val="22"/>
          <w:szCs w:val="22"/>
        </w:rPr>
        <w:t xml:space="preserve"> </w:t>
      </w:r>
      <w:r w:rsidRPr="00D2472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03CC6">
        <w:rPr>
          <w:rFonts w:ascii="Verdana" w:hAnsi="Verdana"/>
          <w:color w:val="auto"/>
          <w:sz w:val="22"/>
          <w:szCs w:val="22"/>
        </w:rPr>
        <w:t>THE OLD BANK CAMELFORD</w:t>
      </w:r>
      <w:r w:rsidRPr="00D24728">
        <w:rPr>
          <w:rFonts w:ascii="Verdana" w:hAnsi="Verdana"/>
          <w:color w:val="auto"/>
          <w:sz w:val="22"/>
          <w:szCs w:val="22"/>
        </w:rPr>
        <w:t xml:space="preserve"> or its agents and any other party, or any part thereof, shall be taken as constituting a contract, agreement or representation between </w:t>
      </w:r>
      <w:r w:rsidR="00603CC6">
        <w:rPr>
          <w:rFonts w:ascii="Verdana" w:hAnsi="Verdana"/>
          <w:color w:val="auto"/>
          <w:sz w:val="22"/>
          <w:szCs w:val="22"/>
        </w:rPr>
        <w:t>THE OLD BANK CAMELFORD</w:t>
      </w:r>
      <w:r w:rsidRPr="00D24728">
        <w:rPr>
          <w:rFonts w:ascii="Verdana" w:hAnsi="Verdana"/>
          <w:color w:val="auto"/>
          <w:sz w:val="22"/>
          <w:szCs w:val="22"/>
        </w:rPr>
        <w:t xml:space="preserve"> and any other party (save for a formal award of contract made in writing by </w:t>
      </w:r>
      <w:r w:rsidR="00603CC6">
        <w:rPr>
          <w:rFonts w:ascii="Verdana" w:hAnsi="Verdana"/>
          <w:color w:val="auto"/>
          <w:sz w:val="22"/>
          <w:szCs w:val="22"/>
        </w:rPr>
        <w:t>THE OLD BANK CAMELFORD</w:t>
      </w:r>
      <w:r w:rsidR="00FC0A24" w:rsidRPr="00D24728">
        <w:rPr>
          <w:rFonts w:ascii="Verdana" w:hAnsi="Verdana"/>
          <w:color w:val="auto"/>
          <w:sz w:val="22"/>
          <w:szCs w:val="22"/>
        </w:rPr>
        <w:t xml:space="preserve"> </w:t>
      </w:r>
      <w:r w:rsidRPr="00D24728">
        <w:rPr>
          <w:rFonts w:ascii="Verdana" w:hAnsi="Verdana"/>
          <w:color w:val="auto"/>
          <w:sz w:val="22"/>
          <w:szCs w:val="22"/>
        </w:rPr>
        <w:t xml:space="preserve">or on behalf of </w:t>
      </w:r>
      <w:r w:rsidR="00603CC6">
        <w:rPr>
          <w:rFonts w:ascii="Verdana" w:hAnsi="Verdana"/>
          <w:color w:val="auto"/>
          <w:sz w:val="22"/>
          <w:szCs w:val="22"/>
        </w:rPr>
        <w:t>THE OLD BANK CAMELFORD</w:t>
      </w:r>
      <w:r w:rsidRPr="00D24728">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3A57DE61" w:rsidR="00F241D3" w:rsidRPr="00043839"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03CC6">
        <w:rPr>
          <w:rFonts w:ascii="Verdana" w:hAnsi="Verdana"/>
          <w:color w:val="auto"/>
          <w:sz w:val="22"/>
          <w:szCs w:val="22"/>
        </w:rPr>
        <w:t xml:space="preserve">THE OLD BANK </w:t>
      </w:r>
      <w:r w:rsidR="00C02883">
        <w:rPr>
          <w:rFonts w:ascii="Verdana" w:hAnsi="Verdana"/>
          <w:color w:val="auto"/>
          <w:sz w:val="22"/>
          <w:szCs w:val="22"/>
        </w:rPr>
        <w:t>CAMELFORD,</w:t>
      </w:r>
      <w:r w:rsidRPr="00D24728">
        <w:rPr>
          <w:rFonts w:ascii="Verdana" w:hAnsi="Verdana"/>
          <w:color w:val="auto"/>
          <w:sz w:val="22"/>
          <w:szCs w:val="22"/>
        </w:rPr>
        <w:t xml:space="preserve"> or any information contained in </w:t>
      </w:r>
      <w:r w:rsidR="00603CC6">
        <w:rPr>
          <w:rFonts w:ascii="Verdana" w:hAnsi="Verdana"/>
          <w:color w:val="auto"/>
          <w:sz w:val="22"/>
          <w:szCs w:val="22"/>
        </w:rPr>
        <w:t>THE OLD BANK CAMELFORD</w:t>
      </w:r>
      <w:r w:rsidRPr="00D2472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03CC6">
        <w:rPr>
          <w:rFonts w:ascii="Verdana" w:hAnsi="Verdana"/>
          <w:color w:val="auto"/>
          <w:sz w:val="22"/>
          <w:szCs w:val="22"/>
        </w:rPr>
        <w:t>THE OLD BANK CAMELFORD</w:t>
      </w:r>
      <w:r w:rsidRPr="00D24728">
        <w:rPr>
          <w:rFonts w:ascii="Verdana" w:hAnsi="Verdana"/>
          <w:color w:val="auto"/>
          <w:sz w:val="22"/>
          <w:szCs w:val="22"/>
        </w:rPr>
        <w:t xml:space="preserve"> for any loss or damage of whatever kind and howsoever caused arising from the use by tenderers of such information</w:t>
      </w:r>
      <w:r w:rsidRPr="00043839">
        <w:rPr>
          <w:rFonts w:ascii="Verdana" w:hAnsi="Verdana"/>
          <w:color w:val="auto"/>
          <w:sz w:val="22"/>
          <w:szCs w:val="22"/>
        </w:rPr>
        <w:t>.</w:t>
      </w:r>
    </w:p>
    <w:p w14:paraId="425E4F33" w14:textId="77777777" w:rsidR="00F241D3" w:rsidRPr="00043839" w:rsidRDefault="00F241D3" w:rsidP="006268C8">
      <w:pPr>
        <w:pStyle w:val="BodyText"/>
        <w:kinsoku w:val="0"/>
        <w:overflowPunct w:val="0"/>
        <w:spacing w:before="3"/>
        <w:ind w:left="0" w:firstLine="0"/>
      </w:pPr>
    </w:p>
    <w:p w14:paraId="371141ED" w14:textId="73724561" w:rsidR="00F241D3" w:rsidRPr="00D24728" w:rsidRDefault="00603CC6" w:rsidP="006268C8">
      <w:pPr>
        <w:pStyle w:val="Default"/>
        <w:spacing w:before="60" w:after="60"/>
        <w:rPr>
          <w:rFonts w:ascii="Verdana" w:hAnsi="Verdana"/>
          <w:color w:val="auto"/>
          <w:sz w:val="22"/>
          <w:szCs w:val="22"/>
        </w:rPr>
      </w:pPr>
      <w:r>
        <w:rPr>
          <w:rFonts w:ascii="Verdana" w:hAnsi="Verdana"/>
          <w:color w:val="auto"/>
          <w:sz w:val="22"/>
          <w:szCs w:val="22"/>
        </w:rPr>
        <w:t>THE OLD BANK CAMELFORD</w:t>
      </w:r>
      <w:r w:rsidR="00F241D3" w:rsidRPr="00D24728">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24728" w:rsidRDefault="00F241D3" w:rsidP="006268C8">
      <w:pPr>
        <w:pStyle w:val="BodyText"/>
        <w:kinsoku w:val="0"/>
        <w:overflowPunct w:val="0"/>
        <w:spacing w:before="6"/>
        <w:ind w:left="0" w:firstLine="0"/>
      </w:pPr>
    </w:p>
    <w:p w14:paraId="21B21F84" w14:textId="084005AA" w:rsidR="00F241D3" w:rsidRPr="00D24728"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Cancellation of the procurement process (at any time) under any circumstances will not render </w:t>
      </w:r>
      <w:r w:rsidR="00603CC6">
        <w:rPr>
          <w:rFonts w:ascii="Verdana" w:hAnsi="Verdana"/>
          <w:color w:val="auto"/>
          <w:sz w:val="22"/>
          <w:szCs w:val="22"/>
        </w:rPr>
        <w:t>THE OLD BANK CAMELFORD</w:t>
      </w:r>
      <w:r w:rsidRPr="00D24728">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E1F965B" w14:textId="4CD801B7" w:rsidR="006B7AF2" w:rsidRPr="006B7AF2" w:rsidRDefault="006B7AF2" w:rsidP="006B7AF2">
      <w:pPr>
        <w:rPr>
          <w:rFonts w:ascii="Verdana" w:hAnsi="Verdana"/>
          <w:sz w:val="22"/>
          <w:szCs w:val="22"/>
        </w:rPr>
      </w:pPr>
    </w:p>
    <w:p w14:paraId="64B37359" w14:textId="77777777" w:rsidR="00F241D3" w:rsidRPr="00421CBC" w:rsidRDefault="00F241D3" w:rsidP="006268C8">
      <w:pPr>
        <w:ind w:left="480"/>
        <w:rPr>
          <w:rFonts w:ascii="Verdana" w:hAnsi="Verdana"/>
          <w:color w:val="FF0000"/>
          <w:sz w:val="22"/>
          <w:szCs w:val="22"/>
        </w:rPr>
      </w:pPr>
    </w:p>
    <w:sectPr w:rsidR="00F241D3"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BD72" w14:textId="77777777" w:rsidR="00580147" w:rsidRDefault="00580147">
      <w:r>
        <w:separator/>
      </w:r>
    </w:p>
  </w:endnote>
  <w:endnote w:type="continuationSeparator" w:id="0">
    <w:p w14:paraId="24E14F1A" w14:textId="77777777" w:rsidR="00580147" w:rsidRDefault="0058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4C87" w14:textId="77777777" w:rsidR="00580147" w:rsidRDefault="00580147">
      <w:r>
        <w:separator/>
      </w:r>
    </w:p>
  </w:footnote>
  <w:footnote w:type="continuationSeparator" w:id="0">
    <w:p w14:paraId="2F9688F7" w14:textId="77777777" w:rsidR="00580147" w:rsidRDefault="0058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F16C7B">
              <wp:simplePos x="0" y="0"/>
              <wp:positionH relativeFrom="page">
                <wp:posOffset>0</wp:posOffset>
              </wp:positionH>
              <wp:positionV relativeFrom="page">
                <wp:posOffset>190500</wp:posOffset>
              </wp:positionV>
              <wp:extent cx="7564582" cy="261257"/>
              <wp:effectExtent l="0" t="0" r="0" b="5715"/>
              <wp:wrapNone/>
              <wp:docPr id="2" name="MSIPCMd77048f1820a0f47ca0b920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E8CC388"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d77048f1820a0f47ca0b920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E8CC388"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B1EB672">
              <wp:simplePos x="0" y="0"/>
              <wp:positionH relativeFrom="page">
                <wp:posOffset>0</wp:posOffset>
              </wp:positionH>
              <wp:positionV relativeFrom="page">
                <wp:posOffset>190500</wp:posOffset>
              </wp:positionV>
              <wp:extent cx="7564582" cy="261257"/>
              <wp:effectExtent l="0" t="0" r="0" b="5715"/>
              <wp:wrapNone/>
              <wp:docPr id="3" name="MSIPCMa6c34a38b073ae9788e90999"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83D1F6B"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a6c34a38b073ae9788e90999"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83D1F6B"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2C"/>
    <w:multiLevelType w:val="hybridMultilevel"/>
    <w:tmpl w:val="75E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05E4A"/>
    <w:multiLevelType w:val="hybridMultilevel"/>
    <w:tmpl w:val="6C405558"/>
    <w:lvl w:ilvl="0" w:tplc="783026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369366A7"/>
    <w:multiLevelType w:val="hybridMultilevel"/>
    <w:tmpl w:val="E5E08654"/>
    <w:lvl w:ilvl="0" w:tplc="08090019">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3C414B19"/>
    <w:multiLevelType w:val="hybridMultilevel"/>
    <w:tmpl w:val="6E60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D0B2A"/>
    <w:multiLevelType w:val="hybridMultilevel"/>
    <w:tmpl w:val="0C3E1AC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7F2F0990"/>
    <w:multiLevelType w:val="hybridMultilevel"/>
    <w:tmpl w:val="C28E5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430546">
    <w:abstractNumId w:val="1"/>
  </w:num>
  <w:num w:numId="2" w16cid:durableId="472020471">
    <w:abstractNumId w:val="3"/>
  </w:num>
  <w:num w:numId="3" w16cid:durableId="17044634">
    <w:abstractNumId w:val="0"/>
  </w:num>
  <w:num w:numId="4" w16cid:durableId="2140487234">
    <w:abstractNumId w:val="2"/>
  </w:num>
  <w:num w:numId="5" w16cid:durableId="1171215694">
    <w:abstractNumId w:val="6"/>
  </w:num>
  <w:num w:numId="6" w16cid:durableId="2092893238">
    <w:abstractNumId w:val="5"/>
  </w:num>
  <w:num w:numId="7" w16cid:durableId="1786849768">
    <w:abstractNumId w:val="4"/>
  </w:num>
  <w:num w:numId="8" w16cid:durableId="17695445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2302"/>
    <w:rsid w:val="00183661"/>
    <w:rsid w:val="00192124"/>
    <w:rsid w:val="001A049B"/>
    <w:rsid w:val="001A247D"/>
    <w:rsid w:val="001B10A6"/>
    <w:rsid w:val="001B42D2"/>
    <w:rsid w:val="001C161F"/>
    <w:rsid w:val="001C39B5"/>
    <w:rsid w:val="001C4D88"/>
    <w:rsid w:val="001D157B"/>
    <w:rsid w:val="001D19DF"/>
    <w:rsid w:val="001E6A66"/>
    <w:rsid w:val="001F725E"/>
    <w:rsid w:val="002047C7"/>
    <w:rsid w:val="00205460"/>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97812"/>
    <w:rsid w:val="002B0F2D"/>
    <w:rsid w:val="002B122F"/>
    <w:rsid w:val="002C26F7"/>
    <w:rsid w:val="002C31F8"/>
    <w:rsid w:val="002C6BD0"/>
    <w:rsid w:val="002C7133"/>
    <w:rsid w:val="002D4526"/>
    <w:rsid w:val="002D6446"/>
    <w:rsid w:val="002E0116"/>
    <w:rsid w:val="002E24C0"/>
    <w:rsid w:val="002E2791"/>
    <w:rsid w:val="002E6D6A"/>
    <w:rsid w:val="002F6720"/>
    <w:rsid w:val="00302053"/>
    <w:rsid w:val="00313767"/>
    <w:rsid w:val="00314E92"/>
    <w:rsid w:val="0031501C"/>
    <w:rsid w:val="00322D60"/>
    <w:rsid w:val="00323542"/>
    <w:rsid w:val="003301CA"/>
    <w:rsid w:val="00331792"/>
    <w:rsid w:val="0033426E"/>
    <w:rsid w:val="00342A71"/>
    <w:rsid w:val="00342E2F"/>
    <w:rsid w:val="00351BF6"/>
    <w:rsid w:val="00353D49"/>
    <w:rsid w:val="0035641B"/>
    <w:rsid w:val="00357F8B"/>
    <w:rsid w:val="00365306"/>
    <w:rsid w:val="0037288C"/>
    <w:rsid w:val="00373C8D"/>
    <w:rsid w:val="003776FD"/>
    <w:rsid w:val="0038008C"/>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63D1"/>
    <w:rsid w:val="003F7852"/>
    <w:rsid w:val="004024C5"/>
    <w:rsid w:val="00414F26"/>
    <w:rsid w:val="00420711"/>
    <w:rsid w:val="00421CBC"/>
    <w:rsid w:val="00423134"/>
    <w:rsid w:val="00425385"/>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372"/>
    <w:rsid w:val="004D04DE"/>
    <w:rsid w:val="004D3ECC"/>
    <w:rsid w:val="004D55CF"/>
    <w:rsid w:val="004D743A"/>
    <w:rsid w:val="004E02A6"/>
    <w:rsid w:val="004E4A58"/>
    <w:rsid w:val="004E51A3"/>
    <w:rsid w:val="004E6813"/>
    <w:rsid w:val="004F2E6B"/>
    <w:rsid w:val="00501FAE"/>
    <w:rsid w:val="005079FC"/>
    <w:rsid w:val="00517C3B"/>
    <w:rsid w:val="00520EFC"/>
    <w:rsid w:val="0052395E"/>
    <w:rsid w:val="00527B57"/>
    <w:rsid w:val="0053109F"/>
    <w:rsid w:val="00534C07"/>
    <w:rsid w:val="00536BF5"/>
    <w:rsid w:val="005406ED"/>
    <w:rsid w:val="00540904"/>
    <w:rsid w:val="005412B9"/>
    <w:rsid w:val="00541428"/>
    <w:rsid w:val="0054167B"/>
    <w:rsid w:val="00541E3E"/>
    <w:rsid w:val="00546140"/>
    <w:rsid w:val="0055698E"/>
    <w:rsid w:val="00562BAA"/>
    <w:rsid w:val="0056303D"/>
    <w:rsid w:val="0056352F"/>
    <w:rsid w:val="00566F44"/>
    <w:rsid w:val="00580147"/>
    <w:rsid w:val="00583033"/>
    <w:rsid w:val="005833EF"/>
    <w:rsid w:val="005901DB"/>
    <w:rsid w:val="0059723B"/>
    <w:rsid w:val="005A0325"/>
    <w:rsid w:val="005B1944"/>
    <w:rsid w:val="005B3F7E"/>
    <w:rsid w:val="005B41A4"/>
    <w:rsid w:val="005B5AFD"/>
    <w:rsid w:val="005B65DA"/>
    <w:rsid w:val="005B7232"/>
    <w:rsid w:val="005C766F"/>
    <w:rsid w:val="005C7750"/>
    <w:rsid w:val="005D20FA"/>
    <w:rsid w:val="005E2D14"/>
    <w:rsid w:val="005E38E4"/>
    <w:rsid w:val="005E7217"/>
    <w:rsid w:val="005F0467"/>
    <w:rsid w:val="005F1161"/>
    <w:rsid w:val="005F61FE"/>
    <w:rsid w:val="00602E3D"/>
    <w:rsid w:val="00603783"/>
    <w:rsid w:val="00603CC6"/>
    <w:rsid w:val="006061B1"/>
    <w:rsid w:val="006061B7"/>
    <w:rsid w:val="00607F1E"/>
    <w:rsid w:val="00617575"/>
    <w:rsid w:val="00621937"/>
    <w:rsid w:val="006268C8"/>
    <w:rsid w:val="00626F1C"/>
    <w:rsid w:val="00632FFA"/>
    <w:rsid w:val="00637E40"/>
    <w:rsid w:val="00643C1E"/>
    <w:rsid w:val="006445E2"/>
    <w:rsid w:val="00645530"/>
    <w:rsid w:val="0066537B"/>
    <w:rsid w:val="00665612"/>
    <w:rsid w:val="00665FF9"/>
    <w:rsid w:val="006664FE"/>
    <w:rsid w:val="006671D0"/>
    <w:rsid w:val="00672083"/>
    <w:rsid w:val="006749F6"/>
    <w:rsid w:val="00684C1C"/>
    <w:rsid w:val="00685412"/>
    <w:rsid w:val="006955DE"/>
    <w:rsid w:val="006964F1"/>
    <w:rsid w:val="006A0C56"/>
    <w:rsid w:val="006A74A9"/>
    <w:rsid w:val="006B64DA"/>
    <w:rsid w:val="006B7AF2"/>
    <w:rsid w:val="006B7DAA"/>
    <w:rsid w:val="006C004B"/>
    <w:rsid w:val="006C1EA6"/>
    <w:rsid w:val="006C21AF"/>
    <w:rsid w:val="006C2C2F"/>
    <w:rsid w:val="006C33DF"/>
    <w:rsid w:val="006C4983"/>
    <w:rsid w:val="006D0B5C"/>
    <w:rsid w:val="006D1FEA"/>
    <w:rsid w:val="006D4631"/>
    <w:rsid w:val="006D5657"/>
    <w:rsid w:val="006E1F8E"/>
    <w:rsid w:val="006F3A3E"/>
    <w:rsid w:val="006F639A"/>
    <w:rsid w:val="007014AA"/>
    <w:rsid w:val="00710D92"/>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15133"/>
    <w:rsid w:val="008272E9"/>
    <w:rsid w:val="00830FA1"/>
    <w:rsid w:val="008313C2"/>
    <w:rsid w:val="008331AF"/>
    <w:rsid w:val="00837579"/>
    <w:rsid w:val="008501D2"/>
    <w:rsid w:val="00852919"/>
    <w:rsid w:val="0085707F"/>
    <w:rsid w:val="00857694"/>
    <w:rsid w:val="00867545"/>
    <w:rsid w:val="00867CC0"/>
    <w:rsid w:val="008705A1"/>
    <w:rsid w:val="00875792"/>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3FFD"/>
    <w:rsid w:val="00984EEE"/>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9E9"/>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90B"/>
    <w:rsid w:val="00A40DF9"/>
    <w:rsid w:val="00A41130"/>
    <w:rsid w:val="00A4260E"/>
    <w:rsid w:val="00A4297F"/>
    <w:rsid w:val="00A45440"/>
    <w:rsid w:val="00A45490"/>
    <w:rsid w:val="00A47002"/>
    <w:rsid w:val="00A5075E"/>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15AB"/>
    <w:rsid w:val="00B02843"/>
    <w:rsid w:val="00B0369A"/>
    <w:rsid w:val="00B07CE8"/>
    <w:rsid w:val="00B13DCC"/>
    <w:rsid w:val="00B17D8B"/>
    <w:rsid w:val="00B24D94"/>
    <w:rsid w:val="00B26B29"/>
    <w:rsid w:val="00B338C9"/>
    <w:rsid w:val="00B343B2"/>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2883"/>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074AD"/>
    <w:rsid w:val="00D14557"/>
    <w:rsid w:val="00D1587D"/>
    <w:rsid w:val="00D22D2D"/>
    <w:rsid w:val="00D2330A"/>
    <w:rsid w:val="00D24728"/>
    <w:rsid w:val="00D3406C"/>
    <w:rsid w:val="00D42AEB"/>
    <w:rsid w:val="00D4366F"/>
    <w:rsid w:val="00D478B4"/>
    <w:rsid w:val="00D5390D"/>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3830"/>
    <w:rsid w:val="00E343C1"/>
    <w:rsid w:val="00E35941"/>
    <w:rsid w:val="00E36038"/>
    <w:rsid w:val="00E36D0A"/>
    <w:rsid w:val="00E51DCD"/>
    <w:rsid w:val="00E53C64"/>
    <w:rsid w:val="00E541BE"/>
    <w:rsid w:val="00E54875"/>
    <w:rsid w:val="00E55491"/>
    <w:rsid w:val="00E5549B"/>
    <w:rsid w:val="00E56768"/>
    <w:rsid w:val="00E648F8"/>
    <w:rsid w:val="00E651A5"/>
    <w:rsid w:val="00E704EA"/>
    <w:rsid w:val="00E748A6"/>
    <w:rsid w:val="00E75D3C"/>
    <w:rsid w:val="00E8072B"/>
    <w:rsid w:val="00E814D1"/>
    <w:rsid w:val="00E82112"/>
    <w:rsid w:val="00E83154"/>
    <w:rsid w:val="00E846CC"/>
    <w:rsid w:val="00E878B2"/>
    <w:rsid w:val="00E913DA"/>
    <w:rsid w:val="00E9203A"/>
    <w:rsid w:val="00E9689E"/>
    <w:rsid w:val="00EA2A58"/>
    <w:rsid w:val="00EA7CB9"/>
    <w:rsid w:val="00EB1FF0"/>
    <w:rsid w:val="00EB28C2"/>
    <w:rsid w:val="00EB49A8"/>
    <w:rsid w:val="00EB643A"/>
    <w:rsid w:val="00EB7BFF"/>
    <w:rsid w:val="00EC269C"/>
    <w:rsid w:val="00ED05FF"/>
    <w:rsid w:val="00ED3476"/>
    <w:rsid w:val="00ED40A4"/>
    <w:rsid w:val="00ED52DE"/>
    <w:rsid w:val="00EE00DC"/>
    <w:rsid w:val="00EE2784"/>
    <w:rsid w:val="00EE2B62"/>
    <w:rsid w:val="00EE535E"/>
    <w:rsid w:val="00EE53B0"/>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B68AA"/>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B3E14E3B-7961-4E16-A4CB-C46B8D57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9689E"/>
    <w:pPr>
      <w:outlineLvl w:val="0"/>
    </w:pPr>
    <w:rPr>
      <w:rFonts w:ascii="Verdana" w:hAnsi="Verdana" w:cs="Verdana"/>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9689E"/>
    <w:rPr>
      <w:rFonts w:ascii="Verdana" w:hAnsi="Verdana" w:cs="Verdana"/>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6749F6"/>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6749F6"/>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customStyle="1" w:styleId="UnresolvedMention1">
    <w:name w:val="Unresolved Mention1"/>
    <w:basedOn w:val="DefaultParagraphFont"/>
    <w:uiPriority w:val="99"/>
    <w:semiHidden/>
    <w:unhideWhenUsed/>
    <w:rsid w:val="003B0C18"/>
    <w:rPr>
      <w:color w:val="605E5C"/>
      <w:shd w:val="clear" w:color="auto" w:fill="E1DFDD"/>
    </w:rPr>
  </w:style>
  <w:style w:type="character" w:styleId="UnresolvedMention">
    <w:name w:val="Unresolved Mention"/>
    <w:basedOn w:val="DefaultParagraphFont"/>
    <w:uiPriority w:val="99"/>
    <w:semiHidden/>
    <w:unhideWhenUsed/>
    <w:rsid w:val="00A45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cca@oldbank.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cca@oldbank.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2671,-4.6791692,3a,75y,341.21h,102.27t/data=!3m6!1e1!3m4!1sSdmlx1j8cj9XdZQ96lRCYg!2e0!7i16384!8i8192?entry=tt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7b41f-1ab9-4c4a-9683-9c346fefcbae">
      <Terms xmlns="http://schemas.microsoft.com/office/infopath/2007/PartnerControls"/>
    </lcf76f155ced4ddcb4097134ff3c332f>
    <TaxCatchAll xmlns="f16aad05-a7ea-4a61-b95d-dba3a9718f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267663BDF3E747AE80EE1755F4CD9E" ma:contentTypeVersion="13" ma:contentTypeDescription="Create a new document." ma:contentTypeScope="" ma:versionID="a971a403291eb5aac44ee0417ef347de">
  <xsd:schema xmlns:xsd="http://www.w3.org/2001/XMLSchema" xmlns:xs="http://www.w3.org/2001/XMLSchema" xmlns:p="http://schemas.microsoft.com/office/2006/metadata/properties" xmlns:ns2="4307b41f-1ab9-4c4a-9683-9c346fefcbae" xmlns:ns3="f16aad05-a7ea-4a61-b95d-dba3a9718f5e" targetNamespace="http://schemas.microsoft.com/office/2006/metadata/properties" ma:root="true" ma:fieldsID="2f43c417c0efe9a31e8446aeeb0089e2" ns2:_="" ns3:_="">
    <xsd:import namespace="4307b41f-1ab9-4c4a-9683-9c346fefcbae"/>
    <xsd:import namespace="f16aad05-a7ea-4a61-b95d-dba3a9718f5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7b41f-1ab9-4c4a-9683-9c346fefcba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17d8a2a-2905-4d58-801a-97d3784b29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aad05-a7ea-4a61-b95d-dba3a9718f5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1c9ecff-1a20-4332-9ea3-5bb1314214d8}" ma:internalName="TaxCatchAll" ma:showField="CatchAllData" ma:web="f16aad05-a7ea-4a61-b95d-dba3a9718f5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88B3-8503-430C-BE4C-AC7316772CED}">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307b41f-1ab9-4c4a-9683-9c346fefcbae"/>
    <ds:schemaRef ds:uri="f16aad05-a7ea-4a61-b95d-dba3a9718f5e"/>
  </ds:schemaRefs>
</ds:datastoreItem>
</file>

<file path=customXml/itemProps3.xml><?xml version="1.0" encoding="utf-8"?>
<ds:datastoreItem xmlns:ds="http://schemas.openxmlformats.org/officeDocument/2006/customXml" ds:itemID="{B1670E37-D408-496A-A5FD-CE5EDE840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7b41f-1ab9-4c4a-9683-9c346fefcbae"/>
    <ds:schemaRef ds:uri="f16aad05-a7ea-4a61-b95d-dba3a9718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2222</Words>
  <Characters>12325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cp:lastModifiedBy>Cornwall Council</cp:lastModifiedBy>
  <cp:revision>6</cp:revision>
  <cp:lastPrinted>2018-03-09T12:39:00Z</cp:lastPrinted>
  <dcterms:created xsi:type="dcterms:W3CDTF">2023-10-12T11:39:00Z</dcterms:created>
  <dcterms:modified xsi:type="dcterms:W3CDTF">2023-10-12T14:43:00Z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ediaServiceImageTags">
    <vt:lpwstr/>
  </property>
  <property fmtid="{D5CDD505-2E9C-101B-9397-08002B2CF9AE}" pid="4" name="MSIP_Label_bee4c20f-5817-432f-84ac-80a373257ed1_Enabled">
    <vt:lpwstr>true</vt:lpwstr>
  </property>
  <property fmtid="{D5CDD505-2E9C-101B-9397-08002B2CF9AE}" pid="5" name="MSIP_Label_bee4c20f-5817-432f-84ac-80a373257ed1_SetDate">
    <vt:lpwstr>2023-10-12T14:43:01Z</vt:lpwstr>
  </property>
  <property fmtid="{D5CDD505-2E9C-101B-9397-08002B2CF9AE}" pid="6" name="MSIP_Label_bee4c20f-5817-432f-84ac-80a373257ed1_Method">
    <vt:lpwstr>Privileged</vt:lpwstr>
  </property>
  <property fmtid="{D5CDD505-2E9C-101B-9397-08002B2CF9AE}" pid="7" name="MSIP_Label_bee4c20f-5817-432f-84ac-80a373257ed1_Name">
    <vt:lpwstr>bee4c20f-5817-432f-84ac-80a373257ed1</vt:lpwstr>
  </property>
  <property fmtid="{D5CDD505-2E9C-101B-9397-08002B2CF9AE}" pid="8" name="MSIP_Label_bee4c20f-5817-432f-84ac-80a373257ed1_SiteId">
    <vt:lpwstr>efaa16aa-d1de-4d58-ba2e-2833fdfdd29f</vt:lpwstr>
  </property>
  <property fmtid="{D5CDD505-2E9C-101B-9397-08002B2CF9AE}" pid="9" name="MSIP_Label_bee4c20f-5817-432f-84ac-80a373257ed1_ActionId">
    <vt:lpwstr>6c8ffb9e-ed12-4df9-ab3d-762f055769d4</vt:lpwstr>
  </property>
  <property fmtid="{D5CDD505-2E9C-101B-9397-08002B2CF9AE}" pid="10" name="MSIP_Label_bee4c20f-5817-432f-84ac-80a373257ed1_ContentBits">
    <vt:lpwstr>1</vt:lpwstr>
  </property>
</Properties>
</file>