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Fonts w:eastAsia="Calibri" w:cs="Arial"/>
          <w:color w:val="000000" w:themeColor="text1"/>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sdtContent>
        <w:p w14:paraId="49400A4C" w14:textId="1ABEAF27" w:rsidR="00FC6860" w:rsidRPr="00574B16" w:rsidRDefault="008B1566" w:rsidP="00C71C4F">
          <w:pPr>
            <w:pStyle w:val="Heading1"/>
            <w:rPr>
              <w:rStyle w:val="chrSubTitle"/>
              <w:color w:val="B1173B"/>
            </w:rPr>
          </w:pPr>
          <w:r w:rsidRPr="66091D75">
            <w:rPr>
              <w:rFonts w:eastAsia="Calibri" w:cs="Arial"/>
              <w:color w:val="000000" w:themeColor="text1"/>
            </w:rPr>
            <w:t>Review aspects of RIS2 efficiency evidence</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8-29T00:00:00Z">
          <w:dateFormat w:val="dd MMMM yyyy"/>
          <w:lid w:val="en-GB"/>
          <w:storeMappedDataAs w:val="dateTime"/>
          <w:calendar w:val="gregorian"/>
        </w:date>
      </w:sdtPr>
      <w:sdtEndPr/>
      <w:sdtContent>
        <w:p w14:paraId="38D7D855" w14:textId="3174E541" w:rsidR="00FC6860" w:rsidRDefault="00383209" w:rsidP="00C71C4F">
          <w:pPr>
            <w:pStyle w:val="Date"/>
          </w:pPr>
          <w:r>
            <w:rPr>
              <w:bCs/>
            </w:rPr>
            <w:t>2</w:t>
          </w:r>
          <w:r w:rsidR="0049703F">
            <w:rPr>
              <w:bCs/>
            </w:rPr>
            <w:t>9</w:t>
          </w:r>
          <w:r>
            <w:rPr>
              <w:bCs/>
            </w:rPr>
            <w:t xml:space="preserve"> August 2023</w:t>
          </w:r>
        </w:p>
      </w:sdtContent>
    </w:sdt>
    <w:p w14:paraId="512B2E87" w14:textId="77777777" w:rsidR="003E5612" w:rsidRDefault="003E5612" w:rsidP="003E5612"/>
    <w:p w14:paraId="0B23CADF" w14:textId="41671204" w:rsidR="003E5612" w:rsidRPr="00574B16" w:rsidRDefault="003E5612" w:rsidP="003E5612">
      <w:pPr>
        <w:pStyle w:val="NormalBulletround"/>
        <w:rPr>
          <w:b/>
          <w:bCs/>
          <w:color w:val="B1173B"/>
        </w:rPr>
      </w:pPr>
      <w:r w:rsidRPr="003E5612">
        <w:rPr>
          <w:b/>
          <w:bCs/>
        </w:rPr>
        <w:t xml:space="preserve">CPV Code: </w:t>
      </w:r>
      <w:r w:rsidR="009D212A" w:rsidRPr="009D212A">
        <w:rPr>
          <w:b/>
          <w:bCs/>
          <w:color w:val="B1173B"/>
        </w:rPr>
        <w:t>71311210</w:t>
      </w:r>
    </w:p>
    <w:p w14:paraId="772A8C9F" w14:textId="0ECBFAE1" w:rsidR="003E5612" w:rsidRPr="00574B16" w:rsidRDefault="003E5612" w:rsidP="003E5612">
      <w:pPr>
        <w:pStyle w:val="NormalBulletround"/>
        <w:rPr>
          <w:b/>
          <w:bCs/>
          <w:color w:val="B1173B"/>
        </w:rPr>
      </w:pPr>
      <w:r w:rsidRPr="003E5612">
        <w:rPr>
          <w:b/>
          <w:bCs/>
        </w:rPr>
        <w:t>Supplementary Code:</w:t>
      </w:r>
      <w:r w:rsidRPr="00574B16">
        <w:rPr>
          <w:b/>
          <w:bCs/>
          <w:color w:val="B1173B"/>
        </w:rPr>
        <w:t xml:space="preserve"> </w:t>
      </w:r>
      <w:r w:rsidR="00752323" w:rsidRPr="00752323">
        <w:rPr>
          <w:b/>
          <w:bCs/>
          <w:color w:val="B1173B"/>
        </w:rPr>
        <w:t>79400000</w:t>
      </w:r>
      <w:r w:rsidR="00433B8C">
        <w:rPr>
          <w:b/>
          <w:bCs/>
          <w:color w:val="B1173B"/>
        </w:rPr>
        <w:t xml:space="preserve">, </w:t>
      </w:r>
      <w:r w:rsidR="00433B8C" w:rsidRPr="00433B8C">
        <w:rPr>
          <w:b/>
          <w:bCs/>
          <w:color w:val="B1173B"/>
        </w:rPr>
        <w:t>79000000</w:t>
      </w:r>
    </w:p>
    <w:p w14:paraId="4B92FCBC" w14:textId="4E572948" w:rsidR="00FC6860" w:rsidRPr="00574B16" w:rsidRDefault="003E5612" w:rsidP="003E5612">
      <w:pPr>
        <w:pStyle w:val="NormalBulletround"/>
        <w:rPr>
          <w:b/>
          <w:bCs/>
          <w:color w:val="B1173B"/>
        </w:rPr>
      </w:pPr>
      <w:r w:rsidRPr="003E5612">
        <w:rPr>
          <w:b/>
          <w:bCs/>
        </w:rPr>
        <w:t>Tender Reference:</w:t>
      </w:r>
      <w:r w:rsidR="00975960">
        <w:rPr>
          <w:b/>
          <w:bCs/>
          <w:color w:val="B1173B"/>
        </w:rPr>
        <w:t xml:space="preserve"> ORR/CT/23-</w:t>
      </w:r>
      <w:r w:rsidR="004911F0">
        <w:rPr>
          <w:b/>
          <w:bCs/>
          <w:color w:val="B1173B"/>
        </w:rPr>
        <w:t>3</w:t>
      </w:r>
      <w:r w:rsidR="00975960">
        <w:rPr>
          <w:b/>
          <w:bCs/>
          <w:color w:val="B1173B"/>
        </w:rPr>
        <w:t>5</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1D02CE31" w14:textId="6E80155C" w:rsidR="00383209" w:rsidRDefault="00FC6860">
      <w:pPr>
        <w:pStyle w:val="TOC1"/>
        <w:rPr>
          <w:rFonts w:asciiTheme="minorHAnsi" w:eastAsiaTheme="minorEastAsia" w:hAnsiTheme="minorHAnsi"/>
          <w:b w:val="0"/>
          <w:bCs w:val="0"/>
          <w:color w:val="auto"/>
          <w:kern w:val="2"/>
          <w:sz w:val="22"/>
          <w:lang w:val="en-US"/>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6540069" w:history="1">
        <w:r w:rsidR="00383209" w:rsidRPr="00EC19B8">
          <w:rPr>
            <w:rStyle w:val="Hyperlink"/>
          </w:rPr>
          <w:t>Purpose of the document</w:t>
        </w:r>
        <w:r w:rsidR="00383209">
          <w:rPr>
            <w:webHidden/>
          </w:rPr>
          <w:tab/>
        </w:r>
        <w:r w:rsidR="00383209">
          <w:rPr>
            <w:webHidden/>
          </w:rPr>
          <w:fldChar w:fldCharType="begin"/>
        </w:r>
        <w:r w:rsidR="00383209">
          <w:rPr>
            <w:webHidden/>
          </w:rPr>
          <w:instrText xml:space="preserve"> PAGEREF _Toc146540069 \h </w:instrText>
        </w:r>
        <w:r w:rsidR="00383209">
          <w:rPr>
            <w:webHidden/>
          </w:rPr>
        </w:r>
        <w:r w:rsidR="00383209">
          <w:rPr>
            <w:webHidden/>
          </w:rPr>
          <w:fldChar w:fldCharType="separate"/>
        </w:r>
        <w:r w:rsidR="00383209">
          <w:rPr>
            <w:webHidden/>
          </w:rPr>
          <w:t>3</w:t>
        </w:r>
        <w:r w:rsidR="00383209">
          <w:rPr>
            <w:webHidden/>
          </w:rPr>
          <w:fldChar w:fldCharType="end"/>
        </w:r>
      </w:hyperlink>
    </w:p>
    <w:p w14:paraId="0FACF429" w14:textId="7EF30979" w:rsidR="00383209" w:rsidRDefault="00C10D8B">
      <w:pPr>
        <w:pStyle w:val="TOC1"/>
        <w:rPr>
          <w:rFonts w:asciiTheme="minorHAnsi" w:eastAsiaTheme="minorEastAsia" w:hAnsiTheme="minorHAnsi"/>
          <w:b w:val="0"/>
          <w:bCs w:val="0"/>
          <w:color w:val="auto"/>
          <w:kern w:val="2"/>
          <w:sz w:val="22"/>
          <w:lang w:val="en-US"/>
          <w14:ligatures w14:val="standardContextual"/>
        </w:rPr>
      </w:pPr>
      <w:hyperlink w:anchor="_Toc146540070" w:history="1">
        <w:r w:rsidR="00383209" w:rsidRPr="00EC19B8">
          <w:rPr>
            <w:rStyle w:val="Hyperlink"/>
          </w:rPr>
          <w:t>1.</w:t>
        </w:r>
        <w:r w:rsidR="00383209">
          <w:rPr>
            <w:rFonts w:asciiTheme="minorHAnsi" w:eastAsiaTheme="minorEastAsia" w:hAnsiTheme="minorHAnsi"/>
            <w:b w:val="0"/>
            <w:bCs w:val="0"/>
            <w:color w:val="auto"/>
            <w:kern w:val="2"/>
            <w:sz w:val="22"/>
            <w:lang w:val="en-US"/>
            <w14:ligatures w14:val="standardContextual"/>
          </w:rPr>
          <w:tab/>
        </w:r>
        <w:r w:rsidR="00383209" w:rsidRPr="00EC19B8">
          <w:rPr>
            <w:rStyle w:val="Hyperlink"/>
          </w:rPr>
          <w:t>Introduction to the Office of Rail and Road</w:t>
        </w:r>
        <w:r w:rsidR="00383209">
          <w:rPr>
            <w:webHidden/>
          </w:rPr>
          <w:tab/>
        </w:r>
        <w:r w:rsidR="00383209">
          <w:rPr>
            <w:webHidden/>
          </w:rPr>
          <w:fldChar w:fldCharType="begin"/>
        </w:r>
        <w:r w:rsidR="00383209">
          <w:rPr>
            <w:webHidden/>
          </w:rPr>
          <w:instrText xml:space="preserve"> PAGEREF _Toc146540070 \h </w:instrText>
        </w:r>
        <w:r w:rsidR="00383209">
          <w:rPr>
            <w:webHidden/>
          </w:rPr>
        </w:r>
        <w:r w:rsidR="00383209">
          <w:rPr>
            <w:webHidden/>
          </w:rPr>
          <w:fldChar w:fldCharType="separate"/>
        </w:r>
        <w:r w:rsidR="00383209">
          <w:rPr>
            <w:webHidden/>
          </w:rPr>
          <w:t>4</w:t>
        </w:r>
        <w:r w:rsidR="00383209">
          <w:rPr>
            <w:webHidden/>
          </w:rPr>
          <w:fldChar w:fldCharType="end"/>
        </w:r>
      </w:hyperlink>
    </w:p>
    <w:p w14:paraId="791F91DF" w14:textId="752961DD"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1" w:history="1">
        <w:r w:rsidR="00383209" w:rsidRPr="00EC19B8">
          <w:rPr>
            <w:rStyle w:val="Hyperlink"/>
            <w:noProof/>
          </w:rPr>
          <w:t>Our strategic objectives</w:t>
        </w:r>
        <w:r w:rsidR="00383209">
          <w:rPr>
            <w:noProof/>
            <w:webHidden/>
          </w:rPr>
          <w:tab/>
        </w:r>
        <w:r w:rsidR="00383209">
          <w:rPr>
            <w:noProof/>
            <w:webHidden/>
          </w:rPr>
          <w:fldChar w:fldCharType="begin"/>
        </w:r>
        <w:r w:rsidR="00383209">
          <w:rPr>
            <w:noProof/>
            <w:webHidden/>
          </w:rPr>
          <w:instrText xml:space="preserve"> PAGEREF _Toc146540071 \h </w:instrText>
        </w:r>
        <w:r w:rsidR="00383209">
          <w:rPr>
            <w:noProof/>
            <w:webHidden/>
          </w:rPr>
        </w:r>
        <w:r w:rsidR="00383209">
          <w:rPr>
            <w:noProof/>
            <w:webHidden/>
          </w:rPr>
          <w:fldChar w:fldCharType="separate"/>
        </w:r>
        <w:r w:rsidR="00383209">
          <w:rPr>
            <w:noProof/>
            <w:webHidden/>
          </w:rPr>
          <w:t>4</w:t>
        </w:r>
        <w:r w:rsidR="00383209">
          <w:rPr>
            <w:noProof/>
            <w:webHidden/>
          </w:rPr>
          <w:fldChar w:fldCharType="end"/>
        </w:r>
      </w:hyperlink>
    </w:p>
    <w:p w14:paraId="4B2C1511" w14:textId="0CBEB289"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2" w:history="1">
        <w:r w:rsidR="00383209" w:rsidRPr="00EC19B8">
          <w:rPr>
            <w:rStyle w:val="Hyperlink"/>
            <w:noProof/>
          </w:rPr>
          <w:t>Supplying ORR</w:t>
        </w:r>
        <w:r w:rsidR="00383209">
          <w:rPr>
            <w:noProof/>
            <w:webHidden/>
          </w:rPr>
          <w:tab/>
        </w:r>
        <w:r w:rsidR="00383209">
          <w:rPr>
            <w:noProof/>
            <w:webHidden/>
          </w:rPr>
          <w:fldChar w:fldCharType="begin"/>
        </w:r>
        <w:r w:rsidR="00383209">
          <w:rPr>
            <w:noProof/>
            <w:webHidden/>
          </w:rPr>
          <w:instrText xml:space="preserve"> PAGEREF _Toc146540072 \h </w:instrText>
        </w:r>
        <w:r w:rsidR="00383209">
          <w:rPr>
            <w:noProof/>
            <w:webHidden/>
          </w:rPr>
        </w:r>
        <w:r w:rsidR="00383209">
          <w:rPr>
            <w:noProof/>
            <w:webHidden/>
          </w:rPr>
          <w:fldChar w:fldCharType="separate"/>
        </w:r>
        <w:r w:rsidR="00383209">
          <w:rPr>
            <w:noProof/>
            <w:webHidden/>
          </w:rPr>
          <w:t>4</w:t>
        </w:r>
        <w:r w:rsidR="00383209">
          <w:rPr>
            <w:noProof/>
            <w:webHidden/>
          </w:rPr>
          <w:fldChar w:fldCharType="end"/>
        </w:r>
      </w:hyperlink>
    </w:p>
    <w:p w14:paraId="75310D28" w14:textId="24AA1799" w:rsidR="00383209" w:rsidRDefault="00C10D8B">
      <w:pPr>
        <w:pStyle w:val="TOC1"/>
        <w:rPr>
          <w:rFonts w:asciiTheme="minorHAnsi" w:eastAsiaTheme="minorEastAsia" w:hAnsiTheme="minorHAnsi"/>
          <w:b w:val="0"/>
          <w:bCs w:val="0"/>
          <w:color w:val="auto"/>
          <w:kern w:val="2"/>
          <w:sz w:val="22"/>
          <w:lang w:val="en-US"/>
          <w14:ligatures w14:val="standardContextual"/>
        </w:rPr>
      </w:pPr>
      <w:hyperlink w:anchor="_Toc146540073" w:history="1">
        <w:r w:rsidR="00383209" w:rsidRPr="00EC19B8">
          <w:rPr>
            <w:rStyle w:val="Hyperlink"/>
          </w:rPr>
          <w:t>Small and Medium Enterprises</w:t>
        </w:r>
        <w:r w:rsidR="00383209">
          <w:rPr>
            <w:webHidden/>
          </w:rPr>
          <w:tab/>
        </w:r>
        <w:r w:rsidR="00383209">
          <w:rPr>
            <w:webHidden/>
          </w:rPr>
          <w:fldChar w:fldCharType="begin"/>
        </w:r>
        <w:r w:rsidR="00383209">
          <w:rPr>
            <w:webHidden/>
          </w:rPr>
          <w:instrText xml:space="preserve"> PAGEREF _Toc146540073 \h </w:instrText>
        </w:r>
        <w:r w:rsidR="00383209">
          <w:rPr>
            <w:webHidden/>
          </w:rPr>
        </w:r>
        <w:r w:rsidR="00383209">
          <w:rPr>
            <w:webHidden/>
          </w:rPr>
          <w:fldChar w:fldCharType="separate"/>
        </w:r>
        <w:r w:rsidR="00383209">
          <w:rPr>
            <w:webHidden/>
          </w:rPr>
          <w:t>6</w:t>
        </w:r>
        <w:r w:rsidR="00383209">
          <w:rPr>
            <w:webHidden/>
          </w:rPr>
          <w:fldChar w:fldCharType="end"/>
        </w:r>
      </w:hyperlink>
    </w:p>
    <w:p w14:paraId="75D2AB84" w14:textId="24F1B80A" w:rsidR="00383209" w:rsidRDefault="00C10D8B">
      <w:pPr>
        <w:pStyle w:val="TOC1"/>
        <w:rPr>
          <w:rFonts w:asciiTheme="minorHAnsi" w:eastAsiaTheme="minorEastAsia" w:hAnsiTheme="minorHAnsi"/>
          <w:b w:val="0"/>
          <w:bCs w:val="0"/>
          <w:color w:val="auto"/>
          <w:kern w:val="2"/>
          <w:sz w:val="22"/>
          <w:lang w:val="en-US"/>
          <w14:ligatures w14:val="standardContextual"/>
        </w:rPr>
      </w:pPr>
      <w:hyperlink w:anchor="_Toc146540074" w:history="1">
        <w:r w:rsidR="00383209" w:rsidRPr="00EC19B8">
          <w:rPr>
            <w:rStyle w:val="Hyperlink"/>
          </w:rPr>
          <w:t>2.</w:t>
        </w:r>
        <w:r w:rsidR="00383209">
          <w:rPr>
            <w:rFonts w:asciiTheme="minorHAnsi" w:eastAsiaTheme="minorEastAsia" w:hAnsiTheme="minorHAnsi"/>
            <w:b w:val="0"/>
            <w:bCs w:val="0"/>
            <w:color w:val="auto"/>
            <w:kern w:val="2"/>
            <w:sz w:val="22"/>
            <w:lang w:val="en-US"/>
            <w14:ligatures w14:val="standardContextual"/>
          </w:rPr>
          <w:tab/>
        </w:r>
        <w:r w:rsidR="00383209" w:rsidRPr="00EC19B8">
          <w:rPr>
            <w:rStyle w:val="Hyperlink"/>
          </w:rPr>
          <w:t>Statement of Requirement</w:t>
        </w:r>
        <w:r w:rsidR="00383209">
          <w:rPr>
            <w:webHidden/>
          </w:rPr>
          <w:tab/>
        </w:r>
        <w:r w:rsidR="00383209">
          <w:rPr>
            <w:webHidden/>
          </w:rPr>
          <w:fldChar w:fldCharType="begin"/>
        </w:r>
        <w:r w:rsidR="00383209">
          <w:rPr>
            <w:webHidden/>
          </w:rPr>
          <w:instrText xml:space="preserve"> PAGEREF _Toc146540074 \h </w:instrText>
        </w:r>
        <w:r w:rsidR="00383209">
          <w:rPr>
            <w:webHidden/>
          </w:rPr>
        </w:r>
        <w:r w:rsidR="00383209">
          <w:rPr>
            <w:webHidden/>
          </w:rPr>
          <w:fldChar w:fldCharType="separate"/>
        </w:r>
        <w:r w:rsidR="00383209">
          <w:rPr>
            <w:webHidden/>
          </w:rPr>
          <w:t>7</w:t>
        </w:r>
        <w:r w:rsidR="00383209">
          <w:rPr>
            <w:webHidden/>
          </w:rPr>
          <w:fldChar w:fldCharType="end"/>
        </w:r>
      </w:hyperlink>
    </w:p>
    <w:p w14:paraId="2E0AEE0D" w14:textId="1EBE55D8"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5" w:history="1">
        <w:r w:rsidR="00383209" w:rsidRPr="00EC19B8">
          <w:rPr>
            <w:rStyle w:val="Hyperlink"/>
            <w:noProof/>
          </w:rPr>
          <w:t>2.1 Background of the project</w:t>
        </w:r>
        <w:r w:rsidR="00383209">
          <w:rPr>
            <w:noProof/>
            <w:webHidden/>
          </w:rPr>
          <w:tab/>
        </w:r>
        <w:r w:rsidR="00383209">
          <w:rPr>
            <w:noProof/>
            <w:webHidden/>
          </w:rPr>
          <w:fldChar w:fldCharType="begin"/>
        </w:r>
        <w:r w:rsidR="00383209">
          <w:rPr>
            <w:noProof/>
            <w:webHidden/>
          </w:rPr>
          <w:instrText xml:space="preserve"> PAGEREF _Toc146540075 \h </w:instrText>
        </w:r>
        <w:r w:rsidR="00383209">
          <w:rPr>
            <w:noProof/>
            <w:webHidden/>
          </w:rPr>
        </w:r>
        <w:r w:rsidR="00383209">
          <w:rPr>
            <w:noProof/>
            <w:webHidden/>
          </w:rPr>
          <w:fldChar w:fldCharType="separate"/>
        </w:r>
        <w:r w:rsidR="00383209">
          <w:rPr>
            <w:noProof/>
            <w:webHidden/>
          </w:rPr>
          <w:t>7</w:t>
        </w:r>
        <w:r w:rsidR="00383209">
          <w:rPr>
            <w:noProof/>
            <w:webHidden/>
          </w:rPr>
          <w:fldChar w:fldCharType="end"/>
        </w:r>
      </w:hyperlink>
    </w:p>
    <w:p w14:paraId="745B2F61" w14:textId="4B6075AF"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6" w:history="1">
        <w:r w:rsidR="00383209" w:rsidRPr="00EC19B8">
          <w:rPr>
            <w:rStyle w:val="Hyperlink"/>
            <w:noProof/>
          </w:rPr>
          <w:t>2.2 Project Objectives and Scope</w:t>
        </w:r>
        <w:r w:rsidR="00383209">
          <w:rPr>
            <w:noProof/>
            <w:webHidden/>
          </w:rPr>
          <w:tab/>
        </w:r>
        <w:r w:rsidR="00383209">
          <w:rPr>
            <w:noProof/>
            <w:webHidden/>
          </w:rPr>
          <w:fldChar w:fldCharType="begin"/>
        </w:r>
        <w:r w:rsidR="00383209">
          <w:rPr>
            <w:noProof/>
            <w:webHidden/>
          </w:rPr>
          <w:instrText xml:space="preserve"> PAGEREF _Toc146540076 \h </w:instrText>
        </w:r>
        <w:r w:rsidR="00383209">
          <w:rPr>
            <w:noProof/>
            <w:webHidden/>
          </w:rPr>
        </w:r>
        <w:r w:rsidR="00383209">
          <w:rPr>
            <w:noProof/>
            <w:webHidden/>
          </w:rPr>
          <w:fldChar w:fldCharType="separate"/>
        </w:r>
        <w:r w:rsidR="00383209">
          <w:rPr>
            <w:noProof/>
            <w:webHidden/>
          </w:rPr>
          <w:t>8</w:t>
        </w:r>
        <w:r w:rsidR="00383209">
          <w:rPr>
            <w:noProof/>
            <w:webHidden/>
          </w:rPr>
          <w:fldChar w:fldCharType="end"/>
        </w:r>
      </w:hyperlink>
    </w:p>
    <w:p w14:paraId="69358117" w14:textId="61EBEB0A"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7" w:history="1">
        <w:r w:rsidR="00383209" w:rsidRPr="00EC19B8">
          <w:rPr>
            <w:rStyle w:val="Hyperlink"/>
            <w:noProof/>
          </w:rPr>
          <w:t>2.3 Project Outputs, Deliverables and Contract Management</w:t>
        </w:r>
        <w:r w:rsidR="00383209">
          <w:rPr>
            <w:noProof/>
            <w:webHidden/>
          </w:rPr>
          <w:tab/>
        </w:r>
        <w:r w:rsidR="00383209">
          <w:rPr>
            <w:noProof/>
            <w:webHidden/>
          </w:rPr>
          <w:fldChar w:fldCharType="begin"/>
        </w:r>
        <w:r w:rsidR="00383209">
          <w:rPr>
            <w:noProof/>
            <w:webHidden/>
          </w:rPr>
          <w:instrText xml:space="preserve"> PAGEREF _Toc146540077 \h </w:instrText>
        </w:r>
        <w:r w:rsidR="00383209">
          <w:rPr>
            <w:noProof/>
            <w:webHidden/>
          </w:rPr>
        </w:r>
        <w:r w:rsidR="00383209">
          <w:rPr>
            <w:noProof/>
            <w:webHidden/>
          </w:rPr>
          <w:fldChar w:fldCharType="separate"/>
        </w:r>
        <w:r w:rsidR="00383209">
          <w:rPr>
            <w:noProof/>
            <w:webHidden/>
          </w:rPr>
          <w:t>9</w:t>
        </w:r>
        <w:r w:rsidR="00383209">
          <w:rPr>
            <w:noProof/>
            <w:webHidden/>
          </w:rPr>
          <w:fldChar w:fldCharType="end"/>
        </w:r>
      </w:hyperlink>
    </w:p>
    <w:p w14:paraId="44A63C14" w14:textId="2CC7EE69"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8" w:history="1">
        <w:r w:rsidR="00383209" w:rsidRPr="00EC19B8">
          <w:rPr>
            <w:rStyle w:val="Hyperlink"/>
            <w:noProof/>
          </w:rPr>
          <w:t>2.4 Project Timescales</w:t>
        </w:r>
        <w:r w:rsidR="00383209">
          <w:rPr>
            <w:noProof/>
            <w:webHidden/>
          </w:rPr>
          <w:tab/>
        </w:r>
        <w:r w:rsidR="00383209">
          <w:rPr>
            <w:noProof/>
            <w:webHidden/>
          </w:rPr>
          <w:fldChar w:fldCharType="begin"/>
        </w:r>
        <w:r w:rsidR="00383209">
          <w:rPr>
            <w:noProof/>
            <w:webHidden/>
          </w:rPr>
          <w:instrText xml:space="preserve"> PAGEREF _Toc146540078 \h </w:instrText>
        </w:r>
        <w:r w:rsidR="00383209">
          <w:rPr>
            <w:noProof/>
            <w:webHidden/>
          </w:rPr>
        </w:r>
        <w:r w:rsidR="00383209">
          <w:rPr>
            <w:noProof/>
            <w:webHidden/>
          </w:rPr>
          <w:fldChar w:fldCharType="separate"/>
        </w:r>
        <w:r w:rsidR="00383209">
          <w:rPr>
            <w:noProof/>
            <w:webHidden/>
          </w:rPr>
          <w:t>10</w:t>
        </w:r>
        <w:r w:rsidR="00383209">
          <w:rPr>
            <w:noProof/>
            <w:webHidden/>
          </w:rPr>
          <w:fldChar w:fldCharType="end"/>
        </w:r>
      </w:hyperlink>
    </w:p>
    <w:p w14:paraId="385B943F" w14:textId="4B405A39"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79" w:history="1">
        <w:r w:rsidR="00383209" w:rsidRPr="00EC19B8">
          <w:rPr>
            <w:rStyle w:val="Hyperlink"/>
            <w:noProof/>
          </w:rPr>
          <w:t>2.5 Budget and Payment Schedule</w:t>
        </w:r>
        <w:r w:rsidR="00383209">
          <w:rPr>
            <w:noProof/>
            <w:webHidden/>
          </w:rPr>
          <w:tab/>
        </w:r>
        <w:r w:rsidR="00383209">
          <w:rPr>
            <w:noProof/>
            <w:webHidden/>
          </w:rPr>
          <w:fldChar w:fldCharType="begin"/>
        </w:r>
        <w:r w:rsidR="00383209">
          <w:rPr>
            <w:noProof/>
            <w:webHidden/>
          </w:rPr>
          <w:instrText xml:space="preserve"> PAGEREF _Toc146540079 \h </w:instrText>
        </w:r>
        <w:r w:rsidR="00383209">
          <w:rPr>
            <w:noProof/>
            <w:webHidden/>
          </w:rPr>
        </w:r>
        <w:r w:rsidR="00383209">
          <w:rPr>
            <w:noProof/>
            <w:webHidden/>
          </w:rPr>
          <w:fldChar w:fldCharType="separate"/>
        </w:r>
        <w:r w:rsidR="00383209">
          <w:rPr>
            <w:noProof/>
            <w:webHidden/>
          </w:rPr>
          <w:t>10</w:t>
        </w:r>
        <w:r w:rsidR="00383209">
          <w:rPr>
            <w:noProof/>
            <w:webHidden/>
          </w:rPr>
          <w:fldChar w:fldCharType="end"/>
        </w:r>
      </w:hyperlink>
    </w:p>
    <w:p w14:paraId="2C530B95" w14:textId="7FAB9255"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80" w:history="1">
        <w:r w:rsidR="00383209" w:rsidRPr="00EC19B8">
          <w:rPr>
            <w:rStyle w:val="Hyperlink"/>
            <w:noProof/>
          </w:rPr>
          <w:t>2.6 Further project related information for bidders</w:t>
        </w:r>
        <w:r w:rsidR="00383209">
          <w:rPr>
            <w:noProof/>
            <w:webHidden/>
          </w:rPr>
          <w:tab/>
        </w:r>
        <w:r w:rsidR="00383209">
          <w:rPr>
            <w:noProof/>
            <w:webHidden/>
          </w:rPr>
          <w:fldChar w:fldCharType="begin"/>
        </w:r>
        <w:r w:rsidR="00383209">
          <w:rPr>
            <w:noProof/>
            <w:webHidden/>
          </w:rPr>
          <w:instrText xml:space="preserve"> PAGEREF _Toc146540080 \h </w:instrText>
        </w:r>
        <w:r w:rsidR="00383209">
          <w:rPr>
            <w:noProof/>
            <w:webHidden/>
          </w:rPr>
        </w:r>
        <w:r w:rsidR="00383209">
          <w:rPr>
            <w:noProof/>
            <w:webHidden/>
          </w:rPr>
          <w:fldChar w:fldCharType="separate"/>
        </w:r>
        <w:r w:rsidR="00383209">
          <w:rPr>
            <w:noProof/>
            <w:webHidden/>
          </w:rPr>
          <w:t>10</w:t>
        </w:r>
        <w:r w:rsidR="00383209">
          <w:rPr>
            <w:noProof/>
            <w:webHidden/>
          </w:rPr>
          <w:fldChar w:fldCharType="end"/>
        </w:r>
      </w:hyperlink>
    </w:p>
    <w:p w14:paraId="08F00CAD" w14:textId="4125EB37" w:rsidR="00383209" w:rsidRDefault="00C10D8B">
      <w:pPr>
        <w:pStyle w:val="TOC1"/>
        <w:rPr>
          <w:rFonts w:asciiTheme="minorHAnsi" w:eastAsiaTheme="minorEastAsia" w:hAnsiTheme="minorHAnsi"/>
          <w:b w:val="0"/>
          <w:bCs w:val="0"/>
          <w:color w:val="auto"/>
          <w:kern w:val="2"/>
          <w:sz w:val="22"/>
          <w:lang w:val="en-US"/>
          <w14:ligatures w14:val="standardContextual"/>
        </w:rPr>
      </w:pPr>
      <w:hyperlink w:anchor="_Toc146540081" w:history="1">
        <w:r w:rsidR="00383209" w:rsidRPr="00EC19B8">
          <w:rPr>
            <w:rStyle w:val="Hyperlink"/>
          </w:rPr>
          <w:t>3.</w:t>
        </w:r>
        <w:r w:rsidR="00383209">
          <w:rPr>
            <w:rFonts w:asciiTheme="minorHAnsi" w:eastAsiaTheme="minorEastAsia" w:hAnsiTheme="minorHAnsi"/>
            <w:b w:val="0"/>
            <w:bCs w:val="0"/>
            <w:color w:val="auto"/>
            <w:kern w:val="2"/>
            <w:sz w:val="22"/>
            <w:lang w:val="en-US"/>
            <w14:ligatures w14:val="standardContextual"/>
          </w:rPr>
          <w:tab/>
        </w:r>
        <w:r w:rsidR="00383209" w:rsidRPr="00EC19B8">
          <w:rPr>
            <w:rStyle w:val="Hyperlink"/>
          </w:rPr>
          <w:t>Tender Response and Evaluation Criteria</w:t>
        </w:r>
        <w:r w:rsidR="00383209">
          <w:rPr>
            <w:webHidden/>
          </w:rPr>
          <w:tab/>
        </w:r>
        <w:r w:rsidR="00383209">
          <w:rPr>
            <w:webHidden/>
          </w:rPr>
          <w:fldChar w:fldCharType="begin"/>
        </w:r>
        <w:r w:rsidR="00383209">
          <w:rPr>
            <w:webHidden/>
          </w:rPr>
          <w:instrText xml:space="preserve"> PAGEREF _Toc146540081 \h </w:instrText>
        </w:r>
        <w:r w:rsidR="00383209">
          <w:rPr>
            <w:webHidden/>
          </w:rPr>
        </w:r>
        <w:r w:rsidR="00383209">
          <w:rPr>
            <w:webHidden/>
          </w:rPr>
          <w:fldChar w:fldCharType="separate"/>
        </w:r>
        <w:r w:rsidR="00383209">
          <w:rPr>
            <w:webHidden/>
          </w:rPr>
          <w:t>12</w:t>
        </w:r>
        <w:r w:rsidR="00383209">
          <w:rPr>
            <w:webHidden/>
          </w:rPr>
          <w:fldChar w:fldCharType="end"/>
        </w:r>
      </w:hyperlink>
    </w:p>
    <w:p w14:paraId="7C230F80" w14:textId="20361ACD"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82" w:history="1">
        <w:r w:rsidR="00383209" w:rsidRPr="00EC19B8">
          <w:rPr>
            <w:rStyle w:val="Hyperlink"/>
            <w:noProof/>
          </w:rPr>
          <w:t>3.1 The Tender Response</w:t>
        </w:r>
        <w:r w:rsidR="00383209">
          <w:rPr>
            <w:noProof/>
            <w:webHidden/>
          </w:rPr>
          <w:tab/>
        </w:r>
        <w:r w:rsidR="00383209">
          <w:rPr>
            <w:noProof/>
            <w:webHidden/>
          </w:rPr>
          <w:fldChar w:fldCharType="begin"/>
        </w:r>
        <w:r w:rsidR="00383209">
          <w:rPr>
            <w:noProof/>
            <w:webHidden/>
          </w:rPr>
          <w:instrText xml:space="preserve"> PAGEREF _Toc146540082 \h </w:instrText>
        </w:r>
        <w:r w:rsidR="00383209">
          <w:rPr>
            <w:noProof/>
            <w:webHidden/>
          </w:rPr>
        </w:r>
        <w:r w:rsidR="00383209">
          <w:rPr>
            <w:noProof/>
            <w:webHidden/>
          </w:rPr>
          <w:fldChar w:fldCharType="separate"/>
        </w:r>
        <w:r w:rsidR="00383209">
          <w:rPr>
            <w:noProof/>
            <w:webHidden/>
          </w:rPr>
          <w:t>12</w:t>
        </w:r>
        <w:r w:rsidR="00383209">
          <w:rPr>
            <w:noProof/>
            <w:webHidden/>
          </w:rPr>
          <w:fldChar w:fldCharType="end"/>
        </w:r>
      </w:hyperlink>
    </w:p>
    <w:p w14:paraId="6816ACB7" w14:textId="2268C7DF"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83" w:history="1">
        <w:r w:rsidR="00383209" w:rsidRPr="00EC19B8">
          <w:rPr>
            <w:rStyle w:val="Hyperlink"/>
            <w:noProof/>
          </w:rPr>
          <w:t>3.2 Evaluation Criteria</w:t>
        </w:r>
        <w:r w:rsidR="00383209">
          <w:rPr>
            <w:noProof/>
            <w:webHidden/>
          </w:rPr>
          <w:tab/>
        </w:r>
        <w:r w:rsidR="00383209">
          <w:rPr>
            <w:noProof/>
            <w:webHidden/>
          </w:rPr>
          <w:fldChar w:fldCharType="begin"/>
        </w:r>
        <w:r w:rsidR="00383209">
          <w:rPr>
            <w:noProof/>
            <w:webHidden/>
          </w:rPr>
          <w:instrText xml:space="preserve"> PAGEREF _Toc146540083 \h </w:instrText>
        </w:r>
        <w:r w:rsidR="00383209">
          <w:rPr>
            <w:noProof/>
            <w:webHidden/>
          </w:rPr>
        </w:r>
        <w:r w:rsidR="00383209">
          <w:rPr>
            <w:noProof/>
            <w:webHidden/>
          </w:rPr>
          <w:fldChar w:fldCharType="separate"/>
        </w:r>
        <w:r w:rsidR="00383209">
          <w:rPr>
            <w:noProof/>
            <w:webHidden/>
          </w:rPr>
          <w:t>13</w:t>
        </w:r>
        <w:r w:rsidR="00383209">
          <w:rPr>
            <w:noProof/>
            <w:webHidden/>
          </w:rPr>
          <w:fldChar w:fldCharType="end"/>
        </w:r>
      </w:hyperlink>
    </w:p>
    <w:p w14:paraId="48ECD534" w14:textId="07CF04EB" w:rsidR="00383209" w:rsidRDefault="00C10D8B">
      <w:pPr>
        <w:pStyle w:val="TOC1"/>
        <w:rPr>
          <w:rFonts w:asciiTheme="minorHAnsi" w:eastAsiaTheme="minorEastAsia" w:hAnsiTheme="minorHAnsi"/>
          <w:b w:val="0"/>
          <w:bCs w:val="0"/>
          <w:color w:val="auto"/>
          <w:kern w:val="2"/>
          <w:sz w:val="22"/>
          <w:lang w:val="en-US"/>
          <w14:ligatures w14:val="standardContextual"/>
        </w:rPr>
      </w:pPr>
      <w:hyperlink w:anchor="_Toc146540084" w:history="1">
        <w:r w:rsidR="00383209" w:rsidRPr="00EC19B8">
          <w:rPr>
            <w:rStyle w:val="Hyperlink"/>
          </w:rPr>
          <w:t>4.</w:t>
        </w:r>
        <w:r w:rsidR="00383209">
          <w:rPr>
            <w:rFonts w:asciiTheme="minorHAnsi" w:eastAsiaTheme="minorEastAsia" w:hAnsiTheme="minorHAnsi"/>
            <w:b w:val="0"/>
            <w:bCs w:val="0"/>
            <w:color w:val="auto"/>
            <w:kern w:val="2"/>
            <w:sz w:val="22"/>
            <w:lang w:val="en-US"/>
            <w14:ligatures w14:val="standardContextual"/>
          </w:rPr>
          <w:tab/>
        </w:r>
        <w:r w:rsidR="00383209" w:rsidRPr="00EC19B8">
          <w:rPr>
            <w:rStyle w:val="Hyperlink"/>
          </w:rPr>
          <w:t>Procurement Procedures</w:t>
        </w:r>
        <w:r w:rsidR="00383209">
          <w:rPr>
            <w:webHidden/>
          </w:rPr>
          <w:tab/>
        </w:r>
        <w:r w:rsidR="00383209">
          <w:rPr>
            <w:webHidden/>
          </w:rPr>
          <w:fldChar w:fldCharType="begin"/>
        </w:r>
        <w:r w:rsidR="00383209">
          <w:rPr>
            <w:webHidden/>
          </w:rPr>
          <w:instrText xml:space="preserve"> PAGEREF _Toc146540084 \h </w:instrText>
        </w:r>
        <w:r w:rsidR="00383209">
          <w:rPr>
            <w:webHidden/>
          </w:rPr>
        </w:r>
        <w:r w:rsidR="00383209">
          <w:rPr>
            <w:webHidden/>
          </w:rPr>
          <w:fldChar w:fldCharType="separate"/>
        </w:r>
        <w:r w:rsidR="00383209">
          <w:rPr>
            <w:webHidden/>
          </w:rPr>
          <w:t>18</w:t>
        </w:r>
        <w:r w:rsidR="00383209">
          <w:rPr>
            <w:webHidden/>
          </w:rPr>
          <w:fldChar w:fldCharType="end"/>
        </w:r>
      </w:hyperlink>
    </w:p>
    <w:p w14:paraId="40BBF4DF" w14:textId="37DB20A9"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85" w:history="1">
        <w:r w:rsidR="00383209" w:rsidRPr="00EC19B8">
          <w:rPr>
            <w:rStyle w:val="Hyperlink"/>
            <w:noProof/>
          </w:rPr>
          <w:t>Tendering Timetable</w:t>
        </w:r>
        <w:r w:rsidR="00383209">
          <w:rPr>
            <w:noProof/>
            <w:webHidden/>
          </w:rPr>
          <w:tab/>
        </w:r>
        <w:r w:rsidR="00383209">
          <w:rPr>
            <w:noProof/>
            <w:webHidden/>
          </w:rPr>
          <w:fldChar w:fldCharType="begin"/>
        </w:r>
        <w:r w:rsidR="00383209">
          <w:rPr>
            <w:noProof/>
            <w:webHidden/>
          </w:rPr>
          <w:instrText xml:space="preserve"> PAGEREF _Toc146540085 \h </w:instrText>
        </w:r>
        <w:r w:rsidR="00383209">
          <w:rPr>
            <w:noProof/>
            <w:webHidden/>
          </w:rPr>
        </w:r>
        <w:r w:rsidR="00383209">
          <w:rPr>
            <w:noProof/>
            <w:webHidden/>
          </w:rPr>
          <w:fldChar w:fldCharType="separate"/>
        </w:r>
        <w:r w:rsidR="00383209">
          <w:rPr>
            <w:noProof/>
            <w:webHidden/>
          </w:rPr>
          <w:t>18</w:t>
        </w:r>
        <w:r w:rsidR="00383209">
          <w:rPr>
            <w:noProof/>
            <w:webHidden/>
          </w:rPr>
          <w:fldChar w:fldCharType="end"/>
        </w:r>
      </w:hyperlink>
    </w:p>
    <w:p w14:paraId="05ADE5B5" w14:textId="435B6008" w:rsidR="00383209" w:rsidRDefault="00C10D8B">
      <w:pPr>
        <w:pStyle w:val="TOC2"/>
        <w:tabs>
          <w:tab w:val="right" w:pos="9628"/>
        </w:tabs>
        <w:rPr>
          <w:rFonts w:asciiTheme="minorHAnsi" w:eastAsiaTheme="minorEastAsia" w:hAnsiTheme="minorHAnsi"/>
          <w:noProof/>
          <w:kern w:val="2"/>
          <w:sz w:val="22"/>
          <w:lang w:val="en-US"/>
          <w14:ligatures w14:val="standardContextual"/>
        </w:rPr>
      </w:pPr>
      <w:hyperlink w:anchor="_Toc146540086" w:history="1">
        <w:r w:rsidR="00383209" w:rsidRPr="00EC19B8">
          <w:rPr>
            <w:rStyle w:val="Hyperlink"/>
            <w:noProof/>
          </w:rPr>
          <w:t>Tendering Instructions and Guidance</w:t>
        </w:r>
        <w:r w:rsidR="00383209">
          <w:rPr>
            <w:noProof/>
            <w:webHidden/>
          </w:rPr>
          <w:tab/>
        </w:r>
        <w:r w:rsidR="00383209">
          <w:rPr>
            <w:noProof/>
            <w:webHidden/>
          </w:rPr>
          <w:fldChar w:fldCharType="begin"/>
        </w:r>
        <w:r w:rsidR="00383209">
          <w:rPr>
            <w:noProof/>
            <w:webHidden/>
          </w:rPr>
          <w:instrText xml:space="preserve"> PAGEREF _Toc146540086 \h </w:instrText>
        </w:r>
        <w:r w:rsidR="00383209">
          <w:rPr>
            <w:noProof/>
            <w:webHidden/>
          </w:rPr>
        </w:r>
        <w:r w:rsidR="00383209">
          <w:rPr>
            <w:noProof/>
            <w:webHidden/>
          </w:rPr>
          <w:fldChar w:fldCharType="separate"/>
        </w:r>
        <w:r w:rsidR="00383209">
          <w:rPr>
            <w:noProof/>
            <w:webHidden/>
          </w:rPr>
          <w:t>18</w:t>
        </w:r>
        <w:r w:rsidR="00383209">
          <w:rPr>
            <w:noProof/>
            <w:webHidden/>
          </w:rPr>
          <w:fldChar w:fldCharType="end"/>
        </w:r>
      </w:hyperlink>
    </w:p>
    <w:p w14:paraId="6B48D324" w14:textId="7B520A4C"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6540069"/>
      <w:r>
        <w:lastRenderedPageBreak/>
        <w:t>Purpose of the document</w:t>
      </w:r>
      <w:bookmarkEnd w:id="4"/>
    </w:p>
    <w:p w14:paraId="5CB061E3" w14:textId="10549A76" w:rsidR="00A02455" w:rsidRPr="008D601A" w:rsidRDefault="00A02455" w:rsidP="00A02455">
      <w:r w:rsidRPr="008D601A">
        <w:t xml:space="preserve">The purpose of this document is to invite proposals for </w:t>
      </w:r>
      <w:r w:rsidR="00E13D2D" w:rsidRPr="008D601A">
        <w:rPr>
          <w:color w:val="000000" w:themeColor="text1"/>
        </w:rPr>
        <w:t xml:space="preserve">Review </w:t>
      </w:r>
      <w:r w:rsidR="008D601A" w:rsidRPr="008D601A">
        <w:rPr>
          <w:color w:val="000000" w:themeColor="text1"/>
        </w:rPr>
        <w:t>aspects of efficiency evidence in</w:t>
      </w:r>
      <w:r w:rsidR="00E13D2D" w:rsidRPr="008D601A">
        <w:rPr>
          <w:color w:val="000000" w:themeColor="text1"/>
        </w:rPr>
        <w:t xml:space="preserve"> RIS2</w:t>
      </w:r>
      <w:r w:rsidRPr="008D601A">
        <w:rPr>
          <w:color w:val="000000" w:themeColor="text1"/>
        </w:rPr>
        <w:t xml:space="preserve"> for the O</w:t>
      </w:r>
      <w:r w:rsidRPr="008D601A">
        <w:t>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46540070"/>
      <w:r>
        <w:lastRenderedPageBreak/>
        <w:t>Introduction to the Office of Rail and Road</w:t>
      </w:r>
      <w:bookmarkEnd w:id="5"/>
    </w:p>
    <w:p w14:paraId="211E7D2A" w14:textId="77777777" w:rsidR="004430EF" w:rsidRDefault="004430EF" w:rsidP="004430EF">
      <w:bookmarkStart w:id="6" w:name="_Toc146540071"/>
      <w:r>
        <w:t xml:space="preserve">The Office of Rail and Road is the independent safety and economic regulator of Britain’s railways </w:t>
      </w:r>
      <w:r>
        <w:rPr>
          <w:rStyle w:val="normaltextrun"/>
          <w:rFonts w:cs="Arial"/>
          <w:color w:val="000000"/>
          <w:shd w:val="clear" w:color="auto" w:fill="FFFFFF"/>
        </w:rPr>
        <w:t>and is responsible for monitoring and enforcing the performance and efficiency of National Highways</w:t>
      </w:r>
      <w:r>
        <w:t xml:space="preserve">. </w:t>
      </w:r>
    </w:p>
    <w:p w14:paraId="29B479CB" w14:textId="77777777" w:rsidR="004430EF" w:rsidRDefault="004430EF" w:rsidP="004430EF">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46540072"/>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lastRenderedPageBreak/>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46540073"/>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46540074"/>
      <w:r>
        <w:lastRenderedPageBreak/>
        <w:t>Statement of Requirement</w:t>
      </w:r>
      <w:bookmarkEnd w:id="9"/>
    </w:p>
    <w:p w14:paraId="0C918979" w14:textId="4CE3B4F2" w:rsidR="00F20E70" w:rsidRDefault="00F20E70" w:rsidP="00F20E70">
      <w:pPr>
        <w:pStyle w:val="Heading3"/>
      </w:pPr>
      <w:bookmarkStart w:id="10" w:name="_Toc146540075"/>
      <w:r>
        <w:t>2.1 Background of the project</w:t>
      </w:r>
      <w:bookmarkEnd w:id="10"/>
    </w:p>
    <w:p w14:paraId="7A304C36" w14:textId="77777777" w:rsidR="004430EF" w:rsidRDefault="004430EF" w:rsidP="004430EF">
      <w:pPr>
        <w:rPr>
          <w:rStyle w:val="eop"/>
          <w:rFonts w:cs="Arial"/>
          <w:color w:val="000000"/>
          <w:szCs w:val="24"/>
          <w:shd w:val="clear" w:color="auto" w:fill="FFFFFF"/>
        </w:rPr>
      </w:pPr>
      <w:bookmarkStart w:id="11" w:name="_Toc146540076"/>
      <w:r w:rsidRPr="00E13D2D">
        <w:rPr>
          <w:rStyle w:val="normaltextrun"/>
          <w:rFonts w:cs="Arial"/>
          <w:color w:val="000000"/>
          <w:szCs w:val="24"/>
          <w:shd w:val="clear" w:color="auto" w:fill="FFFFFF"/>
        </w:rPr>
        <w:t xml:space="preserve">National Highways operates, </w:t>
      </w:r>
      <w:proofErr w:type="gramStart"/>
      <w:r w:rsidRPr="00E13D2D">
        <w:rPr>
          <w:rStyle w:val="normaltextrun"/>
          <w:rFonts w:cs="Arial"/>
          <w:color w:val="000000"/>
          <w:szCs w:val="24"/>
          <w:shd w:val="clear" w:color="auto" w:fill="FFFFFF"/>
        </w:rPr>
        <w:t>maintains</w:t>
      </w:r>
      <w:proofErr w:type="gramEnd"/>
      <w:r w:rsidRPr="00E13D2D">
        <w:rPr>
          <w:rStyle w:val="normaltextrun"/>
          <w:rFonts w:cs="Arial"/>
          <w:color w:val="000000"/>
          <w:szCs w:val="24"/>
          <w:shd w:val="clear" w:color="auto" w:fill="FFFFFF"/>
        </w:rPr>
        <w:t xml:space="preserve"> and improves the strategic road network – the motorways and main 'A' roads in England. The Office of Road and Rail (ORR) – through its Highways Monitor function – is responsible for monitoring and enforcing the performance and efficiency of National Highways. </w:t>
      </w:r>
      <w:r w:rsidRPr="00E13D2D">
        <w:rPr>
          <w:rStyle w:val="eop"/>
          <w:rFonts w:cs="Arial"/>
          <w:color w:val="000000"/>
          <w:szCs w:val="24"/>
          <w:shd w:val="clear" w:color="auto" w:fill="FFFFFF"/>
        </w:rPr>
        <w:t> </w:t>
      </w:r>
    </w:p>
    <w:p w14:paraId="29E8A12A" w14:textId="77777777" w:rsidR="004430EF" w:rsidRDefault="004430EF" w:rsidP="004430EF">
      <w:pPr>
        <w:rPr>
          <w:rStyle w:val="eop"/>
          <w:rFonts w:cs="Arial"/>
          <w:color w:val="000000"/>
          <w:shd w:val="clear" w:color="auto" w:fill="FFFFFF"/>
        </w:rPr>
      </w:pPr>
      <w:r w:rsidRPr="746F642C">
        <w:rPr>
          <w:rStyle w:val="eop"/>
          <w:rFonts w:cs="Arial"/>
          <w:color w:val="000000"/>
          <w:shd w:val="clear" w:color="auto" w:fill="FFFFFF"/>
        </w:rPr>
        <w:t xml:space="preserve">The Road Investment Strategy 2 (RIS2) sets out what National Highways is required to deliver in the second road period (RP2) April 2020 – March 2025 Within RIS2, “Outcome 6: Achieving efficient delivery” requires National Highways to meet an efficiency KPI for evidencing delivery of £2.1bn efficiency savings (revised from £2.3bn). </w:t>
      </w:r>
    </w:p>
    <w:p w14:paraId="5C7B9150" w14:textId="77777777" w:rsidR="004430EF" w:rsidRDefault="004430EF" w:rsidP="004430EF">
      <w:pPr>
        <w:rPr>
          <w:rStyle w:val="eop"/>
          <w:rFonts w:cs="Arial"/>
          <w:color w:val="000000"/>
          <w:shd w:val="clear" w:color="auto" w:fill="FFFFFF"/>
        </w:rPr>
      </w:pPr>
      <w:r w:rsidRPr="5E50063C">
        <w:rPr>
          <w:rStyle w:val="eop"/>
          <w:rFonts w:cs="Arial"/>
          <w:color w:val="000000"/>
          <w:shd w:val="clear" w:color="auto" w:fill="FFFFFF"/>
        </w:rPr>
        <w:t xml:space="preserve">The </w:t>
      </w:r>
      <w:hyperlink r:id="rId20" w:history="1">
        <w:r w:rsidRPr="5E50063C">
          <w:rPr>
            <w:rStyle w:val="Hyperlink"/>
            <w:rFonts w:cs="Arial"/>
            <w:shd w:val="clear" w:color="auto" w:fill="FFFFFF"/>
          </w:rPr>
          <w:t>Efficiency and Inflation Monitoring Manual</w:t>
        </w:r>
      </w:hyperlink>
      <w:r w:rsidRPr="5E50063C">
        <w:rPr>
          <w:rStyle w:val="eop"/>
          <w:rFonts w:cs="Arial"/>
          <w:color w:val="000000"/>
          <w:shd w:val="clear" w:color="auto" w:fill="FFFFFF"/>
        </w:rPr>
        <w:t xml:space="preserve"> (EIMM) describes the reporting and monitoring requirements for evidencing efficiency in RIS2. The EIMM recognises that the KPI was based on draft Strategic Business Plan assumptions, and changes to these can affect National Highways’ ability to evidence delivery of the efficiency target. In 2022-23, ORR agreed an approach for adjusting reported performance for an inflation headwind in RP2. National Highways intends to present cases for further headwind adjustments in RP2 relating to productivity impacts of Covid-19 and non-recoverable VAT.  </w:t>
      </w:r>
    </w:p>
    <w:p w14:paraId="0B8287BA" w14:textId="77777777" w:rsidR="004430EF" w:rsidRDefault="004430EF" w:rsidP="004430EF">
      <w:r>
        <w:rPr>
          <w:rStyle w:val="eop"/>
          <w:rFonts w:cs="Arial"/>
          <w:color w:val="000000"/>
          <w:szCs w:val="24"/>
          <w:shd w:val="clear" w:color="auto" w:fill="FFFFFF"/>
        </w:rPr>
        <w:t>In relation to renewals efficiency, the EIMM states “</w:t>
      </w:r>
      <w:r>
        <w:t xml:space="preserve">Renewals programme efficiency will primarily be demonstrated through: </w:t>
      </w:r>
    </w:p>
    <w:p w14:paraId="299D9FFF" w14:textId="77777777" w:rsidR="004430EF" w:rsidRDefault="004430EF" w:rsidP="004430EF">
      <w:pPr>
        <w:pStyle w:val="ListParagraph"/>
        <w:numPr>
          <w:ilvl w:val="0"/>
          <w:numId w:val="33"/>
        </w:numPr>
      </w:pPr>
      <w:r>
        <w:t xml:space="preserve">Evidence of delivering the high-level annual and five-year renewals programme outputs within the post-efficient funding envelope (moderated by the impact of agreed changes) </w:t>
      </w:r>
    </w:p>
    <w:p w14:paraId="1F0FC0AC" w14:textId="77777777" w:rsidR="004430EF" w:rsidRDefault="004430EF" w:rsidP="004430EF">
      <w:pPr>
        <w:pStyle w:val="ListParagraph"/>
        <w:numPr>
          <w:ilvl w:val="0"/>
          <w:numId w:val="33"/>
        </w:numPr>
      </w:pPr>
      <w:r>
        <w:t xml:space="preserve">Delivering the appropriate KPIs where there is a clear link to </w:t>
      </w:r>
      <w:proofErr w:type="gramStart"/>
      <w:r>
        <w:t>efficiency</w:t>
      </w:r>
      <w:proofErr w:type="gramEnd"/>
    </w:p>
    <w:p w14:paraId="3A5F4174" w14:textId="77777777" w:rsidR="004430EF" w:rsidRDefault="004430EF" w:rsidP="004430EF">
      <w:pPr>
        <w:pStyle w:val="ListParagraph"/>
        <w:numPr>
          <w:ilvl w:val="0"/>
          <w:numId w:val="33"/>
        </w:numPr>
      </w:pPr>
      <w:r>
        <w:t>Meeting the post-efficient funding budget</w:t>
      </w:r>
    </w:p>
    <w:p w14:paraId="735ED71B" w14:textId="77777777" w:rsidR="004430EF" w:rsidRPr="008E5FA9" w:rsidRDefault="004430EF" w:rsidP="004430EF">
      <w:pPr>
        <w:pStyle w:val="ListParagraph"/>
        <w:numPr>
          <w:ilvl w:val="0"/>
          <w:numId w:val="33"/>
        </w:numPr>
      </w:pPr>
      <w:r>
        <w:t>Demonstrating appropriate asset stewardship.”</w:t>
      </w:r>
    </w:p>
    <w:p w14:paraId="186F0A17" w14:textId="77777777" w:rsidR="004430EF" w:rsidRDefault="004430EF" w:rsidP="004430EF">
      <w:pPr>
        <w:rPr>
          <w:rStyle w:val="eop"/>
          <w:rFonts w:cs="Arial"/>
          <w:color w:val="000000"/>
          <w:shd w:val="clear" w:color="auto" w:fill="FFFFFF"/>
        </w:rPr>
      </w:pPr>
      <w:r w:rsidRPr="00CD2228">
        <w:rPr>
          <w:rStyle w:val="eop"/>
          <w:rFonts w:cs="Arial"/>
          <w:color w:val="000000"/>
          <w:shd w:val="clear" w:color="auto" w:fill="FFFFFF"/>
        </w:rPr>
        <w:t>To date in RP2</w:t>
      </w:r>
      <w:r>
        <w:rPr>
          <w:rStyle w:val="eop"/>
          <w:rFonts w:cs="Arial"/>
          <w:color w:val="000000"/>
          <w:shd w:val="clear" w:color="auto" w:fill="FFFFFF"/>
        </w:rPr>
        <w:t>,</w:t>
      </w:r>
      <w:r w:rsidRPr="00CD2228">
        <w:rPr>
          <w:rStyle w:val="eop"/>
          <w:rFonts w:cs="Arial"/>
          <w:color w:val="000000"/>
          <w:shd w:val="clear" w:color="auto" w:fill="FFFFFF"/>
        </w:rPr>
        <w:t xml:space="preserve"> </w:t>
      </w:r>
      <w:r>
        <w:rPr>
          <w:rStyle w:val="eop"/>
          <w:rFonts w:cs="Arial"/>
          <w:color w:val="000000"/>
          <w:shd w:val="clear" w:color="auto" w:fill="FFFFFF"/>
        </w:rPr>
        <w:t>National Highway’s</w:t>
      </w:r>
      <w:r w:rsidRPr="00CD2228">
        <w:rPr>
          <w:rStyle w:val="eop"/>
          <w:rFonts w:cs="Arial"/>
          <w:color w:val="000000"/>
          <w:shd w:val="clear" w:color="auto" w:fill="FFFFFF"/>
        </w:rPr>
        <w:t xml:space="preserve"> </w:t>
      </w:r>
      <w:r>
        <w:rPr>
          <w:rStyle w:val="eop"/>
          <w:rFonts w:cs="Arial"/>
          <w:color w:val="000000"/>
          <w:shd w:val="clear" w:color="auto" w:fill="FFFFFF"/>
        </w:rPr>
        <w:t xml:space="preserve">renewals efficiency reporting and ORR’s monitoring </w:t>
      </w:r>
      <w:r w:rsidRPr="00CD2228">
        <w:rPr>
          <w:rStyle w:val="eop"/>
          <w:rFonts w:cs="Arial"/>
          <w:color w:val="000000"/>
          <w:shd w:val="clear" w:color="auto" w:fill="FFFFFF"/>
        </w:rPr>
        <w:t>has been</w:t>
      </w:r>
      <w:r>
        <w:rPr>
          <w:rStyle w:val="eop"/>
          <w:rFonts w:cs="Arial"/>
          <w:color w:val="000000"/>
          <w:shd w:val="clear" w:color="auto" w:fill="FFFFFF"/>
        </w:rPr>
        <w:t xml:space="preserve"> focused on evidence of delivery of output volumes within the post-efficient funding budget. We would like to better understand how efficiency reporting/monitoring could be developed for reporting: over/under delivery of outputs; performance on other RIS2 KPIs measuring renewals performance; and demonstrating asset stewardship.</w:t>
      </w:r>
    </w:p>
    <w:p w14:paraId="74919ACA" w14:textId="178F61FF" w:rsidR="00F20E70" w:rsidRDefault="00F20E70" w:rsidP="00F20E70">
      <w:pPr>
        <w:pStyle w:val="Heading3"/>
      </w:pPr>
      <w:r>
        <w:lastRenderedPageBreak/>
        <w:t>2.2 Project Objectives and Scope</w:t>
      </w:r>
      <w:bookmarkEnd w:id="11"/>
    </w:p>
    <w:p w14:paraId="694AB701" w14:textId="720F0CDB" w:rsidR="00E337AC" w:rsidRDefault="00E3793E" w:rsidP="003F3CB0">
      <w:pPr>
        <w:rPr>
          <w:rStyle w:val="eop"/>
          <w:rFonts w:cs="Arial"/>
          <w:color w:val="000000"/>
          <w:shd w:val="clear" w:color="auto" w:fill="FFFFFF"/>
        </w:rPr>
      </w:pPr>
      <w:r w:rsidRPr="00E3793E">
        <w:rPr>
          <w:rStyle w:val="eop"/>
          <w:rFonts w:cs="Arial"/>
          <w:b/>
          <w:bCs/>
          <w:color w:val="000000"/>
          <w:shd w:val="clear" w:color="auto" w:fill="FFFFFF"/>
        </w:rPr>
        <w:t xml:space="preserve">Objectives: </w:t>
      </w:r>
      <w:r w:rsidR="00E337AC" w:rsidRPr="00E337AC">
        <w:rPr>
          <w:rStyle w:val="eop"/>
          <w:rFonts w:cs="Arial"/>
          <w:color w:val="000000"/>
          <w:shd w:val="clear" w:color="auto" w:fill="FFFFFF"/>
        </w:rPr>
        <w:t>The objective</w:t>
      </w:r>
      <w:r w:rsidR="00E337AC">
        <w:rPr>
          <w:rStyle w:val="eop"/>
          <w:rFonts w:cs="Arial"/>
          <w:color w:val="000000"/>
          <w:shd w:val="clear" w:color="auto" w:fill="FFFFFF"/>
        </w:rPr>
        <w:t>s</w:t>
      </w:r>
      <w:r w:rsidR="00E337AC" w:rsidRPr="00E337AC">
        <w:rPr>
          <w:rStyle w:val="eop"/>
          <w:rFonts w:cs="Arial"/>
          <w:color w:val="000000"/>
          <w:shd w:val="clear" w:color="auto" w:fill="FFFFFF"/>
        </w:rPr>
        <w:t xml:space="preserve"> of this commission </w:t>
      </w:r>
      <w:r w:rsidR="00E337AC">
        <w:rPr>
          <w:rStyle w:val="eop"/>
          <w:rFonts w:cs="Arial"/>
          <w:color w:val="000000"/>
          <w:shd w:val="clear" w:color="auto" w:fill="FFFFFF"/>
        </w:rPr>
        <w:t>are</w:t>
      </w:r>
      <w:r w:rsidR="00E337AC" w:rsidRPr="00E337AC">
        <w:rPr>
          <w:rStyle w:val="eop"/>
          <w:rFonts w:cs="Arial"/>
          <w:color w:val="000000"/>
          <w:shd w:val="clear" w:color="auto" w:fill="FFFFFF"/>
        </w:rPr>
        <w:t xml:space="preserve"> to</w:t>
      </w:r>
      <w:r w:rsidR="00E337AC">
        <w:rPr>
          <w:rStyle w:val="eop"/>
          <w:rFonts w:cs="Arial"/>
          <w:color w:val="000000"/>
          <w:shd w:val="clear" w:color="auto" w:fill="FFFFFF"/>
        </w:rPr>
        <w:t xml:space="preserve"> review aspects of National Highways</w:t>
      </w:r>
      <w:r w:rsidR="005764FB">
        <w:rPr>
          <w:rStyle w:val="eop"/>
          <w:rFonts w:cs="Arial"/>
          <w:color w:val="000000"/>
          <w:shd w:val="clear" w:color="auto" w:fill="FFFFFF"/>
        </w:rPr>
        <w:t>’</w:t>
      </w:r>
      <w:r w:rsidR="00E337AC">
        <w:rPr>
          <w:rStyle w:val="eop"/>
          <w:rFonts w:cs="Arial"/>
          <w:color w:val="000000"/>
          <w:shd w:val="clear" w:color="auto" w:fill="FFFFFF"/>
        </w:rPr>
        <w:t xml:space="preserve"> efficiency reporting </w:t>
      </w:r>
      <w:r w:rsidR="00687728">
        <w:rPr>
          <w:rStyle w:val="eop"/>
          <w:rFonts w:cs="Arial"/>
          <w:color w:val="000000"/>
          <w:shd w:val="clear" w:color="auto" w:fill="FFFFFF"/>
        </w:rPr>
        <w:t>(headwind adjustments and</w:t>
      </w:r>
      <w:r w:rsidR="00E337AC">
        <w:rPr>
          <w:rStyle w:val="eop"/>
          <w:rFonts w:cs="Arial"/>
          <w:color w:val="000000"/>
          <w:shd w:val="clear" w:color="auto" w:fill="FFFFFF"/>
        </w:rPr>
        <w:t xml:space="preserve"> renewals</w:t>
      </w:r>
      <w:r w:rsidR="00687728">
        <w:rPr>
          <w:rStyle w:val="eop"/>
          <w:rFonts w:cs="Arial"/>
          <w:color w:val="000000"/>
          <w:shd w:val="clear" w:color="auto" w:fill="FFFFFF"/>
        </w:rPr>
        <w:t xml:space="preserve"> primary evidence)</w:t>
      </w:r>
      <w:r w:rsidR="00E337AC">
        <w:rPr>
          <w:rStyle w:val="eop"/>
          <w:rFonts w:cs="Arial"/>
          <w:color w:val="000000"/>
          <w:shd w:val="clear" w:color="auto" w:fill="FFFFFF"/>
        </w:rPr>
        <w:t xml:space="preserve"> and recommend improvements</w:t>
      </w:r>
      <w:r w:rsidR="00025BB7">
        <w:rPr>
          <w:rStyle w:val="eop"/>
          <w:rFonts w:cs="Arial"/>
          <w:color w:val="000000"/>
          <w:shd w:val="clear" w:color="auto" w:fill="FFFFFF"/>
        </w:rPr>
        <w:t>.</w:t>
      </w:r>
    </w:p>
    <w:p w14:paraId="1B788281" w14:textId="5FC7402D" w:rsidR="00D55C0F" w:rsidRPr="00107BD3" w:rsidRDefault="00D55C0F" w:rsidP="003F3CB0">
      <w:pPr>
        <w:rPr>
          <w:rStyle w:val="eop"/>
          <w:rFonts w:cs="Arial"/>
          <w:color w:val="000000"/>
          <w:shd w:val="clear" w:color="auto" w:fill="FFFFFF"/>
        </w:rPr>
      </w:pPr>
      <w:r w:rsidRPr="00D55C0F">
        <w:rPr>
          <w:rStyle w:val="eop"/>
          <w:rFonts w:cs="Arial"/>
          <w:b/>
          <w:bCs/>
          <w:color w:val="000000"/>
          <w:shd w:val="clear" w:color="auto" w:fill="FFFFFF"/>
        </w:rPr>
        <w:t>Scope</w:t>
      </w:r>
      <w:r w:rsidRPr="00D55C0F">
        <w:rPr>
          <w:rStyle w:val="eop"/>
          <w:rFonts w:cs="Arial"/>
          <w:color w:val="000000"/>
          <w:shd w:val="clear" w:color="auto" w:fill="FFFFFF"/>
        </w:rPr>
        <w:t xml:space="preserve">: </w:t>
      </w:r>
      <w:r w:rsidRPr="00107BD3">
        <w:rPr>
          <w:rStyle w:val="eop"/>
          <w:rFonts w:cs="Arial"/>
          <w:color w:val="000000"/>
          <w:shd w:val="clear" w:color="auto" w:fill="FFFFFF"/>
        </w:rPr>
        <w:t xml:space="preserve">Review aspects of National Highways efficiency reporting </w:t>
      </w:r>
      <w:r w:rsidR="00747B74" w:rsidRPr="00107BD3">
        <w:rPr>
          <w:rStyle w:val="eop"/>
          <w:rFonts w:cs="Arial"/>
          <w:color w:val="000000"/>
          <w:shd w:val="clear" w:color="auto" w:fill="FFFFFF"/>
        </w:rPr>
        <w:t>relating to headwind adjustments and</w:t>
      </w:r>
      <w:r w:rsidRPr="00107BD3">
        <w:rPr>
          <w:rStyle w:val="eop"/>
          <w:rFonts w:cs="Arial"/>
          <w:color w:val="000000"/>
          <w:shd w:val="clear" w:color="auto" w:fill="FFFFFF"/>
        </w:rPr>
        <w:t xml:space="preserve"> renewals </w:t>
      </w:r>
      <w:r w:rsidR="00747B74" w:rsidRPr="00107BD3">
        <w:rPr>
          <w:rStyle w:val="eop"/>
          <w:rFonts w:cs="Arial"/>
          <w:color w:val="000000"/>
          <w:shd w:val="clear" w:color="auto" w:fill="FFFFFF"/>
        </w:rPr>
        <w:t xml:space="preserve">performance </w:t>
      </w:r>
      <w:r w:rsidRPr="00107BD3">
        <w:rPr>
          <w:rStyle w:val="eop"/>
          <w:rFonts w:cs="Arial"/>
          <w:color w:val="000000"/>
          <w:shd w:val="clear" w:color="auto" w:fill="FFFFFF"/>
        </w:rPr>
        <w:t>and recommend improvements</w:t>
      </w:r>
      <w:r w:rsidR="00747B74" w:rsidRPr="00107BD3">
        <w:rPr>
          <w:rStyle w:val="eop"/>
          <w:rFonts w:cs="Arial"/>
          <w:color w:val="000000"/>
          <w:shd w:val="clear" w:color="auto" w:fill="FFFFFF"/>
        </w:rPr>
        <w:t>:</w:t>
      </w:r>
    </w:p>
    <w:p w14:paraId="51E0404E" w14:textId="52A782B4" w:rsidR="00747B74" w:rsidRPr="00747B74" w:rsidRDefault="00747B74" w:rsidP="00747B74">
      <w:pPr>
        <w:pStyle w:val="Numberedparagraphdouble"/>
        <w:numPr>
          <w:ilvl w:val="1"/>
          <w:numId w:val="34"/>
        </w:numPr>
        <w:rPr>
          <w:rStyle w:val="eop"/>
          <w:rFonts w:cs="Arial"/>
          <w:color w:val="000000"/>
          <w:shd w:val="clear" w:color="auto" w:fill="FFFFFF"/>
        </w:rPr>
      </w:pPr>
      <w:r w:rsidRPr="00747B74">
        <w:rPr>
          <w:rStyle w:val="eop"/>
          <w:rFonts w:cs="Arial"/>
          <w:color w:val="000000"/>
          <w:shd w:val="clear" w:color="auto" w:fill="FFFFFF"/>
        </w:rPr>
        <w:t xml:space="preserve">Review </w:t>
      </w:r>
      <w:r w:rsidR="008000FA">
        <w:rPr>
          <w:rStyle w:val="eop"/>
          <w:rFonts w:cs="Arial"/>
          <w:color w:val="000000"/>
          <w:shd w:val="clear" w:color="auto" w:fill="FFFFFF"/>
        </w:rPr>
        <w:t>National Highway’s submissions</w:t>
      </w:r>
      <w:r w:rsidRPr="00747B74">
        <w:rPr>
          <w:rStyle w:val="eop"/>
          <w:rFonts w:cs="Arial"/>
          <w:color w:val="000000"/>
          <w:shd w:val="clear" w:color="auto" w:fill="FFFFFF"/>
        </w:rPr>
        <w:t xml:space="preserve"> for reported efficiency headwind adjustments in RP2. Critically evaluate evidence provided to support its proposed headwind adjustments </w:t>
      </w:r>
      <w:r w:rsidR="00025BB7">
        <w:rPr>
          <w:rStyle w:val="eop"/>
          <w:rFonts w:cs="Arial"/>
          <w:color w:val="000000"/>
          <w:shd w:val="clear" w:color="auto" w:fill="FFFFFF"/>
        </w:rPr>
        <w:t>(</w:t>
      </w:r>
      <w:r w:rsidRPr="00747B74">
        <w:rPr>
          <w:rStyle w:val="eop"/>
          <w:rFonts w:cs="Arial"/>
          <w:color w:val="000000"/>
          <w:shd w:val="clear" w:color="auto" w:fill="FFFFFF"/>
        </w:rPr>
        <w:t>excluding inflation</w:t>
      </w:r>
      <w:r w:rsidR="00025BB7">
        <w:rPr>
          <w:rStyle w:val="eop"/>
          <w:rFonts w:cs="Arial"/>
          <w:color w:val="000000"/>
          <w:shd w:val="clear" w:color="auto" w:fill="FFFFFF"/>
        </w:rPr>
        <w:t>)</w:t>
      </w:r>
      <w:r w:rsidRPr="00747B74">
        <w:rPr>
          <w:rStyle w:val="eop"/>
          <w:rFonts w:cs="Arial"/>
          <w:color w:val="000000"/>
          <w:shd w:val="clear" w:color="auto" w:fill="FFFFFF"/>
        </w:rPr>
        <w:t>.</w:t>
      </w:r>
    </w:p>
    <w:p w14:paraId="230FC143" w14:textId="33FFA459" w:rsidR="00747B74" w:rsidRPr="00747B74" w:rsidRDefault="00747B74" w:rsidP="00747B74">
      <w:pPr>
        <w:pStyle w:val="Numberedparagraphdouble"/>
        <w:numPr>
          <w:ilvl w:val="1"/>
          <w:numId w:val="34"/>
        </w:numPr>
        <w:rPr>
          <w:rStyle w:val="eop"/>
          <w:rFonts w:cs="Arial"/>
          <w:color w:val="000000"/>
          <w:shd w:val="clear" w:color="auto" w:fill="FFFFFF"/>
        </w:rPr>
      </w:pPr>
      <w:r w:rsidRPr="00747B74">
        <w:rPr>
          <w:rStyle w:val="eop"/>
          <w:rFonts w:cs="Arial"/>
          <w:color w:val="000000"/>
          <w:shd w:val="clear" w:color="auto" w:fill="FFFFFF"/>
        </w:rPr>
        <w:t xml:space="preserve">Identify whether National Highways has benefited from any material tailwind efficiency gains in RP2 and </w:t>
      </w:r>
      <w:r w:rsidR="00930D3C">
        <w:rPr>
          <w:rStyle w:val="eop"/>
          <w:rFonts w:cs="Arial"/>
          <w:color w:val="000000"/>
          <w:shd w:val="clear" w:color="auto" w:fill="FFFFFF"/>
        </w:rPr>
        <w:t xml:space="preserve">suggest </w:t>
      </w:r>
      <w:r w:rsidR="004430EF">
        <w:rPr>
          <w:rStyle w:val="eop"/>
          <w:rFonts w:cs="Arial"/>
          <w:color w:val="000000"/>
          <w:shd w:val="clear" w:color="auto" w:fill="FFFFFF"/>
        </w:rPr>
        <w:t xml:space="preserve">an </w:t>
      </w:r>
      <w:r w:rsidR="00930D3C">
        <w:rPr>
          <w:rStyle w:val="eop"/>
          <w:rFonts w:cs="Arial"/>
          <w:color w:val="000000"/>
          <w:shd w:val="clear" w:color="auto" w:fill="FFFFFF"/>
        </w:rPr>
        <w:t>approach to</w:t>
      </w:r>
      <w:r w:rsidRPr="00747B74">
        <w:rPr>
          <w:rStyle w:val="eop"/>
          <w:rFonts w:cs="Arial"/>
          <w:color w:val="000000"/>
          <w:shd w:val="clear" w:color="auto" w:fill="FFFFFF"/>
        </w:rPr>
        <w:t xml:space="preserve"> quantify the benefit.</w:t>
      </w:r>
    </w:p>
    <w:p w14:paraId="2E75E169" w14:textId="47C72195" w:rsidR="00747B74" w:rsidRPr="00747B74" w:rsidRDefault="00747B74" w:rsidP="00747B74">
      <w:pPr>
        <w:pStyle w:val="Numberedparagraphdouble"/>
        <w:numPr>
          <w:ilvl w:val="1"/>
          <w:numId w:val="34"/>
        </w:numPr>
        <w:rPr>
          <w:rStyle w:val="eop"/>
          <w:rFonts w:cs="Arial"/>
          <w:color w:val="000000"/>
          <w:shd w:val="clear" w:color="auto" w:fill="FFFFFF"/>
        </w:rPr>
      </w:pPr>
      <w:r w:rsidRPr="00747B74">
        <w:rPr>
          <w:rStyle w:val="eop"/>
          <w:rFonts w:cs="Arial"/>
          <w:color w:val="000000"/>
          <w:shd w:val="clear" w:color="auto" w:fill="FFFFFF"/>
        </w:rPr>
        <w:t>Provide advice to ORR and National Highways on how headwind/tailwind adjustments should be considered in future road periods</w:t>
      </w:r>
      <w:r w:rsidR="00F9058B">
        <w:rPr>
          <w:rStyle w:val="eop"/>
          <w:rFonts w:cs="Arial"/>
          <w:color w:val="000000"/>
          <w:shd w:val="clear" w:color="auto" w:fill="FFFFFF"/>
        </w:rPr>
        <w:t xml:space="preserve"> including advice on developing the EIMM to reflect the agreed approach</w:t>
      </w:r>
      <w:r w:rsidRPr="00747B74">
        <w:rPr>
          <w:rStyle w:val="eop"/>
          <w:rFonts w:cs="Arial"/>
          <w:color w:val="000000"/>
          <w:shd w:val="clear" w:color="auto" w:fill="FFFFFF"/>
        </w:rPr>
        <w:t>.</w:t>
      </w:r>
    </w:p>
    <w:p w14:paraId="7B554A37" w14:textId="522097FA" w:rsidR="00747B74" w:rsidRPr="00747B74" w:rsidRDefault="00747B74" w:rsidP="00747B74">
      <w:pPr>
        <w:pStyle w:val="Numberedparagraphdouble"/>
        <w:numPr>
          <w:ilvl w:val="1"/>
          <w:numId w:val="34"/>
        </w:numPr>
        <w:rPr>
          <w:rStyle w:val="eop"/>
          <w:rFonts w:cs="Arial"/>
          <w:color w:val="000000"/>
          <w:shd w:val="clear" w:color="auto" w:fill="FFFFFF"/>
        </w:rPr>
      </w:pPr>
      <w:r w:rsidRPr="00747B74">
        <w:rPr>
          <w:rStyle w:val="eop"/>
          <w:rFonts w:cs="Arial"/>
          <w:color w:val="000000"/>
          <w:shd w:val="clear" w:color="auto" w:fill="FFFFFF"/>
        </w:rPr>
        <w:t>Review National Highways</w:t>
      </w:r>
      <w:r w:rsidR="005764FB">
        <w:rPr>
          <w:rStyle w:val="eop"/>
          <w:rFonts w:cs="Arial"/>
          <w:color w:val="000000"/>
          <w:shd w:val="clear" w:color="auto" w:fill="FFFFFF"/>
        </w:rPr>
        <w:t>’</w:t>
      </w:r>
      <w:r w:rsidRPr="00747B74">
        <w:rPr>
          <w:rStyle w:val="eop"/>
          <w:rFonts w:cs="Arial"/>
          <w:color w:val="000000"/>
          <w:shd w:val="clear" w:color="auto" w:fill="FFFFFF"/>
        </w:rPr>
        <w:t xml:space="preserve"> primary embedded efficiency evidence for renewals in RP2. </w:t>
      </w:r>
      <w:r w:rsidR="001D6C42" w:rsidRPr="00747B74">
        <w:rPr>
          <w:rStyle w:val="eop"/>
          <w:rFonts w:cs="Arial"/>
          <w:color w:val="000000"/>
          <w:shd w:val="clear" w:color="auto" w:fill="FFFFFF"/>
        </w:rPr>
        <w:t>Consider</w:t>
      </w:r>
      <w:r w:rsidRPr="00747B74">
        <w:rPr>
          <w:rStyle w:val="eop"/>
          <w:rFonts w:cs="Arial"/>
          <w:color w:val="000000"/>
          <w:shd w:val="clear" w:color="auto" w:fill="FFFFFF"/>
        </w:rPr>
        <w:t xml:space="preserve"> the degree to which National Highways is over-</w:t>
      </w:r>
      <w:r w:rsidR="005764FB">
        <w:rPr>
          <w:rStyle w:val="eop"/>
          <w:rFonts w:cs="Arial"/>
          <w:color w:val="000000"/>
          <w:shd w:val="clear" w:color="auto" w:fill="FFFFFF"/>
        </w:rPr>
        <w:t xml:space="preserve"> or under-</w:t>
      </w:r>
      <w:r w:rsidRPr="00747B74">
        <w:rPr>
          <w:rStyle w:val="eop"/>
          <w:rFonts w:cs="Arial"/>
          <w:color w:val="000000"/>
          <w:shd w:val="clear" w:color="auto" w:fill="FFFFFF"/>
        </w:rPr>
        <w:t>delivering renewals outputs compared to RIS and Delivery Plan commitments</w:t>
      </w:r>
      <w:r w:rsidR="001D6C42">
        <w:rPr>
          <w:rStyle w:val="eop"/>
          <w:rFonts w:cs="Arial"/>
          <w:color w:val="000000"/>
          <w:shd w:val="clear" w:color="auto" w:fill="FFFFFF"/>
        </w:rPr>
        <w:t xml:space="preserve"> and how this affects its reported efficiency</w:t>
      </w:r>
      <w:r w:rsidRPr="00747B74">
        <w:rPr>
          <w:rStyle w:val="eop"/>
          <w:rFonts w:cs="Arial"/>
          <w:color w:val="000000"/>
          <w:shd w:val="clear" w:color="auto" w:fill="FFFFFF"/>
        </w:rPr>
        <w:t xml:space="preserve">. This should be supported by an </w:t>
      </w:r>
      <w:r w:rsidR="001D6C42">
        <w:rPr>
          <w:rStyle w:val="eop"/>
          <w:rFonts w:cs="Arial"/>
          <w:color w:val="000000"/>
          <w:shd w:val="clear" w:color="auto" w:fill="FFFFFF"/>
        </w:rPr>
        <w:t>assessment of how performance on renewals related KPIs and demonstrating asset stewardship provides evidence of efficiency. This is to include</w:t>
      </w:r>
      <w:r w:rsidR="005764FB">
        <w:rPr>
          <w:rStyle w:val="eop"/>
          <w:rFonts w:cs="Arial"/>
          <w:color w:val="000000"/>
          <w:shd w:val="clear" w:color="auto" w:fill="FFFFFF"/>
        </w:rPr>
        <w:t>, but not necessarily be limited to,</w:t>
      </w:r>
      <w:r w:rsidR="001D6C42">
        <w:rPr>
          <w:rStyle w:val="eop"/>
          <w:rFonts w:cs="Arial"/>
          <w:color w:val="000000"/>
          <w:shd w:val="clear" w:color="auto" w:fill="FFFFFF"/>
        </w:rPr>
        <w:t xml:space="preserve"> consideration of </w:t>
      </w:r>
      <w:r w:rsidR="005764FB">
        <w:rPr>
          <w:rStyle w:val="eop"/>
          <w:rFonts w:cs="Arial"/>
          <w:color w:val="000000"/>
          <w:shd w:val="clear" w:color="auto" w:fill="FFFFFF"/>
        </w:rPr>
        <w:t xml:space="preserve">the </w:t>
      </w:r>
      <w:r w:rsidR="001D6C42">
        <w:rPr>
          <w:rStyle w:val="eop"/>
          <w:rFonts w:cs="Arial"/>
          <w:color w:val="000000"/>
          <w:shd w:val="clear" w:color="auto" w:fill="FFFFFF"/>
        </w:rPr>
        <w:t>depth</w:t>
      </w:r>
      <w:r w:rsidR="005764FB">
        <w:rPr>
          <w:rStyle w:val="eop"/>
          <w:rFonts w:cs="Arial"/>
          <w:color w:val="000000"/>
          <w:shd w:val="clear" w:color="auto" w:fill="FFFFFF"/>
        </w:rPr>
        <w:t xml:space="preserve"> of pavement renewals</w:t>
      </w:r>
      <w:r w:rsidR="001D6C42">
        <w:rPr>
          <w:rStyle w:val="eop"/>
          <w:rFonts w:cs="Arial"/>
          <w:color w:val="000000"/>
          <w:shd w:val="clear" w:color="auto" w:fill="FFFFFF"/>
        </w:rPr>
        <w:t>,</w:t>
      </w:r>
      <w:r w:rsidRPr="00747B74">
        <w:rPr>
          <w:rStyle w:val="eop"/>
          <w:rFonts w:cs="Arial"/>
          <w:color w:val="000000"/>
          <w:shd w:val="clear" w:color="auto" w:fill="FFFFFF"/>
        </w:rPr>
        <w:t xml:space="preserve"> </w:t>
      </w:r>
      <w:r w:rsidR="001D6C42">
        <w:rPr>
          <w:rStyle w:val="eop"/>
          <w:rFonts w:cs="Arial"/>
          <w:color w:val="000000"/>
          <w:shd w:val="clear" w:color="auto" w:fill="FFFFFF"/>
        </w:rPr>
        <w:t xml:space="preserve">annual </w:t>
      </w:r>
      <w:r w:rsidRPr="00747B74">
        <w:rPr>
          <w:rStyle w:val="eop"/>
          <w:rFonts w:cs="Arial"/>
          <w:color w:val="000000"/>
          <w:shd w:val="clear" w:color="auto" w:fill="FFFFFF"/>
        </w:rPr>
        <w:t xml:space="preserve">delivery profile and life-extension </w:t>
      </w:r>
      <w:r w:rsidR="001D6C42">
        <w:rPr>
          <w:rStyle w:val="eop"/>
          <w:rFonts w:cs="Arial"/>
          <w:color w:val="000000"/>
          <w:shd w:val="clear" w:color="auto" w:fill="FFFFFF"/>
        </w:rPr>
        <w:t xml:space="preserve">concrete pavement works </w:t>
      </w:r>
      <w:r w:rsidRPr="00747B74">
        <w:rPr>
          <w:rStyle w:val="eop"/>
          <w:rFonts w:cs="Arial"/>
          <w:color w:val="000000"/>
          <w:shd w:val="clear" w:color="auto" w:fill="FFFFFF"/>
        </w:rPr>
        <w:t>vs full reconstruction</w:t>
      </w:r>
      <w:r w:rsidR="005764FB">
        <w:rPr>
          <w:rStyle w:val="eop"/>
          <w:rFonts w:cs="Arial"/>
          <w:color w:val="000000"/>
          <w:shd w:val="clear" w:color="auto" w:fill="FFFFFF"/>
        </w:rPr>
        <w:t xml:space="preserve">. This task should also consider the weighting of over- or under-delivery </w:t>
      </w:r>
      <w:r w:rsidR="008B1566">
        <w:rPr>
          <w:rStyle w:val="eop"/>
          <w:rFonts w:cs="Arial"/>
          <w:color w:val="000000"/>
          <w:shd w:val="clear" w:color="auto" w:fill="FFFFFF"/>
        </w:rPr>
        <w:t>for</w:t>
      </w:r>
      <w:r w:rsidR="005764FB">
        <w:rPr>
          <w:rStyle w:val="eop"/>
          <w:rFonts w:cs="Arial"/>
          <w:color w:val="000000"/>
          <w:shd w:val="clear" w:color="auto" w:fill="FFFFFF"/>
        </w:rPr>
        <w:t xml:space="preserve"> different </w:t>
      </w:r>
      <w:r w:rsidR="008B1566">
        <w:rPr>
          <w:rStyle w:val="eop"/>
          <w:rFonts w:cs="Arial"/>
          <w:color w:val="000000"/>
          <w:shd w:val="clear" w:color="auto" w:fill="FFFFFF"/>
        </w:rPr>
        <w:t>asset-types</w:t>
      </w:r>
      <w:r w:rsidR="005764FB">
        <w:rPr>
          <w:rStyle w:val="eop"/>
          <w:rFonts w:cs="Arial"/>
          <w:color w:val="000000"/>
          <w:shd w:val="clear" w:color="auto" w:fill="FFFFFF"/>
        </w:rPr>
        <w:t>, to come to a net position.</w:t>
      </w:r>
    </w:p>
    <w:p w14:paraId="655FE896" w14:textId="454E6C00" w:rsidR="00747B74" w:rsidRDefault="00747B74" w:rsidP="00747B74">
      <w:pPr>
        <w:pStyle w:val="Numberedparagraphdouble"/>
        <w:numPr>
          <w:ilvl w:val="1"/>
          <w:numId w:val="34"/>
        </w:numPr>
        <w:rPr>
          <w:rStyle w:val="eop"/>
          <w:rFonts w:cs="Arial"/>
          <w:color w:val="000000"/>
          <w:shd w:val="clear" w:color="auto" w:fill="FFFFFF"/>
        </w:rPr>
      </w:pPr>
      <w:r w:rsidRPr="00747B74">
        <w:rPr>
          <w:rStyle w:val="eop"/>
          <w:rFonts w:cs="Arial"/>
          <w:color w:val="000000"/>
          <w:shd w:val="clear" w:color="auto" w:fill="FFFFFF"/>
        </w:rPr>
        <w:t xml:space="preserve">Provide advice to ORR and National Highways on how renewals </w:t>
      </w:r>
      <w:r w:rsidR="001D6C42">
        <w:rPr>
          <w:rStyle w:val="eop"/>
          <w:rFonts w:cs="Arial"/>
          <w:color w:val="000000"/>
          <w:shd w:val="clear" w:color="auto" w:fill="FFFFFF"/>
        </w:rPr>
        <w:t>primary efficiency evidence can be defined in future road periods to provide additional clarity on what is expected from renewals reporting and monitoring for efficiency purposes</w:t>
      </w:r>
      <w:r w:rsidRPr="00747B74">
        <w:rPr>
          <w:rStyle w:val="eop"/>
          <w:rFonts w:cs="Arial"/>
          <w:color w:val="000000"/>
          <w:shd w:val="clear" w:color="auto" w:fill="FFFFFF"/>
        </w:rPr>
        <w:t>.</w:t>
      </w:r>
      <w:r w:rsidR="00C96DE4">
        <w:rPr>
          <w:rStyle w:val="eop"/>
          <w:rFonts w:cs="Arial"/>
          <w:color w:val="000000"/>
          <w:shd w:val="clear" w:color="auto" w:fill="FFFFFF"/>
        </w:rPr>
        <w:t xml:space="preserve"> This is to include proposing a framework for how over- </w:t>
      </w:r>
      <w:r w:rsidR="004430EF">
        <w:rPr>
          <w:rStyle w:val="eop"/>
          <w:rFonts w:cs="Arial"/>
          <w:color w:val="000000"/>
          <w:shd w:val="clear" w:color="auto" w:fill="FFFFFF"/>
        </w:rPr>
        <w:t xml:space="preserve">or </w:t>
      </w:r>
      <w:r w:rsidR="00C96DE4">
        <w:rPr>
          <w:rStyle w:val="eop"/>
          <w:rFonts w:cs="Arial"/>
          <w:color w:val="000000"/>
          <w:shd w:val="clear" w:color="auto" w:fill="FFFFFF"/>
        </w:rPr>
        <w:t>under-delivery is assessed and what reporting would be required.</w:t>
      </w:r>
    </w:p>
    <w:p w14:paraId="25100063" w14:textId="77777777" w:rsidR="00930D3C" w:rsidRDefault="00930D3C" w:rsidP="00930D3C">
      <w:pPr>
        <w:pStyle w:val="Numberedparagraphdouble"/>
        <w:numPr>
          <w:ilvl w:val="0"/>
          <w:numId w:val="0"/>
        </w:numPr>
        <w:ind w:left="360"/>
        <w:rPr>
          <w:rStyle w:val="eop"/>
          <w:rFonts w:cs="Arial"/>
          <w:color w:val="000000"/>
          <w:shd w:val="clear" w:color="auto" w:fill="FFFFFF"/>
        </w:rPr>
      </w:pPr>
    </w:p>
    <w:p w14:paraId="3ACB7872" w14:textId="77777777" w:rsidR="00D55C0F" w:rsidRPr="00D55C0F" w:rsidRDefault="00D55C0F" w:rsidP="003F3CB0">
      <w:pPr>
        <w:rPr>
          <w:rStyle w:val="eop"/>
          <w:rFonts w:cs="Arial"/>
          <w:b/>
          <w:bCs/>
          <w:color w:val="000000"/>
          <w:shd w:val="clear" w:color="auto" w:fill="FFFFFF"/>
        </w:rPr>
      </w:pPr>
    </w:p>
    <w:p w14:paraId="69A75C90" w14:textId="4E7D31A8" w:rsidR="003F3CB0" w:rsidRDefault="003F3CB0" w:rsidP="003F3CB0">
      <w:pPr>
        <w:pStyle w:val="Heading3"/>
      </w:pPr>
      <w:bookmarkStart w:id="12" w:name="_Toc146540077"/>
      <w:r w:rsidRPr="003F3CB0">
        <w:lastRenderedPageBreak/>
        <w:t>2.3 Project Outputs, Deliverables and Contract Management</w:t>
      </w:r>
      <w:bookmarkEnd w:id="12"/>
    </w:p>
    <w:p w14:paraId="480D8983" w14:textId="77777777" w:rsidR="00DB02EF" w:rsidRDefault="00DB02EF" w:rsidP="00DB02EF">
      <w:pPr>
        <w:pStyle w:val="Heading4"/>
      </w:pPr>
      <w:r>
        <w:t>Outputs and Deliverables</w:t>
      </w:r>
    </w:p>
    <w:p w14:paraId="7746E1CF" w14:textId="77B2B6FD" w:rsidR="00DB02EF" w:rsidRDefault="00DB02EF" w:rsidP="00DB02EF">
      <w:r>
        <w:t>The consultant is to deliver:</w:t>
      </w:r>
    </w:p>
    <w:p w14:paraId="7551CC97" w14:textId="323D092B" w:rsidR="00DB02EF" w:rsidRDefault="00DB02EF" w:rsidP="00DB02EF">
      <w:pPr>
        <w:pStyle w:val="NormalBulletround"/>
      </w:pPr>
      <w:r>
        <w:t>Interim presentation of emerging findings</w:t>
      </w:r>
    </w:p>
    <w:p w14:paraId="5E22A993" w14:textId="22C45A3A" w:rsidR="00DB02EF" w:rsidRDefault="00DB02EF" w:rsidP="00DB02EF">
      <w:pPr>
        <w:pStyle w:val="NormalBulletround"/>
      </w:pPr>
      <w:r>
        <w:t>Draft report</w:t>
      </w:r>
      <w:r w:rsidR="007D496B">
        <w:t>(s)</w:t>
      </w:r>
      <w:r>
        <w:t xml:space="preserve"> for comment </w:t>
      </w:r>
      <w:r w:rsidR="007D496B">
        <w:t>by ORR</w:t>
      </w:r>
      <w:r w:rsidR="004430EF">
        <w:t xml:space="preserve"> and</w:t>
      </w:r>
      <w:r w:rsidR="007D496B">
        <w:t xml:space="preserve"> National Highways </w:t>
      </w:r>
      <w:r>
        <w:t xml:space="preserve">which details the findings, conclusions and </w:t>
      </w:r>
      <w:proofErr w:type="gramStart"/>
      <w:r>
        <w:t>recommendations</w:t>
      </w:r>
      <w:proofErr w:type="gramEnd"/>
      <w:r>
        <w:t xml:space="preserve">  </w:t>
      </w:r>
    </w:p>
    <w:p w14:paraId="72D05BD1" w14:textId="2360F40B" w:rsidR="00DB02EF" w:rsidRDefault="00DB02EF" w:rsidP="00DB02EF">
      <w:pPr>
        <w:pStyle w:val="NormalBulletround"/>
      </w:pPr>
      <w:r>
        <w:t>Final report</w:t>
      </w:r>
      <w:r w:rsidR="007D496B">
        <w:t>(s)</w:t>
      </w:r>
      <w:r>
        <w:t xml:space="preserve"> which incorporates the amendments from ORR</w:t>
      </w:r>
      <w:r w:rsidR="007D496B">
        <w:t>. The report(s) should a</w:t>
      </w:r>
      <w:r w:rsidR="005764FB">
        <w:t>d</w:t>
      </w:r>
      <w:r w:rsidR="007D496B">
        <w:t xml:space="preserve">here to </w:t>
      </w:r>
      <w:hyperlink r:id="rId21" w:history="1">
        <w:r w:rsidR="007D496B" w:rsidRPr="004F6111">
          <w:rPr>
            <w:rStyle w:val="Hyperlink"/>
            <w:b/>
            <w:bCs/>
          </w:rPr>
          <w:t xml:space="preserve"> </w:t>
        </w:r>
      </w:hyperlink>
      <w:hyperlink r:id="rId22" w:history="1">
        <w:r w:rsidR="007D496B">
          <w:rPr>
            <w:rStyle w:val="Hyperlink"/>
          </w:rPr>
          <w:t>Guidelines for writing accessible reports for ORR - Guidance for external suppliers | Office of Rail and Road</w:t>
        </w:r>
      </w:hyperlink>
    </w:p>
    <w:p w14:paraId="3E5F64F3" w14:textId="052C5092" w:rsidR="00DB02EF" w:rsidRDefault="00DB02EF" w:rsidP="00DB02EF">
      <w:pPr>
        <w:pStyle w:val="NormalBulletround"/>
      </w:pPr>
      <w:r>
        <w:t>A presentation of the findings and recommendations to the ORR</w:t>
      </w:r>
    </w:p>
    <w:p w14:paraId="30DFB785" w14:textId="439A37DA" w:rsidR="00DB02EF" w:rsidRDefault="00DB02EF" w:rsidP="00DB02EF">
      <w:pPr>
        <w:pStyle w:val="Heading4"/>
      </w:pPr>
      <w:r>
        <w:t>Contract Management Requirements</w:t>
      </w:r>
    </w:p>
    <w:p w14:paraId="352690C4" w14:textId="18D2B2DA" w:rsidR="00F632F3" w:rsidRDefault="00F632F3" w:rsidP="00DB02EF">
      <w:r w:rsidRPr="00F632F3">
        <w:t>We expect to hold fortnightly progress meetings on MS Teams. Consultants should provide a brief email progress report in advance.</w:t>
      </w:r>
    </w:p>
    <w:p w14:paraId="4617426C" w14:textId="77777777" w:rsidR="009F4762" w:rsidRPr="009F4762" w:rsidRDefault="009F4762" w:rsidP="009F4762">
      <w:r w:rsidRPr="009F4762">
        <w:t>National Highways is supportive of this review and will facilitate access to its staff and other information as appropriate. National Highways’ involvement will be co-ordinated through its Customer, Strategy and Communications team who are responsible for managing the relationship with ORR. The Customer, Strategy and Communications team will assist in scheduling meetings and dealing with data requests. Engagement with National Highways should be proportionate and sensitive to resource pressures. </w:t>
      </w:r>
    </w:p>
    <w:p w14:paraId="055C06AD" w14:textId="65580DC6" w:rsidR="009F4762" w:rsidRPr="009F4762" w:rsidRDefault="009F4762" w:rsidP="009F4762">
      <w:r>
        <w:t xml:space="preserve">The </w:t>
      </w:r>
      <w:r w:rsidR="632374A0">
        <w:t>consultants</w:t>
      </w:r>
      <w:r>
        <w:t xml:space="preserve">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w:t>
      </w:r>
      <w:proofErr w:type="gramStart"/>
      <w:r>
        <w:t>analysis</w:t>
      </w:r>
      <w:proofErr w:type="gramEnd"/>
      <w:r>
        <w:t xml:space="preserve"> or reports prepared for ORR by the consultancy, and which includes any of the confidential information, is. </w:t>
      </w:r>
    </w:p>
    <w:p w14:paraId="3678BB5E" w14:textId="1EF639A7" w:rsidR="009F4762" w:rsidRPr="009F4762" w:rsidRDefault="009F4762" w:rsidP="009F4762">
      <w:r>
        <w:t>The appointed consultancy will have access to available information necessary to carry out the project and to deliver the objectives and requirements identified above. </w:t>
      </w:r>
      <w:r w:rsidR="00AB111B">
        <w:t xml:space="preserve">This may include attending scheduled </w:t>
      </w:r>
      <w:r w:rsidR="7873274D">
        <w:t xml:space="preserve">ORR and National Highways </w:t>
      </w:r>
      <w:r w:rsidR="00AB111B">
        <w:t>efficiency engagement meetings</w:t>
      </w:r>
      <w:r w:rsidR="4FA8821A">
        <w:t>.</w:t>
      </w:r>
      <w:r w:rsidR="00AB111B">
        <w:t xml:space="preserve"> </w:t>
      </w:r>
    </w:p>
    <w:p w14:paraId="51C0FF75" w14:textId="77777777" w:rsidR="009F4762" w:rsidRPr="00F632F3" w:rsidRDefault="009F4762" w:rsidP="00DB02EF"/>
    <w:p w14:paraId="75F8969E" w14:textId="18013AB0" w:rsidR="00D6160E" w:rsidRDefault="00AF7AF9" w:rsidP="00AF7AF9">
      <w:pPr>
        <w:pStyle w:val="Heading3"/>
      </w:pPr>
      <w:bookmarkStart w:id="13" w:name="_Toc146540078"/>
      <w:r>
        <w:t>2.4 Project Timescales</w:t>
      </w:r>
      <w:bookmarkEnd w:id="13"/>
    </w:p>
    <w:p w14:paraId="232D4288" w14:textId="77777777" w:rsidR="00AF7AF9" w:rsidRDefault="00AF7AF9" w:rsidP="00AF7AF9">
      <w:r>
        <w:t>The provisional project timetable is as follows:</w:t>
      </w:r>
    </w:p>
    <w:p w14:paraId="1A5E1720" w14:textId="6AE67F46" w:rsidR="00AF7AF9" w:rsidRDefault="00AF7AF9" w:rsidP="00AF7AF9">
      <w:pPr>
        <w:pStyle w:val="NormalBulletround"/>
      </w:pPr>
      <w:proofErr w:type="spellStart"/>
      <w:r>
        <w:t>Start up</w:t>
      </w:r>
      <w:proofErr w:type="spellEnd"/>
      <w:r>
        <w:t xml:space="preserve"> meeting and commencement w/c </w:t>
      </w:r>
      <w:r w:rsidR="00A47721">
        <w:t>06 November</w:t>
      </w:r>
      <w:r w:rsidR="009F4762">
        <w:t xml:space="preserve"> 2023</w:t>
      </w:r>
      <w:r>
        <w:t>.</w:t>
      </w:r>
    </w:p>
    <w:p w14:paraId="26A9F78D" w14:textId="7733B4A1" w:rsidR="00AF7AF9" w:rsidRDefault="009F4762" w:rsidP="00AF7AF9">
      <w:pPr>
        <w:pStyle w:val="NormalBulletround"/>
      </w:pPr>
      <w:r>
        <w:t>Fortnightly</w:t>
      </w:r>
      <w:r w:rsidR="00AF7AF9">
        <w:t xml:space="preserve"> updates on progress and any issues</w:t>
      </w:r>
    </w:p>
    <w:p w14:paraId="618A964A" w14:textId="38A16990" w:rsidR="00AF7AF9" w:rsidRDefault="00AF7AF9" w:rsidP="00AF7AF9">
      <w:pPr>
        <w:pStyle w:val="NormalBulletround"/>
      </w:pPr>
      <w:r>
        <w:t xml:space="preserve">Presentation of interim findings on </w:t>
      </w:r>
      <w:r w:rsidR="004430EF">
        <w:t xml:space="preserve">01 January 2024 </w:t>
      </w:r>
      <w:r>
        <w:t>(or as agreed)</w:t>
      </w:r>
    </w:p>
    <w:p w14:paraId="1CB48C52" w14:textId="10A899DC" w:rsidR="00AF7AF9" w:rsidRDefault="00AF7AF9" w:rsidP="00AF7AF9">
      <w:pPr>
        <w:pStyle w:val="NormalBulletround"/>
      </w:pPr>
      <w:r>
        <w:t>Draft report by</w:t>
      </w:r>
      <w:r w:rsidR="008C201C">
        <w:t xml:space="preserve"> </w:t>
      </w:r>
      <w:r w:rsidR="004430EF">
        <w:t xml:space="preserve">31 </w:t>
      </w:r>
      <w:r w:rsidR="00663DB5">
        <w:t>January 2024</w:t>
      </w:r>
      <w:r>
        <w:t>.</w:t>
      </w:r>
    </w:p>
    <w:p w14:paraId="5577EDCB" w14:textId="0D427F53" w:rsidR="00AF7AF9" w:rsidRDefault="00AF7AF9" w:rsidP="00AF7AF9">
      <w:pPr>
        <w:pStyle w:val="NormalBulletround"/>
      </w:pPr>
      <w:r>
        <w:t xml:space="preserve">Final report by </w:t>
      </w:r>
      <w:r w:rsidR="004430EF">
        <w:t xml:space="preserve">29 </w:t>
      </w:r>
      <w:r w:rsidR="00663DB5">
        <w:t>February 2024</w:t>
      </w:r>
    </w:p>
    <w:p w14:paraId="76E3EE61" w14:textId="420F91D1" w:rsidR="00AF7AF9" w:rsidRDefault="00AF7AF9" w:rsidP="00AF7AF9">
      <w:pPr>
        <w:pStyle w:val="Heading3"/>
      </w:pPr>
      <w:bookmarkStart w:id="14" w:name="_Toc146540079"/>
      <w:r w:rsidRPr="00AF7AF9">
        <w:t>2.5 Budget and Payment Schedule</w:t>
      </w:r>
      <w:bookmarkEnd w:id="14"/>
    </w:p>
    <w:p w14:paraId="7D86A410" w14:textId="3D633BAB" w:rsidR="00D401C8" w:rsidRDefault="00D401C8" w:rsidP="00D401C8">
      <w:r>
        <w:t xml:space="preserve">The maximum budget for this piece of work is </w:t>
      </w:r>
      <w:r w:rsidRPr="00975960">
        <w:t>£</w:t>
      </w:r>
      <w:r w:rsidR="00CE7FB9" w:rsidRPr="00975960">
        <w:t>40</w:t>
      </w:r>
      <w:r w:rsidR="00CE7FB9">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46540080"/>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46540081"/>
      <w:r>
        <w:lastRenderedPageBreak/>
        <w:t>Tender Response and Evaluation Criteria</w:t>
      </w:r>
      <w:bookmarkEnd w:id="16"/>
    </w:p>
    <w:p w14:paraId="6C9F4B20" w14:textId="5CFF035D" w:rsidR="001768F1" w:rsidRDefault="001768F1" w:rsidP="001768F1">
      <w:pPr>
        <w:pStyle w:val="Heading3"/>
      </w:pPr>
      <w:bookmarkStart w:id="17" w:name="_Toc146540082"/>
      <w:r>
        <w:t>3.1 The Tender Response</w:t>
      </w:r>
      <w:bookmarkEnd w:id="17"/>
    </w:p>
    <w:p w14:paraId="33A2C61B" w14:textId="0E01E9D0" w:rsidR="001768F1" w:rsidRDefault="001768F1" w:rsidP="001768F1">
      <w:r>
        <w:t>The proposals for this project should include an outline of how bidders will meet the requirement outlined in section (ii) “Statement of Requirement”. The following information should be included</w:t>
      </w:r>
      <w:r w:rsidR="00E3793E">
        <w:rPr>
          <w:b/>
          <w:bCs/>
          <w:color w:val="B1173B"/>
        </w:rPr>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4BBA7ED5"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759CAB3E" w14:textId="7F4E1ED6" w:rsidR="001768F1" w:rsidRDefault="001768F1" w:rsidP="001E7C87">
      <w:pPr>
        <w:pStyle w:val="NormalBullet-"/>
      </w:pPr>
      <w:r>
        <w:t>Compliance with any security requirements outlined in the SOR, including details of accreditation for systems (</w:t>
      </w:r>
      <w:proofErr w:type="gramStart"/>
      <w:r>
        <w:t>e.g.</w:t>
      </w:r>
      <w:proofErr w:type="gramEnd"/>
      <w:r>
        <w:t xml:space="preserve"> ISO27000, Cyber Essentials) etc.</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w:t>
      </w:r>
      <w:proofErr w:type="gramStart"/>
      <w:r>
        <w:t>e.g.</w:t>
      </w:r>
      <w:proofErr w:type="gramEnd"/>
      <w:r>
        <w:t xml:space="preserve"> right to work in the UK)</w:t>
      </w:r>
    </w:p>
    <w:p w14:paraId="5F3C04C1" w14:textId="237FF7E9" w:rsidR="001768F1" w:rsidRDefault="001768F1" w:rsidP="001E7C87">
      <w:pPr>
        <w:pStyle w:val="NormalBullet-"/>
      </w:pPr>
      <w:r>
        <w:t>Some relevant examples of previous work that bidders have carried out (</w:t>
      </w:r>
      <w:proofErr w:type="gramStart"/>
      <w:r>
        <w:t>e</w:t>
      </w:r>
      <w:r w:rsidR="00383209">
        <w:t>.</w:t>
      </w:r>
      <w:r>
        <w:t>g.</w:t>
      </w:r>
      <w:proofErr w:type="gramEnd"/>
      <w:r>
        <w:t xml:space="preserve"> case studies)</w:t>
      </w:r>
      <w:r w:rsidRPr="00E3793E">
        <w:t xml:space="preserve"> OR</w:t>
      </w:r>
      <w:r w:rsidRPr="004A24AB">
        <w:rPr>
          <w:color w:val="B1173B"/>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46540083"/>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5790B37F" w:rsidR="005C29ED" w:rsidRDefault="005C29ED" w:rsidP="00D61976">
      <w:pPr>
        <w:pStyle w:val="Heading4"/>
      </w:pPr>
      <w:r>
        <w:lastRenderedPageBreak/>
        <w:t xml:space="preserve">Methodology </w:t>
      </w:r>
      <w:r w:rsidRPr="00E3793E">
        <w:t>(</w:t>
      </w:r>
      <w:r w:rsidR="00CF6973">
        <w:t>30</w:t>
      </w:r>
      <w:r w:rsidRPr="00E3793E">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ORR’s project manager to ensure that the requirement is </w:t>
      </w:r>
      <w:proofErr w:type="gramStart"/>
      <w:r>
        <w:t>met</w:t>
      </w:r>
      <w:proofErr w:type="gramEnd"/>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6542F929" w:rsidR="005C29ED" w:rsidRDefault="005C29ED" w:rsidP="00350594">
      <w:pPr>
        <w:pStyle w:val="Heading4"/>
      </w:pPr>
      <w:r>
        <w:t xml:space="preserve">Delivery </w:t>
      </w:r>
      <w:r w:rsidRPr="00E3793E">
        <w:t>(</w:t>
      </w:r>
      <w:r w:rsidR="00CF6973">
        <w:t>20</w:t>
      </w:r>
      <w:r w:rsidRPr="00E3793E">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55D748F" w:rsidR="005C29ED" w:rsidRPr="00E3793E" w:rsidRDefault="005C29ED" w:rsidP="00350594">
      <w:pPr>
        <w:pStyle w:val="Heading4"/>
      </w:pPr>
      <w:r>
        <w:t xml:space="preserve">Experience </w:t>
      </w:r>
      <w:r w:rsidRPr="00E3793E">
        <w:t>(</w:t>
      </w:r>
      <w:r w:rsidR="00CF6973">
        <w:t>30</w:t>
      </w:r>
      <w:r w:rsidRPr="00E3793E">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7D4D638B" w:rsidR="005C29ED" w:rsidRDefault="005C29ED" w:rsidP="00350594">
      <w:pPr>
        <w:pStyle w:val="Heading4"/>
      </w:pPr>
      <w:r>
        <w:t xml:space="preserve">Cost / Value for money </w:t>
      </w:r>
      <w:r w:rsidRPr="00E3793E">
        <w:t>(</w:t>
      </w:r>
      <w:r w:rsidR="00E3793E" w:rsidRPr="00E3793E">
        <w:t>2</w:t>
      </w:r>
      <w:r w:rsidR="00CF6973">
        <w:t>0</w:t>
      </w:r>
      <w:r w:rsidRPr="00E3793E">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 xml:space="preserve">Extensive experience in their specialist field, in which they are nationally or internationally renowned as an expert. Extensive experience of leading or directing major, </w:t>
            </w:r>
            <w:proofErr w:type="gramStart"/>
            <w:r w:rsidRPr="003E3E52">
              <w:t>complex</w:t>
            </w:r>
            <w:proofErr w:type="gramEnd"/>
            <w:r w:rsidRPr="003E3E52">
              <w:t xml:space="preserve">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6AEFB1A5" w14:textId="77EFAA3D" w:rsidR="6E6DD50B" w:rsidRDefault="6E6DD50B">
      <w:r>
        <w:br w:type="page"/>
      </w:r>
    </w:p>
    <w:p w14:paraId="13900F93" w14:textId="0C742FE6" w:rsidR="00C15B7B" w:rsidRDefault="002D3643" w:rsidP="002D3643">
      <w:pPr>
        <w:pStyle w:val="Heading2"/>
      </w:pPr>
      <w:bookmarkStart w:id="19" w:name="_Toc146540084"/>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46540085"/>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6E6DD50B">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6E6DD50B">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74B4FD86" w:rsidR="00400432" w:rsidRPr="00400432" w:rsidRDefault="00752323" w:rsidP="004430EF">
            <w:pPr>
              <w:pStyle w:val="TblText"/>
            </w:pPr>
            <w:r>
              <w:t>2</w:t>
            </w:r>
            <w:r w:rsidR="004430EF">
              <w:t>9</w:t>
            </w:r>
            <w:r>
              <w:t xml:space="preserve"> September 2023</w:t>
            </w:r>
          </w:p>
        </w:tc>
      </w:tr>
      <w:tr w:rsidR="00400432" w:rsidRPr="00400432" w14:paraId="42283B80" w14:textId="77777777" w:rsidTr="6E6DD50B">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1D29EE3A" w:rsidR="00400432" w:rsidRPr="00400432" w:rsidRDefault="0049703F" w:rsidP="00400432">
            <w:pPr>
              <w:pStyle w:val="TblText"/>
            </w:pPr>
            <w:r>
              <w:t>10</w:t>
            </w:r>
            <w:r w:rsidR="00752323">
              <w:t xml:space="preserve"> October 2023 1</w:t>
            </w:r>
            <w:r w:rsidR="00DE7971">
              <w:t>2</w:t>
            </w:r>
            <w:r w:rsidR="00752323">
              <w:t>:00</w:t>
            </w:r>
            <w:r w:rsidR="00DE7971">
              <w:t>pm</w:t>
            </w:r>
          </w:p>
        </w:tc>
      </w:tr>
      <w:tr w:rsidR="00400432" w:rsidRPr="00400432" w14:paraId="66301268" w14:textId="77777777" w:rsidTr="6E6DD50B">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42753A7C" w:rsidR="00400432" w:rsidRPr="00400432" w:rsidRDefault="663C871C" w:rsidP="00400432">
            <w:pPr>
              <w:pStyle w:val="TblText"/>
            </w:pPr>
            <w:r>
              <w:t>20</w:t>
            </w:r>
            <w:r w:rsidR="00752323">
              <w:t xml:space="preserve"> October 2023 1</w:t>
            </w:r>
            <w:r w:rsidR="00DE7971">
              <w:t>2</w:t>
            </w:r>
            <w:r w:rsidR="00752323">
              <w:t>:00</w:t>
            </w:r>
            <w:r w:rsidR="00DE7971">
              <w:t>pm</w:t>
            </w:r>
          </w:p>
        </w:tc>
      </w:tr>
      <w:tr w:rsidR="00400432" w:rsidRPr="00400432" w14:paraId="0217C7BB" w14:textId="77777777" w:rsidTr="6E6DD50B">
        <w:tc>
          <w:tcPr>
            <w:tcW w:w="5569" w:type="dxa"/>
            <w:tcBorders>
              <w:bottom w:val="single" w:sz="12" w:space="0" w:color="FFFFFF" w:themeColor="background2"/>
            </w:tcBorders>
            <w:shd w:val="clear" w:color="auto" w:fill="E4E7F5"/>
          </w:tcPr>
          <w:p w14:paraId="32D5FD17" w14:textId="77777777" w:rsidR="00400432" w:rsidRPr="00400432" w:rsidRDefault="00400432" w:rsidP="00400432">
            <w:pPr>
              <w:pStyle w:val="TblText"/>
            </w:pPr>
            <w:r w:rsidRPr="00400432">
              <w:t>Interviews and presentations*</w:t>
            </w:r>
          </w:p>
        </w:tc>
        <w:tc>
          <w:tcPr>
            <w:tcW w:w="4069" w:type="dxa"/>
            <w:tcBorders>
              <w:bottom w:val="single" w:sz="12" w:space="0" w:color="FFFFFF" w:themeColor="background2"/>
            </w:tcBorders>
            <w:shd w:val="clear" w:color="auto" w:fill="E4E7F5"/>
          </w:tcPr>
          <w:p w14:paraId="565B27EE" w14:textId="43613DD8" w:rsidR="00400432" w:rsidRPr="00400432" w:rsidRDefault="0049703F" w:rsidP="00400432">
            <w:pPr>
              <w:pStyle w:val="TblText"/>
            </w:pPr>
            <w:r>
              <w:t>31</w:t>
            </w:r>
            <w:r w:rsidR="00433B8C">
              <w:t xml:space="preserve"> October </w:t>
            </w:r>
            <w:r w:rsidR="00383209">
              <w:t>2023 if</w:t>
            </w:r>
            <w:r w:rsidR="00400432">
              <w:t xml:space="preserve"> required</w:t>
            </w:r>
          </w:p>
        </w:tc>
      </w:tr>
      <w:tr w:rsidR="00400432" w:rsidRPr="00400432" w14:paraId="2D3D0936" w14:textId="77777777" w:rsidTr="6E6DD50B">
        <w:tc>
          <w:tcPr>
            <w:tcW w:w="5569" w:type="dxa"/>
            <w:tcBorders>
              <w:bottom w:val="single" w:sz="12" w:space="0" w:color="FFFFFF" w:themeColor="background2"/>
            </w:tcBorders>
            <w:shd w:val="clear" w:color="auto" w:fill="auto"/>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auto"/>
          </w:tcPr>
          <w:p w14:paraId="2FF6E1B1" w14:textId="7E4CC455" w:rsidR="00400432" w:rsidRPr="00400432" w:rsidRDefault="0049703F" w:rsidP="00400432">
            <w:pPr>
              <w:pStyle w:val="TblText"/>
            </w:pPr>
            <w:r>
              <w:t>02</w:t>
            </w:r>
            <w:r w:rsidR="00433B8C">
              <w:t xml:space="preserve"> </w:t>
            </w:r>
            <w:r>
              <w:t>November</w:t>
            </w:r>
            <w:r w:rsidR="00433B8C">
              <w:t xml:space="preserve"> 2023</w:t>
            </w:r>
          </w:p>
        </w:tc>
      </w:tr>
      <w:tr w:rsidR="00400432" w:rsidRPr="00400432" w14:paraId="3E83975E" w14:textId="77777777" w:rsidTr="6E6DD50B">
        <w:tc>
          <w:tcPr>
            <w:tcW w:w="5569" w:type="dxa"/>
            <w:shd w:val="clear" w:color="auto" w:fill="E4E7F5"/>
          </w:tcPr>
          <w:p w14:paraId="19972227" w14:textId="77777777" w:rsidR="00400432" w:rsidRPr="00400432" w:rsidRDefault="00400432" w:rsidP="00400432">
            <w:pPr>
              <w:pStyle w:val="TblText"/>
            </w:pPr>
            <w:r w:rsidRPr="00400432">
              <w:t>Project Inception Meeting</w:t>
            </w:r>
          </w:p>
        </w:tc>
        <w:tc>
          <w:tcPr>
            <w:tcW w:w="4069" w:type="dxa"/>
            <w:shd w:val="clear" w:color="auto" w:fill="E4E7F5"/>
          </w:tcPr>
          <w:p w14:paraId="5605FB39" w14:textId="1C5B8B31" w:rsidR="00400432" w:rsidRPr="00400432" w:rsidRDefault="00465E6B" w:rsidP="00400432">
            <w:pPr>
              <w:pStyle w:val="TblText"/>
            </w:pPr>
            <w:r>
              <w:t xml:space="preserve">w/c </w:t>
            </w:r>
            <w:r w:rsidR="0049703F">
              <w:t>06</w:t>
            </w:r>
            <w:r w:rsidR="00433B8C">
              <w:t xml:space="preserve"> </w:t>
            </w:r>
            <w:r w:rsidR="0049703F">
              <w:t>November</w:t>
            </w:r>
            <w:r w:rsidR="00433B8C">
              <w:t xml:space="preserve">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w:t>
      </w:r>
      <w:proofErr w:type="gramStart"/>
      <w:r w:rsidRPr="00400432">
        <w:t>date</w:t>
      </w:r>
      <w:proofErr w:type="gramEnd"/>
      <w:r w:rsidRPr="00400432">
        <w:t xml:space="preserve"> </w:t>
      </w:r>
    </w:p>
    <w:p w14:paraId="3DFADB3D" w14:textId="77777777" w:rsidR="00433557" w:rsidRDefault="00433557" w:rsidP="000A0438">
      <w:pPr>
        <w:pStyle w:val="Heading3"/>
      </w:pPr>
      <w:bookmarkStart w:id="21" w:name="_Toc146540086"/>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3"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lastRenderedPageBreak/>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 xml:space="preserve">plans for management of underperformance and its financial </w:t>
      </w:r>
      <w:proofErr w:type="gramStart"/>
      <w:r>
        <w:t>impact</w:t>
      </w:r>
      <w:proofErr w:type="gramEnd"/>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30553C4" w14:textId="1DE1AEB8" w:rsidR="00A47721" w:rsidRPr="003F3CB0" w:rsidRDefault="00A47721" w:rsidP="00A47721">
      <w:pPr>
        <w:pStyle w:val="Numberedparagraphdouble"/>
        <w:numPr>
          <w:ilvl w:val="0"/>
          <w:numId w:val="0"/>
        </w:numPr>
        <w:sectPr w:rsidR="00A47721" w:rsidRPr="003F3CB0" w:rsidSect="00C567EC">
          <w:headerReference w:type="even" r:id="rId24"/>
          <w:headerReference w:type="default" r:id="rId25"/>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AC5908C">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7"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8"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9" w:history="1">
        <w:r w:rsidR="008F0B87" w:rsidRPr="00C9621C">
          <w:rPr>
            <w:rStyle w:val="Hyperlink"/>
          </w:rPr>
          <w:t>procurementteam@orr.gov.uk</w:t>
        </w:r>
      </w:hyperlink>
      <w:r w:rsidR="008F0B87">
        <w:t xml:space="preserve"> </w:t>
      </w:r>
    </w:p>
    <w:sectPr w:rsidR="00D25F7E" w:rsidRPr="00D25F7E" w:rsidSect="00D25F7E">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BCAD" w14:textId="77777777" w:rsidR="00FC6860" w:rsidRDefault="00FC6860" w:rsidP="00555585">
      <w:pPr>
        <w:spacing w:after="0" w:line="240" w:lineRule="auto"/>
      </w:pPr>
      <w:r>
        <w:separator/>
      </w:r>
    </w:p>
  </w:endnote>
  <w:endnote w:type="continuationSeparator" w:id="0">
    <w:p w14:paraId="7E5163A0" w14:textId="77777777" w:rsidR="00FC6860" w:rsidRDefault="00FC6860" w:rsidP="00555585">
      <w:pPr>
        <w:spacing w:after="0" w:line="240" w:lineRule="auto"/>
      </w:pPr>
      <w:r>
        <w:continuationSeparator/>
      </w:r>
    </w:p>
  </w:endnote>
  <w:endnote w:type="continuationNotice" w:id="1">
    <w:p w14:paraId="16B8C8A5" w14:textId="77777777" w:rsidR="00AE0F63" w:rsidRDefault="00AE0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53B2" w14:textId="77777777" w:rsidR="00FC6860" w:rsidRDefault="00FC6860" w:rsidP="00555585">
      <w:pPr>
        <w:spacing w:after="0" w:line="240" w:lineRule="auto"/>
      </w:pPr>
      <w:r>
        <w:separator/>
      </w:r>
    </w:p>
  </w:footnote>
  <w:footnote w:type="continuationSeparator" w:id="0">
    <w:p w14:paraId="20C08C87" w14:textId="77777777" w:rsidR="00FC6860" w:rsidRDefault="00FC6860" w:rsidP="00555585">
      <w:pPr>
        <w:spacing w:after="0" w:line="240" w:lineRule="auto"/>
      </w:pPr>
      <w:r>
        <w:continuationSeparator/>
      </w:r>
    </w:p>
  </w:footnote>
  <w:footnote w:type="continuationNotice" w:id="1">
    <w:p w14:paraId="2D1774EE" w14:textId="77777777" w:rsidR="00AE0F63" w:rsidRDefault="00AE0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10D8B">
      <w:fldChar w:fldCharType="begin"/>
    </w:r>
    <w:r w:rsidR="00C10D8B">
      <w:instrText>DOCVARIABLE  txtHdr  \* MERGEFORMAT</w:instrText>
    </w:r>
    <w:r w:rsidR="00C10D8B">
      <w:fldChar w:fldCharType="separate"/>
    </w:r>
    <w:r w:rsidRPr="00D25F7E">
      <w:rPr>
        <w:b w:val="0"/>
        <w:bCs/>
        <w:lang w:val="en-US"/>
      </w:rPr>
      <w:instrText>ITT</w:instrText>
    </w:r>
    <w:r w:rsidR="00C10D8B">
      <w:rPr>
        <w:b w:val="0"/>
        <w:bCs/>
        <w:lang w:val="en-US"/>
      </w:rPr>
      <w:fldChar w:fldCharType="end"/>
    </w:r>
    <w:r w:rsidRPr="00AC3B7A">
      <w:instrText xml:space="preserve"> = "Error! No document variable supplied." " " </w:instrText>
    </w:r>
    <w:r w:rsidR="00C10D8B">
      <w:fldChar w:fldCharType="begin"/>
    </w:r>
    <w:r w:rsidR="00C10D8B">
      <w:instrText>DOCVARIABLE  txtHdr \* MERGEFORMAT</w:instrText>
    </w:r>
    <w:r w:rsidR="00C10D8B">
      <w:fldChar w:fldCharType="separate"/>
    </w:r>
    <w:r>
      <w:instrText>ITT</w:instrText>
    </w:r>
    <w:r w:rsidR="00C10D8B">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10D8B">
      <w:fldChar w:fldCharType="begin"/>
    </w:r>
    <w:r w:rsidR="00C10D8B">
      <w:instrText>DOCVARIABLE  txtHdr  \* MERGEFORMAT</w:instrText>
    </w:r>
    <w:r w:rsidR="00C10D8B">
      <w:fldChar w:fldCharType="separate"/>
    </w:r>
    <w:r w:rsidRPr="00D25F7E">
      <w:rPr>
        <w:b w:val="0"/>
        <w:bCs/>
        <w:lang w:val="en-US"/>
      </w:rPr>
      <w:instrText>ITT</w:instrText>
    </w:r>
    <w:r w:rsidR="00C10D8B">
      <w:rPr>
        <w:b w:val="0"/>
        <w:bCs/>
        <w:lang w:val="en-US"/>
      </w:rPr>
      <w:fldChar w:fldCharType="end"/>
    </w:r>
    <w:r w:rsidRPr="00AC3B7A">
      <w:instrText xml:space="preserve"> = "Error! No document variable supplied." " " </w:instrText>
    </w:r>
    <w:r w:rsidR="00C10D8B">
      <w:fldChar w:fldCharType="begin"/>
    </w:r>
    <w:r w:rsidR="00C10D8B">
      <w:instrText>DOCVARIABLE  txtHdr \* MERGEFORMAT</w:instrText>
    </w:r>
    <w:r w:rsidR="00C10D8B">
      <w:fldChar w:fldCharType="separate"/>
    </w:r>
    <w:r>
      <w:instrText>ITT</w:instrText>
    </w:r>
    <w:r w:rsidR="00C10D8B">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59E"/>
    <w:multiLevelType w:val="multilevel"/>
    <w:tmpl w:val="EC94AD36"/>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1F651B07"/>
    <w:multiLevelType w:val="hybridMultilevel"/>
    <w:tmpl w:val="13D4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9A76BCC"/>
    <w:multiLevelType w:val="multilevel"/>
    <w:tmpl w:val="D79C245A"/>
    <w:numStyleLink w:val="ORRNormalList"/>
  </w:abstractNum>
  <w:abstractNum w:abstractNumId="13" w15:restartNumberingAfterBreak="0">
    <w:nsid w:val="3C955D63"/>
    <w:multiLevelType w:val="multilevel"/>
    <w:tmpl w:val="EC1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8BD5682"/>
    <w:multiLevelType w:val="multilevel"/>
    <w:tmpl w:val="EAD453D0"/>
    <w:numStyleLink w:val="NumbListHighlight"/>
  </w:abstractNum>
  <w:abstractNum w:abstractNumId="20"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1"/>
  </w:num>
  <w:num w:numId="3" w16cid:durableId="615990203">
    <w:abstractNumId w:val="7"/>
  </w:num>
  <w:num w:numId="4" w16cid:durableId="1539008159">
    <w:abstractNumId w:val="17"/>
  </w:num>
  <w:num w:numId="5" w16cid:durableId="1334801291">
    <w:abstractNumId w:val="8"/>
  </w:num>
  <w:num w:numId="6" w16cid:durableId="116142554">
    <w:abstractNumId w:val="12"/>
  </w:num>
  <w:num w:numId="7" w16cid:durableId="1708795862">
    <w:abstractNumId w:val="10"/>
  </w:num>
  <w:num w:numId="8" w16cid:durableId="1432780497">
    <w:abstractNumId w:val="5"/>
  </w:num>
  <w:num w:numId="9" w16cid:durableId="35012236">
    <w:abstractNumId w:val="4"/>
  </w:num>
  <w:num w:numId="10" w16cid:durableId="711077664">
    <w:abstractNumId w:val="1"/>
  </w:num>
  <w:num w:numId="11" w16cid:durableId="1604993918">
    <w:abstractNumId w:val="19"/>
  </w:num>
  <w:num w:numId="12" w16cid:durableId="435447028">
    <w:abstractNumId w:val="18"/>
  </w:num>
  <w:num w:numId="13" w16cid:durableId="2048019962">
    <w:abstractNumId w:val="22"/>
  </w:num>
  <w:num w:numId="14" w16cid:durableId="2025738407">
    <w:abstractNumId w:val="19"/>
  </w:num>
  <w:num w:numId="15" w16cid:durableId="150879135">
    <w:abstractNumId w:val="19"/>
  </w:num>
  <w:num w:numId="16" w16cid:durableId="891042484">
    <w:abstractNumId w:val="19"/>
  </w:num>
  <w:num w:numId="17" w16cid:durableId="727414043">
    <w:abstractNumId w:val="18"/>
  </w:num>
  <w:num w:numId="18" w16cid:durableId="1027833524">
    <w:abstractNumId w:val="2"/>
  </w:num>
  <w:num w:numId="19" w16cid:durableId="50661355">
    <w:abstractNumId w:val="6"/>
  </w:num>
  <w:num w:numId="20" w16cid:durableId="1446195555">
    <w:abstractNumId w:val="4"/>
  </w:num>
  <w:num w:numId="21" w16cid:durableId="558327301">
    <w:abstractNumId w:val="23"/>
  </w:num>
  <w:num w:numId="22" w16cid:durableId="463500638">
    <w:abstractNumId w:val="15"/>
  </w:num>
  <w:num w:numId="23" w16cid:durableId="1527019102">
    <w:abstractNumId w:val="3"/>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1"/>
  </w:num>
  <w:num w:numId="26" w16cid:durableId="1830293373">
    <w:abstractNumId w:val="20"/>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791289831">
    <w:abstractNumId w:val="9"/>
  </w:num>
  <w:num w:numId="34" w16cid:durableId="88350741">
    <w:abstractNumId w:val="0"/>
  </w:num>
  <w:num w:numId="35" w16cid:durableId="783231908">
    <w:abstractNumId w:val="13"/>
  </w:num>
  <w:num w:numId="36" w16cid:durableId="84675009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25BB7"/>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96996"/>
    <w:rsid w:val="000A0438"/>
    <w:rsid w:val="000A3692"/>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07BD3"/>
    <w:rsid w:val="00120892"/>
    <w:rsid w:val="0012193D"/>
    <w:rsid w:val="0012408B"/>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1B0D"/>
    <w:rsid w:val="001B3FD8"/>
    <w:rsid w:val="001B54A7"/>
    <w:rsid w:val="001B551F"/>
    <w:rsid w:val="001B5A48"/>
    <w:rsid w:val="001B62CD"/>
    <w:rsid w:val="001B71F8"/>
    <w:rsid w:val="001C60A4"/>
    <w:rsid w:val="001D1536"/>
    <w:rsid w:val="001D590D"/>
    <w:rsid w:val="001D5DF3"/>
    <w:rsid w:val="001D6C42"/>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607AB"/>
    <w:rsid w:val="00267638"/>
    <w:rsid w:val="00272200"/>
    <w:rsid w:val="00276C64"/>
    <w:rsid w:val="0028433A"/>
    <w:rsid w:val="00286CF2"/>
    <w:rsid w:val="0028735A"/>
    <w:rsid w:val="0029283C"/>
    <w:rsid w:val="00293D38"/>
    <w:rsid w:val="00297104"/>
    <w:rsid w:val="002B7995"/>
    <w:rsid w:val="002C48DE"/>
    <w:rsid w:val="002C5A50"/>
    <w:rsid w:val="002C6E70"/>
    <w:rsid w:val="002D0E5B"/>
    <w:rsid w:val="002D3643"/>
    <w:rsid w:val="002D46DA"/>
    <w:rsid w:val="002E2DAD"/>
    <w:rsid w:val="002E7122"/>
    <w:rsid w:val="002F111F"/>
    <w:rsid w:val="002F2791"/>
    <w:rsid w:val="002F5466"/>
    <w:rsid w:val="002F56B7"/>
    <w:rsid w:val="0030237B"/>
    <w:rsid w:val="003027B1"/>
    <w:rsid w:val="00302F3D"/>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3209"/>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0189"/>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B8C"/>
    <w:rsid w:val="00433D4D"/>
    <w:rsid w:val="004372B6"/>
    <w:rsid w:val="0043752D"/>
    <w:rsid w:val="00437772"/>
    <w:rsid w:val="004430EF"/>
    <w:rsid w:val="004462A6"/>
    <w:rsid w:val="00446747"/>
    <w:rsid w:val="00451C67"/>
    <w:rsid w:val="00452F29"/>
    <w:rsid w:val="00454D76"/>
    <w:rsid w:val="00457556"/>
    <w:rsid w:val="00465E6B"/>
    <w:rsid w:val="00472A7C"/>
    <w:rsid w:val="00476327"/>
    <w:rsid w:val="0048300B"/>
    <w:rsid w:val="0048774B"/>
    <w:rsid w:val="00490915"/>
    <w:rsid w:val="004911F0"/>
    <w:rsid w:val="00494943"/>
    <w:rsid w:val="00495203"/>
    <w:rsid w:val="004964CA"/>
    <w:rsid w:val="0049703F"/>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35FA"/>
    <w:rsid w:val="00574B16"/>
    <w:rsid w:val="005764FB"/>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3DB5"/>
    <w:rsid w:val="0066567C"/>
    <w:rsid w:val="006701F0"/>
    <w:rsid w:val="00680F51"/>
    <w:rsid w:val="00683A4B"/>
    <w:rsid w:val="00683F80"/>
    <w:rsid w:val="00687728"/>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47B74"/>
    <w:rsid w:val="00752063"/>
    <w:rsid w:val="0075232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496B"/>
    <w:rsid w:val="007D5014"/>
    <w:rsid w:val="007E2744"/>
    <w:rsid w:val="007E4EC4"/>
    <w:rsid w:val="007E6E4B"/>
    <w:rsid w:val="007F3F24"/>
    <w:rsid w:val="007F4B75"/>
    <w:rsid w:val="007F6498"/>
    <w:rsid w:val="007F6B18"/>
    <w:rsid w:val="008000FA"/>
    <w:rsid w:val="00806042"/>
    <w:rsid w:val="008122F2"/>
    <w:rsid w:val="008145A2"/>
    <w:rsid w:val="0081555F"/>
    <w:rsid w:val="0081639D"/>
    <w:rsid w:val="008174A6"/>
    <w:rsid w:val="00826F5D"/>
    <w:rsid w:val="008277B1"/>
    <w:rsid w:val="00831EE0"/>
    <w:rsid w:val="0083798F"/>
    <w:rsid w:val="00841B8C"/>
    <w:rsid w:val="008420FD"/>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1566"/>
    <w:rsid w:val="008B39F2"/>
    <w:rsid w:val="008B50A1"/>
    <w:rsid w:val="008B5F61"/>
    <w:rsid w:val="008B6DC1"/>
    <w:rsid w:val="008C091C"/>
    <w:rsid w:val="008C1870"/>
    <w:rsid w:val="008C201C"/>
    <w:rsid w:val="008C30D2"/>
    <w:rsid w:val="008D4781"/>
    <w:rsid w:val="008D5E69"/>
    <w:rsid w:val="008D601A"/>
    <w:rsid w:val="008D60C8"/>
    <w:rsid w:val="008E3D37"/>
    <w:rsid w:val="008E3E7D"/>
    <w:rsid w:val="008E5FA9"/>
    <w:rsid w:val="008E61DF"/>
    <w:rsid w:val="008E7F41"/>
    <w:rsid w:val="008F0309"/>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0D3C"/>
    <w:rsid w:val="009319AE"/>
    <w:rsid w:val="009375BF"/>
    <w:rsid w:val="0094130E"/>
    <w:rsid w:val="009617D1"/>
    <w:rsid w:val="00963E0B"/>
    <w:rsid w:val="009646F5"/>
    <w:rsid w:val="00973BC6"/>
    <w:rsid w:val="009757DA"/>
    <w:rsid w:val="00975960"/>
    <w:rsid w:val="00981E60"/>
    <w:rsid w:val="009822CC"/>
    <w:rsid w:val="00982820"/>
    <w:rsid w:val="009852F9"/>
    <w:rsid w:val="0099269F"/>
    <w:rsid w:val="00992B05"/>
    <w:rsid w:val="00994102"/>
    <w:rsid w:val="009942BE"/>
    <w:rsid w:val="009A5DA3"/>
    <w:rsid w:val="009B04F7"/>
    <w:rsid w:val="009B2E5B"/>
    <w:rsid w:val="009B5565"/>
    <w:rsid w:val="009C3E78"/>
    <w:rsid w:val="009C7888"/>
    <w:rsid w:val="009D212A"/>
    <w:rsid w:val="009D4BF5"/>
    <w:rsid w:val="009E0644"/>
    <w:rsid w:val="009E13FE"/>
    <w:rsid w:val="009E34CC"/>
    <w:rsid w:val="009E476E"/>
    <w:rsid w:val="009F4755"/>
    <w:rsid w:val="009F4762"/>
    <w:rsid w:val="009F5929"/>
    <w:rsid w:val="009F642E"/>
    <w:rsid w:val="00A00A07"/>
    <w:rsid w:val="00A02455"/>
    <w:rsid w:val="00A03E79"/>
    <w:rsid w:val="00A107B3"/>
    <w:rsid w:val="00A12B6D"/>
    <w:rsid w:val="00A14898"/>
    <w:rsid w:val="00A17292"/>
    <w:rsid w:val="00A27332"/>
    <w:rsid w:val="00A310F3"/>
    <w:rsid w:val="00A32644"/>
    <w:rsid w:val="00A32AB3"/>
    <w:rsid w:val="00A3724D"/>
    <w:rsid w:val="00A37A9B"/>
    <w:rsid w:val="00A4008F"/>
    <w:rsid w:val="00A42FBD"/>
    <w:rsid w:val="00A46B2C"/>
    <w:rsid w:val="00A47721"/>
    <w:rsid w:val="00A5113C"/>
    <w:rsid w:val="00A525B9"/>
    <w:rsid w:val="00A575FC"/>
    <w:rsid w:val="00A66AC8"/>
    <w:rsid w:val="00A67863"/>
    <w:rsid w:val="00A70557"/>
    <w:rsid w:val="00A739EA"/>
    <w:rsid w:val="00A73FDA"/>
    <w:rsid w:val="00A77317"/>
    <w:rsid w:val="00A90826"/>
    <w:rsid w:val="00A93476"/>
    <w:rsid w:val="00A95FB0"/>
    <w:rsid w:val="00AB111B"/>
    <w:rsid w:val="00AB3000"/>
    <w:rsid w:val="00AB6599"/>
    <w:rsid w:val="00AC3F17"/>
    <w:rsid w:val="00AE0F63"/>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054AF"/>
    <w:rsid w:val="00C10D8B"/>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3A2C"/>
    <w:rsid w:val="00C6719E"/>
    <w:rsid w:val="00C7169D"/>
    <w:rsid w:val="00C76E4E"/>
    <w:rsid w:val="00C8418E"/>
    <w:rsid w:val="00C84CC1"/>
    <w:rsid w:val="00C91699"/>
    <w:rsid w:val="00C969B8"/>
    <w:rsid w:val="00C96DE4"/>
    <w:rsid w:val="00C97CC2"/>
    <w:rsid w:val="00C97F2B"/>
    <w:rsid w:val="00CA080B"/>
    <w:rsid w:val="00CA25B2"/>
    <w:rsid w:val="00CA2A88"/>
    <w:rsid w:val="00CB359C"/>
    <w:rsid w:val="00CC0085"/>
    <w:rsid w:val="00CC21C9"/>
    <w:rsid w:val="00CC51FF"/>
    <w:rsid w:val="00CD2228"/>
    <w:rsid w:val="00CD62FF"/>
    <w:rsid w:val="00CE2434"/>
    <w:rsid w:val="00CE4C99"/>
    <w:rsid w:val="00CE5EE2"/>
    <w:rsid w:val="00CE7358"/>
    <w:rsid w:val="00CE7FB9"/>
    <w:rsid w:val="00CF6973"/>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55C0F"/>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CD2"/>
    <w:rsid w:val="00DD6763"/>
    <w:rsid w:val="00DE21C3"/>
    <w:rsid w:val="00DE5974"/>
    <w:rsid w:val="00DE7971"/>
    <w:rsid w:val="00DF189F"/>
    <w:rsid w:val="00DF2553"/>
    <w:rsid w:val="00DF6946"/>
    <w:rsid w:val="00DF78CA"/>
    <w:rsid w:val="00E03CCC"/>
    <w:rsid w:val="00E061E1"/>
    <w:rsid w:val="00E07C76"/>
    <w:rsid w:val="00E10006"/>
    <w:rsid w:val="00E104D1"/>
    <w:rsid w:val="00E11F8B"/>
    <w:rsid w:val="00E13D2D"/>
    <w:rsid w:val="00E167FE"/>
    <w:rsid w:val="00E1699D"/>
    <w:rsid w:val="00E25F9C"/>
    <w:rsid w:val="00E31153"/>
    <w:rsid w:val="00E337AC"/>
    <w:rsid w:val="00E360E5"/>
    <w:rsid w:val="00E3647D"/>
    <w:rsid w:val="00E3793E"/>
    <w:rsid w:val="00E44CD4"/>
    <w:rsid w:val="00E450CC"/>
    <w:rsid w:val="00E507FC"/>
    <w:rsid w:val="00E54EEF"/>
    <w:rsid w:val="00E5669C"/>
    <w:rsid w:val="00E61A8D"/>
    <w:rsid w:val="00E63058"/>
    <w:rsid w:val="00E638CC"/>
    <w:rsid w:val="00E73450"/>
    <w:rsid w:val="00E73568"/>
    <w:rsid w:val="00E7582F"/>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1FCA"/>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32F3"/>
    <w:rsid w:val="00F670B0"/>
    <w:rsid w:val="00F679B4"/>
    <w:rsid w:val="00F76054"/>
    <w:rsid w:val="00F76E31"/>
    <w:rsid w:val="00F77726"/>
    <w:rsid w:val="00F77DF3"/>
    <w:rsid w:val="00F83493"/>
    <w:rsid w:val="00F85D04"/>
    <w:rsid w:val="00F860CE"/>
    <w:rsid w:val="00F9058B"/>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47268F2"/>
    <w:rsid w:val="2845E7D9"/>
    <w:rsid w:val="3176F9B2"/>
    <w:rsid w:val="34994F0E"/>
    <w:rsid w:val="48063ACD"/>
    <w:rsid w:val="4FA8821A"/>
    <w:rsid w:val="517134DC"/>
    <w:rsid w:val="59D7C386"/>
    <w:rsid w:val="632374A0"/>
    <w:rsid w:val="66091D75"/>
    <w:rsid w:val="663C871C"/>
    <w:rsid w:val="6E6DD50B"/>
    <w:rsid w:val="7219F9F4"/>
    <w:rsid w:val="746F642C"/>
    <w:rsid w:val="7873274D"/>
    <w:rsid w:val="7D1E426C"/>
    <w:rsid w:val="7FD11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customStyle="1" w:styleId="normaltextrun">
    <w:name w:val="normaltextrun"/>
    <w:basedOn w:val="DefaultParagraphFont"/>
    <w:rsid w:val="00E13D2D"/>
  </w:style>
  <w:style w:type="character" w:customStyle="1" w:styleId="eop">
    <w:name w:val="eop"/>
    <w:basedOn w:val="DefaultParagraphFont"/>
    <w:rsid w:val="00E13D2D"/>
  </w:style>
  <w:style w:type="paragraph" w:customStyle="1" w:styleId="xmsonormal">
    <w:name w:val="x_msonormal"/>
    <w:basedOn w:val="Normal"/>
    <w:rsid w:val="00930D3C"/>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xcontentpasted0">
    <w:name w:val="x_contentpasted0"/>
    <w:basedOn w:val="Normal"/>
    <w:rsid w:val="00930D3C"/>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paragraph">
    <w:name w:val="paragraph"/>
    <w:basedOn w:val="Normal"/>
    <w:rsid w:val="009F4762"/>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5202">
      <w:bodyDiv w:val="1"/>
      <w:marLeft w:val="0"/>
      <w:marRight w:val="0"/>
      <w:marTop w:val="0"/>
      <w:marBottom w:val="0"/>
      <w:divBdr>
        <w:top w:val="none" w:sz="0" w:space="0" w:color="auto"/>
        <w:left w:val="none" w:sz="0" w:space="0" w:color="auto"/>
        <w:bottom w:val="none" w:sz="0" w:space="0" w:color="auto"/>
        <w:right w:val="none" w:sz="0" w:space="0" w:color="auto"/>
      </w:divBdr>
      <w:divsChild>
        <w:div w:id="1878661093">
          <w:marLeft w:val="0"/>
          <w:marRight w:val="0"/>
          <w:marTop w:val="0"/>
          <w:marBottom w:val="0"/>
          <w:divBdr>
            <w:top w:val="none" w:sz="0" w:space="0" w:color="auto"/>
            <w:left w:val="none" w:sz="0" w:space="0" w:color="auto"/>
            <w:bottom w:val="none" w:sz="0" w:space="0" w:color="auto"/>
            <w:right w:val="none" w:sz="0" w:space="0" w:color="auto"/>
          </w:divBdr>
        </w:div>
        <w:div w:id="694696113">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63697039">
      <w:bodyDiv w:val="1"/>
      <w:marLeft w:val="0"/>
      <w:marRight w:val="0"/>
      <w:marTop w:val="0"/>
      <w:marBottom w:val="0"/>
      <w:divBdr>
        <w:top w:val="none" w:sz="0" w:space="0" w:color="auto"/>
        <w:left w:val="none" w:sz="0" w:space="0" w:color="auto"/>
        <w:bottom w:val="none" w:sz="0" w:space="0" w:color="auto"/>
        <w:right w:val="none" w:sz="0" w:space="0" w:color="auto"/>
      </w:divBdr>
      <w:divsChild>
        <w:div w:id="172689972">
          <w:marLeft w:val="0"/>
          <w:marRight w:val="0"/>
          <w:marTop w:val="0"/>
          <w:marBottom w:val="0"/>
          <w:divBdr>
            <w:top w:val="none" w:sz="0" w:space="0" w:color="auto"/>
            <w:left w:val="none" w:sz="0" w:space="0" w:color="auto"/>
            <w:bottom w:val="none" w:sz="0" w:space="0" w:color="auto"/>
            <w:right w:val="none" w:sz="0" w:space="0" w:color="auto"/>
          </w:divBdr>
        </w:div>
        <w:div w:id="1852066835">
          <w:marLeft w:val="0"/>
          <w:marRight w:val="0"/>
          <w:marTop w:val="0"/>
          <w:marBottom w:val="0"/>
          <w:divBdr>
            <w:top w:val="none" w:sz="0" w:space="0" w:color="auto"/>
            <w:left w:val="none" w:sz="0" w:space="0" w:color="auto"/>
            <w:bottom w:val="none" w:sz="0" w:space="0" w:color="auto"/>
            <w:right w:val="none" w:sz="0" w:space="0" w:color="auto"/>
          </w:divBdr>
        </w:div>
        <w:div w:id="12447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21" Type="http://schemas.openxmlformats.org/officeDocument/2006/relationships/hyperlink" Target="https://offrailroad.sharepoint.com/sites/Intranet/Corporate/All%20Staff%20Templates/guidelines-for-writing-accessible-reports-for-orr_0.pdf"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nationalhighways.co.uk/media/fwsffepn/eimm-version-10-1-final_cover-align-with-dp.pdf" TargetMode="External"/><Relationship Id="rId29" Type="http://schemas.openxmlformats.org/officeDocument/2006/relationships/hyperlink" Target="mailto:procurementteam@orr.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media/23638" TargetMode="External"/><Relationship Id="rId28" Type="http://schemas.openxmlformats.org/officeDocument/2006/relationships/hyperlink" Target="https://www.gov.uk/contracts-finder"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eader" Target="header8.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B5A9D"/>
    <w:rsid w:val="001D34EA"/>
    <w:rsid w:val="005975F7"/>
    <w:rsid w:val="00797528"/>
    <w:rsid w:val="00843948"/>
    <w:rsid w:val="00906E6F"/>
    <w:rsid w:val="009E0644"/>
    <w:rsid w:val="00A257DF"/>
    <w:rsid w:val="00A72823"/>
    <w:rsid w:val="00D12856"/>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13</TotalTime>
  <Pages>22</Pages>
  <Words>5004</Words>
  <Characters>26724</Characters>
  <Application>Microsoft Office Word</Application>
  <DocSecurity>0</DocSecurity>
  <Lines>835</Lines>
  <Paragraphs>356</Paragraphs>
  <ScaleCrop>false</ScaleCrop>
  <Company>HP</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aspects of RIS2 efficiency evidence</dc:subject>
  <dc:creator>Angeriz-Santos, Paula</dc:creator>
  <cp:keywords/>
  <dc:description/>
  <cp:lastModifiedBy>Dinkele, Harriet</cp:lastModifiedBy>
  <cp:revision>2</cp:revision>
  <cp:lastPrinted>2021-02-24T15:29:00Z</cp:lastPrinted>
  <dcterms:created xsi:type="dcterms:W3CDTF">2023-09-28T14:53:00Z</dcterms:created>
  <dcterms:modified xsi:type="dcterms:W3CDTF">2023-09-28T14:53:00Z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