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E0" w:rsidRPr="00D15B43" w:rsidRDefault="007978E0" w:rsidP="007978E0">
      <w:pPr>
        <w:rPr>
          <w:rFonts w:eastAsia="Calibri" w:cs="Arial"/>
          <w:szCs w:val="22"/>
          <w:u w:val="single"/>
          <w:lang w:eastAsia="en-US"/>
        </w:rPr>
      </w:pPr>
      <w:bookmarkStart w:id="0" w:name="_GoBack"/>
      <w:bookmarkEnd w:id="0"/>
      <w:r w:rsidRPr="00D15B43">
        <w:rPr>
          <w:rFonts w:eastAsia="Calibri" w:cs="Arial"/>
          <w:b/>
          <w:szCs w:val="22"/>
          <w:u w:val="single"/>
          <w:lang w:eastAsia="en-US"/>
        </w:rPr>
        <w:t>Evaluation Criteria</w:t>
      </w:r>
      <w:r w:rsidRPr="00D15B43">
        <w:rPr>
          <w:rFonts w:eastAsia="Calibri" w:cs="Arial"/>
          <w:szCs w:val="22"/>
          <w:u w:val="single"/>
          <w:lang w:eastAsia="en-US"/>
        </w:rPr>
        <w:t>:</w:t>
      </w:r>
    </w:p>
    <w:p w:rsidR="007978E0" w:rsidRDefault="007978E0" w:rsidP="007978E0">
      <w:pPr>
        <w:rPr>
          <w:rFonts w:eastAsia="Calibri" w:cs="Arial"/>
          <w:sz w:val="20"/>
          <w:szCs w:val="20"/>
          <w:lang w:eastAsia="en-US"/>
        </w:rPr>
      </w:pPr>
    </w:p>
    <w:p w:rsidR="007978E0" w:rsidRDefault="007978E0" w:rsidP="007053BC">
      <w:pPr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All bids received by the closing date will be assessed against the tender evaluation process detailed below.</w:t>
      </w:r>
    </w:p>
    <w:p w:rsidR="007978E0" w:rsidRDefault="007978E0" w:rsidP="007978E0">
      <w:pPr>
        <w:rPr>
          <w:rFonts w:eastAsia="Calibri" w:cs="Arial"/>
          <w:sz w:val="20"/>
          <w:szCs w:val="20"/>
          <w:lang w:eastAsia="en-US"/>
        </w:rPr>
      </w:pPr>
    </w:p>
    <w:p w:rsidR="00B55CFE" w:rsidRPr="00D20C3D" w:rsidRDefault="00B55CFE" w:rsidP="00B55CFE">
      <w:pPr>
        <w:autoSpaceDE w:val="0"/>
        <w:autoSpaceDN w:val="0"/>
        <w:adjustRightInd w:val="0"/>
        <w:jc w:val="both"/>
        <w:rPr>
          <w:rFonts w:eastAsia="Times New Roman" w:cs="Arial"/>
          <w:sz w:val="20"/>
          <w:szCs w:val="20"/>
          <w:lang w:eastAsia="en-GB"/>
        </w:rPr>
      </w:pPr>
      <w:r w:rsidRPr="00D20C3D">
        <w:rPr>
          <w:rFonts w:eastAsia="Times New Roman" w:cs="Arial"/>
          <w:sz w:val="20"/>
          <w:szCs w:val="20"/>
          <w:lang w:eastAsia="en-GB"/>
        </w:rPr>
        <w:t>The Commercial Criteria shall be reviewed on a strict pass/fail basis. Failure in any of the Commercial Criteria shall result in a non-compliant bid.</w:t>
      </w:r>
    </w:p>
    <w:p w:rsidR="00B55CFE" w:rsidRPr="00D20C3D" w:rsidRDefault="00B55CFE" w:rsidP="00B55CFE">
      <w:pPr>
        <w:autoSpaceDE w:val="0"/>
        <w:autoSpaceDN w:val="0"/>
        <w:adjustRightInd w:val="0"/>
        <w:jc w:val="both"/>
        <w:rPr>
          <w:rFonts w:eastAsia="Times New Roman" w:cs="Arial"/>
          <w:sz w:val="20"/>
          <w:szCs w:val="20"/>
          <w:lang w:eastAsia="en-GB"/>
        </w:rPr>
      </w:pPr>
    </w:p>
    <w:p w:rsidR="00B55CFE" w:rsidRPr="00D20C3D" w:rsidRDefault="00B55CFE" w:rsidP="00B55CFE">
      <w:pPr>
        <w:autoSpaceDE w:val="0"/>
        <w:autoSpaceDN w:val="0"/>
        <w:adjustRightInd w:val="0"/>
        <w:jc w:val="both"/>
        <w:rPr>
          <w:rFonts w:eastAsia="Times New Roman" w:cs="Arial"/>
          <w:sz w:val="20"/>
          <w:szCs w:val="20"/>
          <w:lang w:eastAsia="en-GB"/>
        </w:rPr>
      </w:pPr>
      <w:r w:rsidRPr="00D20C3D">
        <w:rPr>
          <w:rFonts w:eastAsia="Times New Roman" w:cs="Arial"/>
          <w:sz w:val="20"/>
          <w:szCs w:val="20"/>
          <w:lang w:eastAsia="en-GB"/>
        </w:rPr>
        <w:t xml:space="preserve">A moderation exercise may be undertaken on the Technical Criteria by an independent Technical assessor following the completion of the technical assessment described </w:t>
      </w:r>
      <w:r w:rsidR="00D912F0">
        <w:rPr>
          <w:rFonts w:eastAsia="Times New Roman" w:cs="Arial"/>
          <w:sz w:val="20"/>
          <w:szCs w:val="20"/>
          <w:lang w:eastAsia="en-GB"/>
        </w:rPr>
        <w:t>below</w:t>
      </w:r>
      <w:r w:rsidRPr="00D20C3D">
        <w:rPr>
          <w:rFonts w:eastAsia="Times New Roman" w:cs="Arial"/>
          <w:sz w:val="20"/>
          <w:szCs w:val="20"/>
          <w:lang w:eastAsia="en-GB"/>
        </w:rPr>
        <w:t>.</w:t>
      </w:r>
    </w:p>
    <w:p w:rsidR="00B55CFE" w:rsidRPr="00D20C3D" w:rsidRDefault="00B55CFE" w:rsidP="00B55CFE">
      <w:pPr>
        <w:autoSpaceDE w:val="0"/>
        <w:autoSpaceDN w:val="0"/>
        <w:adjustRightInd w:val="0"/>
        <w:jc w:val="both"/>
        <w:rPr>
          <w:rFonts w:eastAsia="Times New Roman" w:cs="Arial"/>
          <w:sz w:val="20"/>
          <w:szCs w:val="20"/>
          <w:lang w:eastAsia="en-GB"/>
        </w:rPr>
      </w:pPr>
    </w:p>
    <w:p w:rsidR="00B55CFE" w:rsidRPr="00D20C3D" w:rsidRDefault="00B55CFE" w:rsidP="00B55CFE">
      <w:pPr>
        <w:autoSpaceDE w:val="0"/>
        <w:autoSpaceDN w:val="0"/>
        <w:adjustRightInd w:val="0"/>
        <w:jc w:val="both"/>
        <w:rPr>
          <w:rFonts w:eastAsia="Times New Roman" w:cs="Arial"/>
          <w:sz w:val="20"/>
          <w:szCs w:val="20"/>
          <w:lang w:eastAsia="en-GB"/>
        </w:rPr>
      </w:pPr>
      <w:r w:rsidRPr="00D20C3D">
        <w:rPr>
          <w:rFonts w:eastAsia="Times New Roman" w:cs="Arial"/>
          <w:sz w:val="20"/>
          <w:szCs w:val="20"/>
          <w:lang w:eastAsia="en-GB"/>
        </w:rPr>
        <w:t xml:space="preserve">The weighted scores for the Technical and </w:t>
      </w:r>
      <w:r w:rsidR="00D912F0">
        <w:rPr>
          <w:rFonts w:eastAsia="Times New Roman" w:cs="Arial"/>
          <w:sz w:val="20"/>
          <w:szCs w:val="20"/>
          <w:lang w:eastAsia="en-GB"/>
        </w:rPr>
        <w:t>Pricing</w:t>
      </w:r>
      <w:r w:rsidR="00D912F0" w:rsidRPr="00D20C3D">
        <w:rPr>
          <w:rFonts w:eastAsia="Times New Roman" w:cs="Arial"/>
          <w:sz w:val="20"/>
          <w:szCs w:val="20"/>
          <w:lang w:eastAsia="en-GB"/>
        </w:rPr>
        <w:t xml:space="preserve"> </w:t>
      </w:r>
      <w:r w:rsidRPr="00D20C3D">
        <w:rPr>
          <w:rFonts w:eastAsia="Times New Roman" w:cs="Arial"/>
          <w:sz w:val="20"/>
          <w:szCs w:val="20"/>
          <w:lang w:eastAsia="en-GB"/>
        </w:rPr>
        <w:t xml:space="preserve">elements will be added together and the overall highest score shall be </w:t>
      </w:r>
      <w:r w:rsidR="00D912F0">
        <w:rPr>
          <w:rFonts w:eastAsia="Times New Roman" w:cs="Arial"/>
          <w:sz w:val="20"/>
          <w:szCs w:val="20"/>
          <w:lang w:eastAsia="en-GB"/>
        </w:rPr>
        <w:t>the winner</w:t>
      </w:r>
      <w:r w:rsidRPr="00D20C3D">
        <w:rPr>
          <w:rFonts w:eastAsia="Times New Roman" w:cs="Arial"/>
          <w:sz w:val="20"/>
          <w:szCs w:val="20"/>
          <w:lang w:eastAsia="en-GB"/>
        </w:rPr>
        <w:t>. In the event that two or more tenders score the same overall, the Tenderer achieving the highest score in the Technical sectio</w:t>
      </w:r>
      <w:r>
        <w:rPr>
          <w:rFonts w:eastAsia="Times New Roman" w:cs="Arial"/>
          <w:sz w:val="20"/>
          <w:szCs w:val="20"/>
          <w:lang w:eastAsia="en-GB"/>
        </w:rPr>
        <w:t xml:space="preserve">n shall be </w:t>
      </w:r>
      <w:r w:rsidR="00D912F0">
        <w:rPr>
          <w:rFonts w:eastAsia="Times New Roman" w:cs="Arial"/>
          <w:sz w:val="20"/>
          <w:szCs w:val="20"/>
          <w:lang w:eastAsia="en-GB"/>
        </w:rPr>
        <w:t>the winner</w:t>
      </w:r>
      <w:r>
        <w:rPr>
          <w:rFonts w:eastAsia="Times New Roman" w:cs="Arial"/>
          <w:sz w:val="20"/>
          <w:szCs w:val="20"/>
          <w:lang w:eastAsia="en-GB"/>
        </w:rPr>
        <w:t>.</w:t>
      </w:r>
    </w:p>
    <w:p w:rsidR="00B55CFE" w:rsidRDefault="00B55CFE" w:rsidP="007978E0">
      <w:pPr>
        <w:rPr>
          <w:rFonts w:eastAsia="Calibri" w:cs="Arial"/>
          <w:sz w:val="20"/>
          <w:szCs w:val="20"/>
          <w:lang w:eastAsia="en-US"/>
        </w:rPr>
      </w:pPr>
    </w:p>
    <w:p w:rsidR="007978E0" w:rsidRDefault="007978E0" w:rsidP="007978E0">
      <w:pPr>
        <w:rPr>
          <w:rFonts w:eastAsia="Times New Roman" w:cs="Arial"/>
          <w:sz w:val="20"/>
          <w:szCs w:val="20"/>
          <w:lang w:eastAsia="en-US"/>
        </w:rPr>
      </w:pPr>
      <w:r w:rsidRPr="006E4816">
        <w:rPr>
          <w:rFonts w:eastAsia="Times New Roman" w:cs="Arial"/>
          <w:sz w:val="20"/>
          <w:szCs w:val="20"/>
          <w:lang w:eastAsia="en-US"/>
        </w:rPr>
        <w:t>The Authority will use an evaluation model consisting of three criteria, weighted as follows</w:t>
      </w:r>
      <w:r w:rsidR="000E5185">
        <w:rPr>
          <w:rFonts w:eastAsia="Times New Roman" w:cs="Arial"/>
          <w:sz w:val="20"/>
          <w:szCs w:val="20"/>
          <w:lang w:eastAsia="en-US"/>
        </w:rPr>
        <w:t>:</w:t>
      </w:r>
    </w:p>
    <w:p w:rsidR="000E5185" w:rsidRPr="006E4816" w:rsidRDefault="000E5185" w:rsidP="007978E0">
      <w:pPr>
        <w:rPr>
          <w:rFonts w:eastAsia="Times New Roman" w:cs="Arial"/>
          <w:sz w:val="20"/>
          <w:szCs w:val="20"/>
          <w:lang w:eastAsia="en-US"/>
        </w:rPr>
      </w:pPr>
    </w:p>
    <w:p w:rsidR="000E5185" w:rsidRPr="000E5185" w:rsidRDefault="000E5185" w:rsidP="000E5185">
      <w:pPr>
        <w:pStyle w:val="ListParagraph"/>
        <w:numPr>
          <w:ilvl w:val="0"/>
          <w:numId w:val="1"/>
        </w:numPr>
        <w:rPr>
          <w:rFonts w:eastAsia="Times New Roman" w:cs="Arial"/>
          <w:sz w:val="20"/>
          <w:szCs w:val="20"/>
          <w:lang w:eastAsia="en-US"/>
        </w:rPr>
      </w:pPr>
      <w:r w:rsidRPr="000E5185">
        <w:rPr>
          <w:rFonts w:eastAsia="Times New Roman" w:cs="Arial"/>
          <w:sz w:val="20"/>
          <w:szCs w:val="20"/>
          <w:lang w:eastAsia="en-US"/>
        </w:rPr>
        <w:t>Commercial:</w:t>
      </w:r>
      <w:r w:rsidRPr="000E5185">
        <w:rPr>
          <w:rFonts w:eastAsia="Times New Roman" w:cs="Arial"/>
          <w:sz w:val="20"/>
          <w:szCs w:val="20"/>
          <w:lang w:eastAsia="en-US"/>
        </w:rPr>
        <w:tab/>
        <w:t>Pass/Fail</w:t>
      </w:r>
    </w:p>
    <w:p w:rsidR="007978E0" w:rsidRPr="000E5185" w:rsidRDefault="007978E0" w:rsidP="000E5185">
      <w:pPr>
        <w:pStyle w:val="ListParagraph"/>
        <w:numPr>
          <w:ilvl w:val="0"/>
          <w:numId w:val="1"/>
        </w:numPr>
        <w:rPr>
          <w:rFonts w:eastAsia="Times New Roman" w:cs="Arial"/>
          <w:sz w:val="20"/>
          <w:szCs w:val="20"/>
          <w:lang w:eastAsia="en-US"/>
        </w:rPr>
      </w:pPr>
      <w:r w:rsidRPr="000E5185">
        <w:rPr>
          <w:rFonts w:eastAsia="Times New Roman" w:cs="Arial"/>
          <w:sz w:val="20"/>
          <w:szCs w:val="20"/>
          <w:lang w:eastAsia="en-US"/>
        </w:rPr>
        <w:t>Technical:</w:t>
      </w:r>
      <w:r w:rsidRPr="000E5185">
        <w:rPr>
          <w:rFonts w:eastAsia="Times New Roman" w:cs="Arial"/>
          <w:sz w:val="20"/>
          <w:szCs w:val="20"/>
          <w:lang w:eastAsia="en-US"/>
        </w:rPr>
        <w:tab/>
      </w:r>
      <w:r w:rsidR="00D43ED0">
        <w:rPr>
          <w:rFonts w:eastAsia="Times New Roman" w:cs="Arial"/>
          <w:sz w:val="20"/>
          <w:szCs w:val="20"/>
          <w:lang w:eastAsia="en-US"/>
        </w:rPr>
        <w:t>6</w:t>
      </w:r>
      <w:r w:rsidRPr="000E5185">
        <w:rPr>
          <w:rFonts w:eastAsia="Times New Roman" w:cs="Arial"/>
          <w:sz w:val="20"/>
          <w:szCs w:val="20"/>
          <w:lang w:eastAsia="en-US"/>
        </w:rPr>
        <w:t>5%</w:t>
      </w:r>
    </w:p>
    <w:p w:rsidR="007978E0" w:rsidRPr="000E5185" w:rsidRDefault="007978E0" w:rsidP="000E5185">
      <w:pPr>
        <w:pStyle w:val="ListParagraph"/>
        <w:numPr>
          <w:ilvl w:val="0"/>
          <w:numId w:val="1"/>
        </w:numPr>
        <w:rPr>
          <w:rFonts w:eastAsia="Times New Roman" w:cs="Arial"/>
          <w:sz w:val="20"/>
          <w:szCs w:val="20"/>
          <w:lang w:eastAsia="en-US"/>
        </w:rPr>
      </w:pPr>
      <w:r w:rsidRPr="000E5185">
        <w:rPr>
          <w:rFonts w:eastAsia="Times New Roman" w:cs="Arial"/>
          <w:sz w:val="20"/>
          <w:szCs w:val="20"/>
          <w:lang w:eastAsia="en-US"/>
        </w:rPr>
        <w:t>Pricing:</w:t>
      </w:r>
      <w:r w:rsidRPr="000E5185">
        <w:rPr>
          <w:rFonts w:eastAsia="Times New Roman" w:cs="Arial"/>
          <w:sz w:val="20"/>
          <w:szCs w:val="20"/>
          <w:lang w:eastAsia="en-US"/>
        </w:rPr>
        <w:tab/>
      </w:r>
      <w:r w:rsidR="000E5185" w:rsidRPr="000E5185">
        <w:rPr>
          <w:rFonts w:eastAsia="Times New Roman" w:cs="Arial"/>
          <w:sz w:val="20"/>
          <w:szCs w:val="20"/>
          <w:lang w:eastAsia="en-US"/>
        </w:rPr>
        <w:tab/>
      </w:r>
      <w:r w:rsidR="00D43ED0">
        <w:rPr>
          <w:rFonts w:eastAsia="Times New Roman" w:cs="Arial"/>
          <w:sz w:val="20"/>
          <w:szCs w:val="20"/>
          <w:lang w:eastAsia="en-US"/>
        </w:rPr>
        <w:t>3</w:t>
      </w:r>
      <w:r w:rsidRPr="000E5185">
        <w:rPr>
          <w:rFonts w:eastAsia="Times New Roman" w:cs="Arial"/>
          <w:sz w:val="20"/>
          <w:szCs w:val="20"/>
          <w:lang w:eastAsia="en-US"/>
        </w:rPr>
        <w:t>5%</w:t>
      </w:r>
    </w:p>
    <w:p w:rsidR="007978E0" w:rsidRDefault="007978E0" w:rsidP="007978E0">
      <w:pPr>
        <w:rPr>
          <w:rFonts w:eastAsia="Times New Roman" w:cs="Arial"/>
          <w:sz w:val="20"/>
          <w:szCs w:val="20"/>
          <w:lang w:eastAsia="en-US"/>
        </w:rPr>
      </w:pPr>
    </w:p>
    <w:p w:rsidR="000E5185" w:rsidRPr="0085089A" w:rsidRDefault="000E5185" w:rsidP="000E5185">
      <w:pPr>
        <w:jc w:val="both"/>
        <w:rPr>
          <w:rFonts w:cs="Arial"/>
          <w:b/>
          <w:sz w:val="20"/>
          <w:szCs w:val="20"/>
          <w:u w:val="single"/>
        </w:rPr>
      </w:pPr>
      <w:r w:rsidRPr="0085089A">
        <w:rPr>
          <w:rFonts w:cs="Arial"/>
          <w:b/>
          <w:sz w:val="20"/>
          <w:szCs w:val="20"/>
          <w:u w:val="single"/>
        </w:rPr>
        <w:t>Commercial Evaluation</w:t>
      </w:r>
    </w:p>
    <w:p w:rsidR="000E5185" w:rsidRPr="005F6AE7" w:rsidRDefault="000E5185" w:rsidP="000E5185">
      <w:pPr>
        <w:jc w:val="both"/>
        <w:rPr>
          <w:rFonts w:cs="Arial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6638"/>
        <w:gridCol w:w="1299"/>
        <w:gridCol w:w="1588"/>
      </w:tblGrid>
      <w:tr w:rsidR="000E5185" w:rsidRPr="005F6AE7" w:rsidTr="00B00D92">
        <w:tc>
          <w:tcPr>
            <w:tcW w:w="286" w:type="pct"/>
          </w:tcPr>
          <w:p w:rsidR="000E5185" w:rsidRPr="005F6AE7" w:rsidRDefault="000E5185" w:rsidP="00B00D92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3285" w:type="pct"/>
          </w:tcPr>
          <w:p w:rsidR="000E5185" w:rsidRPr="005F6AE7" w:rsidRDefault="000E5185" w:rsidP="00B00D92">
            <w:pPr>
              <w:widowControl w:val="0"/>
              <w:jc w:val="both"/>
              <w:rPr>
                <w:rFonts w:cs="Arial"/>
                <w:b/>
                <w:sz w:val="20"/>
              </w:rPr>
            </w:pPr>
            <w:r w:rsidRPr="005F6AE7">
              <w:rPr>
                <w:rFonts w:cs="Arial"/>
                <w:b/>
                <w:sz w:val="20"/>
              </w:rPr>
              <w:t>Criteria</w:t>
            </w:r>
          </w:p>
        </w:tc>
        <w:tc>
          <w:tcPr>
            <w:tcW w:w="643" w:type="pct"/>
          </w:tcPr>
          <w:p w:rsidR="000E5185" w:rsidRPr="005F6AE7" w:rsidRDefault="000E5185" w:rsidP="00B00D92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 w:rsidRPr="005F6AE7">
              <w:rPr>
                <w:rFonts w:cs="Arial"/>
                <w:b/>
                <w:sz w:val="20"/>
              </w:rPr>
              <w:t>Score</w:t>
            </w:r>
          </w:p>
        </w:tc>
        <w:tc>
          <w:tcPr>
            <w:tcW w:w="786" w:type="pct"/>
          </w:tcPr>
          <w:p w:rsidR="000E5185" w:rsidRPr="005F6AE7" w:rsidRDefault="000E5185" w:rsidP="00B00D92">
            <w:pPr>
              <w:widowControl w:val="0"/>
              <w:rPr>
                <w:rFonts w:cs="Arial"/>
                <w:b/>
                <w:sz w:val="20"/>
              </w:rPr>
            </w:pPr>
            <w:r w:rsidRPr="005F6AE7">
              <w:rPr>
                <w:rFonts w:cs="Arial"/>
                <w:b/>
                <w:sz w:val="20"/>
              </w:rPr>
              <w:t>Weighting</w:t>
            </w:r>
          </w:p>
        </w:tc>
      </w:tr>
      <w:tr w:rsidR="000E5185" w:rsidRPr="005F6AE7" w:rsidTr="00B00D92">
        <w:tc>
          <w:tcPr>
            <w:tcW w:w="286" w:type="pct"/>
          </w:tcPr>
          <w:p w:rsidR="000E5185" w:rsidRPr="005F6AE7" w:rsidRDefault="000E5185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C1</w:t>
            </w:r>
          </w:p>
        </w:tc>
        <w:tc>
          <w:tcPr>
            <w:tcW w:w="3285" w:type="pct"/>
          </w:tcPr>
          <w:p w:rsidR="000E5185" w:rsidRPr="005F6AE7" w:rsidRDefault="000E5185" w:rsidP="00C9576E">
            <w:pPr>
              <w:widowControl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Provision of technical and commercial responses in the required</w:t>
            </w:r>
            <w:r w:rsidR="00C9576E">
              <w:rPr>
                <w:rFonts w:cs="Arial"/>
                <w:sz w:val="20"/>
                <w:szCs w:val="20"/>
              </w:rPr>
              <w:t xml:space="preserve"> format (MS Word or pdf files).</w:t>
            </w:r>
          </w:p>
        </w:tc>
        <w:tc>
          <w:tcPr>
            <w:tcW w:w="643" w:type="pct"/>
          </w:tcPr>
          <w:p w:rsidR="000E5185" w:rsidRPr="005F6AE7" w:rsidRDefault="000E5185" w:rsidP="008662F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Pass/</w:t>
            </w:r>
            <w:r w:rsidR="008662F2">
              <w:rPr>
                <w:rFonts w:cs="Arial"/>
                <w:sz w:val="20"/>
                <w:szCs w:val="20"/>
              </w:rPr>
              <w:t>F</w:t>
            </w:r>
            <w:r w:rsidRPr="005F6AE7">
              <w:rPr>
                <w:rFonts w:cs="Arial"/>
                <w:sz w:val="20"/>
                <w:szCs w:val="20"/>
              </w:rPr>
              <w:t>ail</w:t>
            </w:r>
          </w:p>
        </w:tc>
        <w:tc>
          <w:tcPr>
            <w:tcW w:w="786" w:type="pct"/>
          </w:tcPr>
          <w:p w:rsidR="000E5185" w:rsidRPr="005F6AE7" w:rsidRDefault="000E5185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0E5185" w:rsidRPr="005F6AE7" w:rsidTr="00B00D92">
        <w:tc>
          <w:tcPr>
            <w:tcW w:w="286" w:type="pct"/>
          </w:tcPr>
          <w:p w:rsidR="000E5185" w:rsidRPr="005F6AE7" w:rsidRDefault="000E5185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C2</w:t>
            </w:r>
          </w:p>
        </w:tc>
        <w:tc>
          <w:tcPr>
            <w:tcW w:w="3285" w:type="pct"/>
          </w:tcPr>
          <w:p w:rsidR="000E5185" w:rsidRPr="005F6AE7" w:rsidRDefault="000E5185" w:rsidP="00B00D92">
            <w:pPr>
              <w:widowControl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Compliance with any required quotation validity period.</w:t>
            </w:r>
          </w:p>
        </w:tc>
        <w:tc>
          <w:tcPr>
            <w:tcW w:w="643" w:type="pct"/>
          </w:tcPr>
          <w:p w:rsidR="000E5185" w:rsidRPr="005F6AE7" w:rsidRDefault="000E5185" w:rsidP="008662F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Pass/</w:t>
            </w:r>
            <w:r w:rsidR="008662F2">
              <w:rPr>
                <w:rFonts w:cs="Arial"/>
                <w:sz w:val="20"/>
                <w:szCs w:val="20"/>
              </w:rPr>
              <w:t>F</w:t>
            </w:r>
            <w:r w:rsidRPr="005F6AE7">
              <w:rPr>
                <w:rFonts w:cs="Arial"/>
                <w:sz w:val="20"/>
                <w:szCs w:val="20"/>
              </w:rPr>
              <w:t>ail</w:t>
            </w:r>
          </w:p>
        </w:tc>
        <w:tc>
          <w:tcPr>
            <w:tcW w:w="786" w:type="pct"/>
          </w:tcPr>
          <w:p w:rsidR="000E5185" w:rsidRPr="005F6AE7" w:rsidRDefault="000E5185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0E5185" w:rsidRPr="00D20C3D" w:rsidTr="00B00D9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5F6AE7" w:rsidRDefault="000E5185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C3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5F6AE7" w:rsidRDefault="000E5185" w:rsidP="00B00D92">
            <w:pPr>
              <w:widowControl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Please provide full details of the point of contacts for commercial, project management &amp; technical, for the proposed contract duration.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5F6AE7" w:rsidRDefault="000E5185" w:rsidP="008662F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Pass/</w:t>
            </w:r>
            <w:r w:rsidR="008662F2">
              <w:rPr>
                <w:rFonts w:cs="Arial"/>
                <w:sz w:val="20"/>
                <w:szCs w:val="20"/>
              </w:rPr>
              <w:t>F</w:t>
            </w:r>
            <w:r w:rsidRPr="005F6AE7">
              <w:rPr>
                <w:rFonts w:cs="Arial"/>
                <w:sz w:val="20"/>
                <w:szCs w:val="20"/>
              </w:rPr>
              <w:t>ail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D20C3D" w:rsidRDefault="000E5185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5F6AE7">
              <w:rPr>
                <w:rFonts w:cs="Arial"/>
                <w:sz w:val="20"/>
                <w:szCs w:val="20"/>
              </w:rPr>
              <w:t>N/A</w:t>
            </w:r>
          </w:p>
        </w:tc>
      </w:tr>
      <w:tr w:rsidR="00864354" w:rsidRPr="00D20C3D" w:rsidTr="00B00D9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54" w:rsidRPr="005F6AE7" w:rsidRDefault="00864354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C4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54" w:rsidRPr="005F6AE7" w:rsidRDefault="00864354" w:rsidP="00B00D92">
            <w:pPr>
              <w:widowControl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relevant field</w:t>
            </w:r>
            <w:r w:rsidR="00D42FB9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on Tasking order form completed fully (especially within the Schedule of Requirements)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54" w:rsidRPr="005F6AE7" w:rsidRDefault="00864354" w:rsidP="008662F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Pass/Fail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54" w:rsidRPr="005F6AE7" w:rsidRDefault="00864354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864354" w:rsidRPr="00D20C3D" w:rsidTr="00B00D92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54" w:rsidRPr="005F6AE7" w:rsidRDefault="00864354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C5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54" w:rsidRPr="005F6AE7" w:rsidRDefault="00864354" w:rsidP="00864354">
            <w:pPr>
              <w:widowControl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Pleas</w:t>
            </w:r>
            <w:r w:rsidR="00947799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 provide confirmation that you fully comply with the standard FATS D&amp;E Terms and Conditions in addition to those detailed within the Tasking Order Form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54" w:rsidRPr="005F6AE7" w:rsidRDefault="00864354" w:rsidP="008662F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Pass/Fail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54" w:rsidRPr="005F6AE7" w:rsidRDefault="00864354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</w:tbl>
    <w:p w:rsidR="000E5185" w:rsidRPr="000E5185" w:rsidRDefault="000E5185" w:rsidP="000E5185">
      <w:pPr>
        <w:rPr>
          <w:rFonts w:eastAsia="Times New Roman" w:cs="Arial"/>
          <w:sz w:val="20"/>
          <w:szCs w:val="20"/>
          <w:u w:val="single"/>
          <w:lang w:eastAsia="en-US"/>
        </w:rPr>
      </w:pPr>
    </w:p>
    <w:p w:rsidR="007978E0" w:rsidRPr="00B64139" w:rsidRDefault="007978E0" w:rsidP="007978E0">
      <w:pPr>
        <w:rPr>
          <w:rFonts w:eastAsia="Times New Roman" w:cs="Arial"/>
          <w:b/>
          <w:sz w:val="20"/>
          <w:szCs w:val="20"/>
          <w:u w:val="single"/>
          <w:lang w:eastAsia="en-US"/>
        </w:rPr>
      </w:pPr>
      <w:r w:rsidRPr="00B64139">
        <w:rPr>
          <w:rFonts w:eastAsia="Times New Roman" w:cs="Arial"/>
          <w:b/>
          <w:sz w:val="20"/>
          <w:szCs w:val="20"/>
          <w:u w:val="single"/>
          <w:lang w:eastAsia="en-US"/>
        </w:rPr>
        <w:t xml:space="preserve">Technical Evaluation </w:t>
      </w:r>
    </w:p>
    <w:p w:rsidR="007978E0" w:rsidRPr="006E4816" w:rsidRDefault="007978E0" w:rsidP="007978E0">
      <w:pPr>
        <w:rPr>
          <w:rFonts w:eastAsia="Times New Roman" w:cs="Arial"/>
          <w:sz w:val="20"/>
          <w:szCs w:val="20"/>
          <w:lang w:eastAsia="en-US"/>
        </w:rPr>
      </w:pPr>
    </w:p>
    <w:p w:rsidR="007978E0" w:rsidRPr="006E4816" w:rsidRDefault="007978E0" w:rsidP="007978E0">
      <w:pPr>
        <w:rPr>
          <w:rFonts w:eastAsia="Times New Roman" w:cs="Arial"/>
          <w:sz w:val="20"/>
          <w:szCs w:val="20"/>
          <w:lang w:eastAsia="en-US"/>
        </w:rPr>
      </w:pPr>
      <w:r w:rsidRPr="006E4816">
        <w:rPr>
          <w:rFonts w:eastAsia="Times New Roman" w:cs="Arial"/>
          <w:sz w:val="20"/>
          <w:szCs w:val="20"/>
          <w:lang w:eastAsia="en-US"/>
        </w:rPr>
        <w:t>The Technical evaluation team will evaluate the unpriced responses only.</w:t>
      </w:r>
    </w:p>
    <w:p w:rsidR="007978E0" w:rsidRPr="006E4816" w:rsidRDefault="007978E0" w:rsidP="007978E0">
      <w:pPr>
        <w:rPr>
          <w:rFonts w:eastAsia="Times New Roman" w:cs="Arial"/>
          <w:sz w:val="20"/>
          <w:szCs w:val="20"/>
          <w:lang w:eastAsia="en-US"/>
        </w:rPr>
      </w:pPr>
    </w:p>
    <w:p w:rsidR="007978E0" w:rsidRPr="006E4816" w:rsidRDefault="007978E0" w:rsidP="007053BC">
      <w:pPr>
        <w:jc w:val="both"/>
        <w:rPr>
          <w:rFonts w:eastAsia="Times New Roman" w:cs="Arial"/>
          <w:sz w:val="20"/>
          <w:szCs w:val="20"/>
          <w:lang w:eastAsia="en-US"/>
        </w:rPr>
      </w:pPr>
      <w:r w:rsidRPr="006E4816">
        <w:rPr>
          <w:rFonts w:eastAsia="Times New Roman" w:cs="Arial"/>
          <w:sz w:val="20"/>
          <w:szCs w:val="20"/>
          <w:lang w:eastAsia="en-US"/>
        </w:rPr>
        <w:t>A total technical score will be calculated using a weighted sum of the</w:t>
      </w:r>
      <w:r>
        <w:rPr>
          <w:rFonts w:eastAsia="Times New Roman" w:cs="Arial"/>
          <w:sz w:val="20"/>
          <w:szCs w:val="20"/>
          <w:lang w:eastAsia="en-US"/>
        </w:rPr>
        <w:t xml:space="preserve"> marks awarded for each of the four</w:t>
      </w:r>
      <w:r w:rsidRPr="006E4816">
        <w:rPr>
          <w:rFonts w:eastAsia="Times New Roman" w:cs="Arial"/>
          <w:sz w:val="20"/>
          <w:szCs w:val="20"/>
          <w:lang w:eastAsia="en-US"/>
        </w:rPr>
        <w:t xml:space="preserve"> questions.  Each question can be scored on a scale of 0-5 prior to the weighting being applied, resulting in</w:t>
      </w:r>
      <w:r>
        <w:rPr>
          <w:rFonts w:eastAsia="Times New Roman" w:cs="Arial"/>
          <w:sz w:val="20"/>
          <w:szCs w:val="20"/>
          <w:lang w:eastAsia="en-US"/>
        </w:rPr>
        <w:t xml:space="preserve"> a maximum achievable score of </w:t>
      </w:r>
      <w:r w:rsidR="00D912F0">
        <w:rPr>
          <w:rFonts w:eastAsia="Times New Roman" w:cs="Arial"/>
          <w:sz w:val="20"/>
          <w:szCs w:val="20"/>
          <w:lang w:eastAsia="en-US"/>
        </w:rPr>
        <w:t>70</w:t>
      </w:r>
      <w:r w:rsidRPr="006E4816">
        <w:rPr>
          <w:rFonts w:eastAsia="Times New Roman" w:cs="Arial"/>
          <w:sz w:val="20"/>
          <w:szCs w:val="20"/>
          <w:lang w:eastAsia="en-US"/>
        </w:rPr>
        <w:t xml:space="preserve">.  A pro-rata score is then calculated. The highest scoring technically compliant bid will be allocated the full </w:t>
      </w:r>
      <w:r w:rsidR="00D43ED0">
        <w:rPr>
          <w:rFonts w:eastAsia="Times New Roman" w:cs="Arial"/>
          <w:sz w:val="20"/>
          <w:szCs w:val="20"/>
          <w:lang w:eastAsia="en-US"/>
        </w:rPr>
        <w:t>6</w:t>
      </w:r>
      <w:r w:rsidRPr="006E4816">
        <w:rPr>
          <w:rFonts w:eastAsia="Times New Roman" w:cs="Arial"/>
          <w:sz w:val="20"/>
          <w:szCs w:val="20"/>
          <w:lang w:eastAsia="en-US"/>
        </w:rPr>
        <w:t>5% in the technical assessment with other compliant bids being allocated a pro-rata score based on their overall technical marks.</w:t>
      </w:r>
    </w:p>
    <w:p w:rsidR="007978E0" w:rsidRDefault="007978E0" w:rsidP="007978E0">
      <w:pPr>
        <w:rPr>
          <w:rFonts w:eastAsia="Times New Roman" w:cs="Arial"/>
          <w:sz w:val="20"/>
          <w:szCs w:val="20"/>
          <w:lang w:eastAsia="en-US"/>
        </w:rPr>
      </w:pPr>
    </w:p>
    <w:p w:rsidR="007978E0" w:rsidRPr="00B64139" w:rsidRDefault="007978E0" w:rsidP="007978E0">
      <w:pPr>
        <w:rPr>
          <w:rFonts w:eastAsia="Times New Roman" w:cs="Arial"/>
          <w:sz w:val="20"/>
          <w:szCs w:val="20"/>
          <w:u w:val="single"/>
          <w:lang w:eastAsia="en-US"/>
        </w:rPr>
      </w:pPr>
      <w:r>
        <w:rPr>
          <w:rFonts w:eastAsia="Times New Roman" w:cs="Arial"/>
          <w:sz w:val="20"/>
          <w:szCs w:val="20"/>
          <w:u w:val="single"/>
          <w:lang w:eastAsia="en-US"/>
        </w:rPr>
        <w:t>Scoring of technical criteria</w:t>
      </w:r>
    </w:p>
    <w:p w:rsidR="007978E0" w:rsidRDefault="007978E0" w:rsidP="007978E0">
      <w:pPr>
        <w:rPr>
          <w:rFonts w:eastAsia="Times New Roman" w:cs="Arial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6355"/>
        <w:gridCol w:w="1079"/>
        <w:gridCol w:w="1554"/>
      </w:tblGrid>
      <w:tr w:rsidR="007978E0" w:rsidRPr="001255FE" w:rsidTr="00B00D92">
        <w:tc>
          <w:tcPr>
            <w:tcW w:w="552" w:type="pct"/>
          </w:tcPr>
          <w:p w:rsidR="007978E0" w:rsidRPr="001255FE" w:rsidRDefault="007978E0" w:rsidP="00B00D92">
            <w:pPr>
              <w:widowControl w:val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5" w:type="pct"/>
          </w:tcPr>
          <w:p w:rsidR="007978E0" w:rsidRPr="001255FE" w:rsidRDefault="000E5185" w:rsidP="00B00D92">
            <w:pPr>
              <w:widowControl w:val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Understanding the Requirement</w:t>
            </w:r>
          </w:p>
        </w:tc>
        <w:tc>
          <w:tcPr>
            <w:tcW w:w="534" w:type="pct"/>
          </w:tcPr>
          <w:p w:rsidR="007978E0" w:rsidRPr="001255FE" w:rsidRDefault="007978E0" w:rsidP="00B00D92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255FE">
              <w:rPr>
                <w:rFonts w:cs="Arial"/>
                <w:b/>
                <w:sz w:val="20"/>
                <w:szCs w:val="20"/>
              </w:rPr>
              <w:t>Score</w:t>
            </w:r>
          </w:p>
        </w:tc>
        <w:tc>
          <w:tcPr>
            <w:tcW w:w="769" w:type="pct"/>
          </w:tcPr>
          <w:p w:rsidR="007978E0" w:rsidRPr="001255FE" w:rsidRDefault="007978E0" w:rsidP="00B00D92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255FE">
              <w:rPr>
                <w:rFonts w:cs="Arial"/>
                <w:b/>
                <w:sz w:val="20"/>
                <w:szCs w:val="20"/>
              </w:rPr>
              <w:t>Weighting</w:t>
            </w:r>
          </w:p>
        </w:tc>
      </w:tr>
      <w:tr w:rsidR="007978E0" w:rsidRPr="001255FE" w:rsidTr="00B00D92">
        <w:tc>
          <w:tcPr>
            <w:tcW w:w="552" w:type="pct"/>
          </w:tcPr>
          <w:p w:rsidR="007978E0" w:rsidRPr="001255FE" w:rsidRDefault="007978E0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sz w:val="20"/>
                <w:szCs w:val="20"/>
              </w:rPr>
              <w:t>T1</w:t>
            </w:r>
          </w:p>
        </w:tc>
        <w:tc>
          <w:tcPr>
            <w:tcW w:w="3145" w:type="pct"/>
            <w:vAlign w:val="center"/>
          </w:tcPr>
          <w:p w:rsidR="007978E0" w:rsidRPr="001255FE" w:rsidRDefault="007978E0" w:rsidP="00B55CFE">
            <w:pPr>
              <w:widowControl w:val="0"/>
              <w:spacing w:after="6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E4816">
              <w:rPr>
                <w:rFonts w:eastAsia="Times New Roman" w:cs="Arial"/>
                <w:sz w:val="20"/>
                <w:szCs w:val="20"/>
                <w:lang w:eastAsia="en-US"/>
              </w:rPr>
              <w:t>Please describe, in no more than 500 words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,</w:t>
            </w:r>
            <w:r w:rsidRPr="006E4816">
              <w:rPr>
                <w:rFonts w:eastAsia="Times New Roman" w:cs="Arial"/>
                <w:sz w:val="20"/>
                <w:szCs w:val="20"/>
                <w:lang w:eastAsia="en-US"/>
              </w:rPr>
              <w:t xml:space="preserve"> your </w:t>
            </w:r>
            <w:r w:rsidR="00B55CFE">
              <w:rPr>
                <w:rFonts w:eastAsia="Times New Roman" w:cs="Arial"/>
                <w:sz w:val="20"/>
                <w:szCs w:val="20"/>
                <w:lang w:eastAsia="en-US"/>
              </w:rPr>
              <w:t>understanding of the requirement.</w:t>
            </w:r>
          </w:p>
        </w:tc>
        <w:tc>
          <w:tcPr>
            <w:tcW w:w="534" w:type="pct"/>
          </w:tcPr>
          <w:p w:rsidR="007978E0" w:rsidRPr="001255FE" w:rsidRDefault="007978E0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sz w:val="20"/>
                <w:szCs w:val="20"/>
              </w:rPr>
              <w:t>0 – 5</w:t>
            </w:r>
          </w:p>
        </w:tc>
        <w:tc>
          <w:tcPr>
            <w:tcW w:w="769" w:type="pct"/>
          </w:tcPr>
          <w:p w:rsidR="007978E0" w:rsidRPr="001255FE" w:rsidRDefault="00022B61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7978E0" w:rsidRPr="001255FE" w:rsidTr="00B00D92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7978E0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0E5185" w:rsidP="00B00D92">
            <w:pPr>
              <w:widowControl w:val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Approach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7978E0" w:rsidP="00B00D92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255FE">
              <w:rPr>
                <w:rFonts w:cs="Arial"/>
                <w:b/>
                <w:sz w:val="20"/>
                <w:szCs w:val="20"/>
              </w:rPr>
              <w:t>Score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7978E0" w:rsidP="00B00D92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255FE">
              <w:rPr>
                <w:rFonts w:cs="Arial"/>
                <w:b/>
                <w:sz w:val="20"/>
                <w:szCs w:val="20"/>
              </w:rPr>
              <w:t>Weighting</w:t>
            </w:r>
          </w:p>
        </w:tc>
      </w:tr>
      <w:tr w:rsidR="007978E0" w:rsidRPr="001255FE" w:rsidTr="00B00D92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7978E0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E0" w:rsidRPr="001255FE" w:rsidRDefault="007978E0" w:rsidP="00B00D92">
            <w:pPr>
              <w:widowControl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6E4816">
              <w:rPr>
                <w:rFonts w:eastAsia="Times New Roman" w:cs="Arial"/>
                <w:sz w:val="20"/>
                <w:szCs w:val="20"/>
                <w:lang w:eastAsia="en-US"/>
              </w:rPr>
              <w:t>Please describe, in no more than 1500 words, details of the technical approach for this task.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7978E0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sz w:val="20"/>
                <w:szCs w:val="20"/>
              </w:rPr>
              <w:t>0 – 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7978E0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E5185" w:rsidRPr="000E5185" w:rsidTr="00B00D92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0E5185" w:rsidRDefault="000E5185" w:rsidP="00B00D92">
            <w:pPr>
              <w:widowControl w:val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85" w:rsidRPr="000E5185" w:rsidRDefault="000E5185" w:rsidP="00B00D92">
            <w:pPr>
              <w:widowControl w:val="0"/>
              <w:spacing w:after="60"/>
              <w:jc w:val="both"/>
              <w:rPr>
                <w:rFonts w:eastAsia="Times New Roman" w:cs="Arial"/>
                <w:b/>
                <w:sz w:val="20"/>
                <w:szCs w:val="20"/>
                <w:lang w:eastAsia="en-US"/>
              </w:rPr>
            </w:pPr>
            <w:r w:rsidRPr="000E5185">
              <w:rPr>
                <w:rFonts w:eastAsia="Times New Roman" w:cs="Arial"/>
                <w:b/>
                <w:sz w:val="20"/>
                <w:szCs w:val="20"/>
                <w:lang w:eastAsia="en-US"/>
              </w:rPr>
              <w:t>Novel Aspect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1255FE" w:rsidRDefault="000E5185" w:rsidP="00B00D92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255FE">
              <w:rPr>
                <w:rFonts w:cs="Arial"/>
                <w:b/>
                <w:sz w:val="20"/>
                <w:szCs w:val="20"/>
              </w:rPr>
              <w:t>Score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0E5185" w:rsidRDefault="000E5185" w:rsidP="00B00D92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255FE">
              <w:rPr>
                <w:rFonts w:cs="Arial"/>
                <w:b/>
                <w:sz w:val="20"/>
                <w:szCs w:val="20"/>
              </w:rPr>
              <w:t>Weighting</w:t>
            </w:r>
          </w:p>
        </w:tc>
      </w:tr>
      <w:tr w:rsidR="000E5185" w:rsidRPr="001255FE" w:rsidTr="00B00D92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1255FE" w:rsidRDefault="000E5185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85" w:rsidRPr="001255FE" w:rsidRDefault="000E5185" w:rsidP="00B00D92">
            <w:pPr>
              <w:widowControl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6E4816">
              <w:rPr>
                <w:rFonts w:eastAsia="Times New Roman" w:cs="Arial"/>
                <w:sz w:val="20"/>
                <w:szCs w:val="20"/>
                <w:lang w:eastAsia="en-US"/>
              </w:rPr>
              <w:t>Please describe, in no more than 500 words, any particularly novel aspects of your proposal.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1255FE" w:rsidRDefault="000E5185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sz w:val="20"/>
                <w:szCs w:val="20"/>
              </w:rPr>
              <w:t>0 – 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1255FE" w:rsidRDefault="000E5185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0E5185" w:rsidRPr="001255FE" w:rsidTr="00B00D92">
        <w:trPr>
          <w:trHeight w:val="298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1255FE" w:rsidRDefault="000E5185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85" w:rsidRPr="00022B61" w:rsidRDefault="000E5185" w:rsidP="00B00D92">
            <w:pPr>
              <w:widowControl w:val="0"/>
              <w:spacing w:after="60"/>
              <w:jc w:val="both"/>
              <w:rPr>
                <w:rFonts w:eastAsia="Times New Roman" w:cs="Arial"/>
                <w:b/>
                <w:sz w:val="20"/>
                <w:szCs w:val="20"/>
                <w:lang w:eastAsia="en-US"/>
              </w:rPr>
            </w:pPr>
            <w:r w:rsidRPr="00022B61">
              <w:rPr>
                <w:rFonts w:eastAsia="Times New Roman" w:cs="Arial"/>
                <w:b/>
                <w:sz w:val="20"/>
                <w:szCs w:val="20"/>
                <w:lang w:eastAsia="en-US"/>
              </w:rPr>
              <w:t>Management of Task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1255FE" w:rsidRDefault="000E5185" w:rsidP="00B00D92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1255FE">
              <w:rPr>
                <w:rFonts w:cs="Arial"/>
                <w:b/>
                <w:sz w:val="20"/>
                <w:szCs w:val="20"/>
              </w:rPr>
              <w:t>Score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Default="000E5185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b/>
                <w:sz w:val="20"/>
                <w:szCs w:val="20"/>
              </w:rPr>
              <w:t>Weighting</w:t>
            </w:r>
          </w:p>
        </w:tc>
      </w:tr>
      <w:tr w:rsidR="000E5185" w:rsidRPr="001255FE" w:rsidTr="00B00D92">
        <w:trPr>
          <w:trHeight w:val="298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1255FE" w:rsidRDefault="000E5185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85" w:rsidRPr="001255FE" w:rsidRDefault="000E5185" w:rsidP="00B55CFE">
            <w:pPr>
              <w:widowControl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6E4816">
              <w:rPr>
                <w:rFonts w:eastAsia="Times New Roman" w:cs="Arial"/>
                <w:sz w:val="20"/>
                <w:szCs w:val="20"/>
                <w:lang w:eastAsia="en-US"/>
              </w:rPr>
              <w:t xml:space="preserve">Please describe, in no more than 500 words, </w:t>
            </w:r>
            <w:r w:rsidR="00B55CFE">
              <w:rPr>
                <w:rFonts w:eastAsia="Times New Roman" w:cs="Arial"/>
                <w:sz w:val="20"/>
                <w:szCs w:val="20"/>
                <w:lang w:eastAsia="en-US"/>
              </w:rPr>
              <w:t>details of your management approach to this task</w:t>
            </w:r>
            <w:r w:rsidRPr="006E4816">
              <w:rPr>
                <w:rFonts w:eastAsia="Times New Roman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1255FE" w:rsidRDefault="000E5185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sz w:val="20"/>
                <w:szCs w:val="20"/>
              </w:rPr>
              <w:t>0 – 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85" w:rsidRPr="001255FE" w:rsidRDefault="000E5185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7978E0" w:rsidRPr="001255FE" w:rsidTr="00B00D92">
        <w:trPr>
          <w:trHeight w:val="298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7978E0" w:rsidP="00B00D92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1255FE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E0" w:rsidRPr="001255FE" w:rsidRDefault="007978E0" w:rsidP="00B00D92">
            <w:pPr>
              <w:widowControl w:val="0"/>
              <w:spacing w:after="6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255FE">
              <w:rPr>
                <w:rFonts w:cs="Arial"/>
                <w:color w:val="000000"/>
                <w:sz w:val="20"/>
                <w:szCs w:val="20"/>
              </w:rPr>
              <w:t>(total of maximum score times weighting)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7978E0" w:rsidP="00B00D92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0" w:rsidRPr="001255FE" w:rsidRDefault="00022B61" w:rsidP="00022B61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</w:t>
            </w:r>
          </w:p>
        </w:tc>
      </w:tr>
    </w:tbl>
    <w:p w:rsidR="00022B61" w:rsidRDefault="00022B61" w:rsidP="000E5185">
      <w:pPr>
        <w:widowControl w:val="0"/>
        <w:jc w:val="both"/>
        <w:rPr>
          <w:rFonts w:cs="Arial"/>
          <w:sz w:val="20"/>
          <w:szCs w:val="20"/>
        </w:rPr>
      </w:pPr>
    </w:p>
    <w:p w:rsidR="007978E0" w:rsidRPr="00D20C3D" w:rsidRDefault="007978E0" w:rsidP="000E5185">
      <w:pPr>
        <w:widowControl w:val="0"/>
        <w:jc w:val="both"/>
        <w:rPr>
          <w:rFonts w:cs="Arial"/>
          <w:sz w:val="20"/>
          <w:szCs w:val="20"/>
        </w:rPr>
      </w:pPr>
      <w:r w:rsidRPr="00D20C3D">
        <w:rPr>
          <w:rFonts w:cs="Arial"/>
          <w:sz w:val="20"/>
          <w:szCs w:val="20"/>
        </w:rPr>
        <w:t>The following scoring guide will be used to evaluate against each criteria:-</w:t>
      </w:r>
    </w:p>
    <w:p w:rsidR="007978E0" w:rsidRPr="00D20C3D" w:rsidRDefault="007978E0" w:rsidP="00B55CFE">
      <w:pPr>
        <w:widowControl w:val="0"/>
        <w:jc w:val="both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9547"/>
      </w:tblGrid>
      <w:tr w:rsidR="007978E0" w:rsidRPr="00D20C3D" w:rsidTr="00B00D92"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20C3D">
              <w:rPr>
                <w:rFonts w:cs="Arial"/>
                <w:b/>
                <w:sz w:val="20"/>
                <w:szCs w:val="20"/>
              </w:rPr>
              <w:t>Score</w:t>
            </w:r>
          </w:p>
        </w:tc>
        <w:tc>
          <w:tcPr>
            <w:tcW w:w="4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78E0" w:rsidRPr="00D20C3D" w:rsidRDefault="007978E0" w:rsidP="00B55CFE">
            <w:pPr>
              <w:rPr>
                <w:rFonts w:cs="Arial"/>
                <w:b/>
                <w:sz w:val="20"/>
                <w:szCs w:val="20"/>
              </w:rPr>
            </w:pPr>
            <w:r w:rsidRPr="00D20C3D">
              <w:rPr>
                <w:rFonts w:cs="Arial"/>
                <w:b/>
                <w:sz w:val="20"/>
                <w:szCs w:val="20"/>
              </w:rPr>
              <w:t>Definition</w:t>
            </w:r>
          </w:p>
        </w:tc>
      </w:tr>
      <w:tr w:rsidR="007978E0" w:rsidRPr="00D20C3D" w:rsidTr="00B00D92"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jc w:val="center"/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49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Exceeds the Authority’s requirement</w:t>
            </w:r>
          </w:p>
        </w:tc>
      </w:tr>
      <w:tr w:rsidR="007978E0" w:rsidRPr="00D20C3D" w:rsidTr="00B00D92"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jc w:val="center"/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Fully meets the Authority’s requirement</w:t>
            </w:r>
          </w:p>
        </w:tc>
      </w:tr>
      <w:tr w:rsidR="007978E0" w:rsidRPr="00D20C3D" w:rsidTr="00B00D92"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jc w:val="center"/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Adequately meets the Authority’s requirement</w:t>
            </w:r>
          </w:p>
        </w:tc>
      </w:tr>
      <w:tr w:rsidR="007978E0" w:rsidRPr="00D20C3D" w:rsidTr="00B00D92"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jc w:val="center"/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Falls short of the Authority’s requirements in a minor respect</w:t>
            </w:r>
          </w:p>
        </w:tc>
      </w:tr>
      <w:tr w:rsidR="007978E0" w:rsidRPr="00D20C3D" w:rsidTr="00B00D92"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jc w:val="center"/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Falls short of the Authority’s requirements in a major respect, or tenderer did not adequately explain his response or did not provide adequate evidence of claimed capability</w:t>
            </w:r>
          </w:p>
        </w:tc>
      </w:tr>
      <w:tr w:rsidR="007978E0" w:rsidRPr="00D20C3D" w:rsidTr="00B00D92"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jc w:val="center"/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4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978E0" w:rsidRPr="00D20C3D" w:rsidRDefault="007978E0" w:rsidP="00B55CFE">
            <w:pPr>
              <w:rPr>
                <w:rFonts w:cs="Arial"/>
                <w:sz w:val="20"/>
                <w:szCs w:val="20"/>
              </w:rPr>
            </w:pPr>
            <w:r w:rsidRPr="00D20C3D">
              <w:rPr>
                <w:rFonts w:cs="Arial"/>
                <w:sz w:val="20"/>
                <w:szCs w:val="20"/>
              </w:rPr>
              <w:t>Tenderer did not respond to the question or tenderer’s response indicated that his capabilities wholly failed to meet the Authority’s requirements</w:t>
            </w:r>
          </w:p>
        </w:tc>
      </w:tr>
    </w:tbl>
    <w:p w:rsidR="007978E0" w:rsidRPr="00D20C3D" w:rsidRDefault="007978E0" w:rsidP="00B55CFE">
      <w:pPr>
        <w:widowControl w:val="0"/>
        <w:jc w:val="both"/>
        <w:rPr>
          <w:rFonts w:cs="Arial"/>
        </w:rPr>
      </w:pPr>
    </w:p>
    <w:p w:rsidR="007978E0" w:rsidRPr="00D20C3D" w:rsidRDefault="007978E0" w:rsidP="007978E0">
      <w:pPr>
        <w:autoSpaceDE w:val="0"/>
        <w:autoSpaceDN w:val="0"/>
        <w:adjustRightInd w:val="0"/>
        <w:spacing w:after="60"/>
        <w:jc w:val="both"/>
        <w:rPr>
          <w:rFonts w:eastAsia="Times New Roman" w:cs="Arial"/>
          <w:sz w:val="20"/>
          <w:szCs w:val="20"/>
          <w:lang w:eastAsia="en-GB"/>
        </w:rPr>
      </w:pPr>
      <w:r w:rsidRPr="00D20C3D">
        <w:rPr>
          <w:rFonts w:eastAsia="Times New Roman" w:cs="Arial"/>
          <w:sz w:val="20"/>
          <w:szCs w:val="20"/>
          <w:lang w:eastAsia="en-GB"/>
        </w:rPr>
        <w:t>The highest scoring, technically compliant, bid shall be awarded the maximum percentage points (</w:t>
      </w:r>
      <w:r w:rsidR="00D42FB9">
        <w:rPr>
          <w:rFonts w:eastAsia="Times New Roman" w:cs="Arial"/>
          <w:sz w:val="20"/>
          <w:szCs w:val="20"/>
          <w:lang w:eastAsia="en-GB"/>
        </w:rPr>
        <w:t>6</w:t>
      </w:r>
      <w:r>
        <w:rPr>
          <w:rFonts w:eastAsia="Times New Roman" w:cs="Arial"/>
          <w:sz w:val="20"/>
          <w:szCs w:val="20"/>
          <w:lang w:eastAsia="en-GB"/>
        </w:rPr>
        <w:t>5</w:t>
      </w:r>
      <w:r w:rsidRPr="00D20C3D">
        <w:rPr>
          <w:rFonts w:eastAsia="Times New Roman" w:cs="Arial"/>
          <w:sz w:val="20"/>
          <w:szCs w:val="20"/>
          <w:lang w:eastAsia="en-GB"/>
        </w:rPr>
        <w:t>); the remaining submitted prices shall be awarded points based on deviation from the maximum score i.e. Tenderers Score/Highest Technical Score x Available Points.  Two worked (simplified) examples are shown below:</w:t>
      </w:r>
    </w:p>
    <w:p w:rsidR="007978E0" w:rsidRPr="006E4816" w:rsidRDefault="007978E0" w:rsidP="007978E0">
      <w:pPr>
        <w:rPr>
          <w:rFonts w:eastAsia="Times New Roman" w:cs="Arial"/>
          <w:sz w:val="20"/>
          <w:szCs w:val="20"/>
          <w:lang w:eastAsia="en-US"/>
        </w:rPr>
      </w:pPr>
    </w:p>
    <w:p w:rsidR="007978E0" w:rsidRPr="00D20C3D" w:rsidRDefault="007978E0" w:rsidP="007978E0">
      <w:pPr>
        <w:autoSpaceDE w:val="0"/>
        <w:autoSpaceDN w:val="0"/>
        <w:adjustRightInd w:val="0"/>
        <w:spacing w:after="60"/>
        <w:jc w:val="both"/>
        <w:rPr>
          <w:rFonts w:eastAsia="Times New Roman" w:cs="Arial"/>
          <w:sz w:val="20"/>
          <w:szCs w:val="20"/>
          <w:lang w:eastAsia="en-GB"/>
        </w:rPr>
      </w:pPr>
      <w:r w:rsidRPr="00D20C3D">
        <w:rPr>
          <w:rFonts w:eastAsia="Times New Roman" w:cs="Arial"/>
          <w:sz w:val="20"/>
          <w:szCs w:val="20"/>
          <w:lang w:eastAsia="en-GB"/>
        </w:rPr>
        <w:t>Example 1 – The winning bidders scores full marks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2865"/>
        <w:gridCol w:w="2906"/>
        <w:gridCol w:w="2872"/>
      </w:tblGrid>
      <w:tr w:rsidR="007978E0" w:rsidRPr="00D20C3D" w:rsidTr="00B00D92">
        <w:tc>
          <w:tcPr>
            <w:tcW w:w="72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  <w:szCs w:val="20"/>
              </w:rPr>
              <w:t>Tenderer</w:t>
            </w:r>
          </w:p>
        </w:tc>
        <w:tc>
          <w:tcPr>
            <w:tcW w:w="141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  <w:szCs w:val="20"/>
              </w:rPr>
              <w:t>Score  (Note: figures quoted are for example purposes only)</w:t>
            </w:r>
          </w:p>
        </w:tc>
        <w:tc>
          <w:tcPr>
            <w:tcW w:w="143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  <w:szCs w:val="20"/>
              </w:rPr>
              <w:t>Calculation</w:t>
            </w:r>
          </w:p>
        </w:tc>
        <w:tc>
          <w:tcPr>
            <w:tcW w:w="142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  <w:szCs w:val="20"/>
              </w:rPr>
              <w:t>Score Awarded</w:t>
            </w:r>
          </w:p>
        </w:tc>
      </w:tr>
      <w:tr w:rsidR="007978E0" w:rsidRPr="00D20C3D" w:rsidTr="00B00D92"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D20C3D" w:rsidRDefault="007978E0" w:rsidP="00022B61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7</w:t>
            </w:r>
            <w:r w:rsidR="00022B61">
              <w:rPr>
                <w:rFonts w:eastAsiaTheme="minorHAnsi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D43ED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="00022B61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/7</w:t>
            </w:r>
            <w:r w:rsidR="00022B61">
              <w:rPr>
                <w:rFonts w:cs="Arial"/>
                <w:sz w:val="20"/>
                <w:szCs w:val="20"/>
              </w:rPr>
              <w:t>0</w:t>
            </w:r>
            <w:r w:rsidRPr="00D20C3D">
              <w:rPr>
                <w:rFonts w:cs="Arial"/>
                <w:sz w:val="20"/>
                <w:szCs w:val="20"/>
              </w:rPr>
              <w:t xml:space="preserve"> x </w:t>
            </w:r>
            <w:r w:rsidR="00D43ED0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9A12D9" w:rsidRDefault="00D42FB9" w:rsidP="00D912F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D912F0">
              <w:rPr>
                <w:rFonts w:cs="Arial"/>
                <w:sz w:val="20"/>
                <w:szCs w:val="20"/>
              </w:rPr>
              <w:t>5</w:t>
            </w:r>
          </w:p>
        </w:tc>
      </w:tr>
      <w:tr w:rsidR="007978E0" w:rsidRPr="00D20C3D" w:rsidTr="00B00D92"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D20C3D" w:rsidRDefault="00022B61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022B61" w:rsidP="00D912F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7978E0">
              <w:rPr>
                <w:rFonts w:cs="Arial"/>
                <w:sz w:val="20"/>
                <w:szCs w:val="20"/>
              </w:rPr>
              <w:t>0/7</w:t>
            </w:r>
            <w:r>
              <w:rPr>
                <w:rFonts w:cs="Arial"/>
                <w:sz w:val="20"/>
                <w:szCs w:val="20"/>
              </w:rPr>
              <w:t>0</w:t>
            </w:r>
            <w:r w:rsidR="007978E0" w:rsidRPr="00D20C3D">
              <w:rPr>
                <w:rFonts w:cs="Arial"/>
                <w:sz w:val="20"/>
                <w:szCs w:val="20"/>
              </w:rPr>
              <w:t xml:space="preserve"> x </w:t>
            </w:r>
            <w:r w:rsidR="00D43ED0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FB9" w:rsidRPr="009A12D9" w:rsidRDefault="00D42FB9" w:rsidP="00D42FB9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55.7</w:t>
            </w:r>
          </w:p>
        </w:tc>
      </w:tr>
      <w:tr w:rsidR="007978E0" w:rsidRPr="00D20C3D" w:rsidTr="00B00D92"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D912F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50/7</w:t>
            </w:r>
            <w:r w:rsidR="00022B61">
              <w:rPr>
                <w:rFonts w:cs="Arial"/>
                <w:sz w:val="20"/>
                <w:szCs w:val="20"/>
              </w:rPr>
              <w:t>0</w:t>
            </w:r>
            <w:r w:rsidRPr="00D20C3D">
              <w:rPr>
                <w:rFonts w:cs="Arial"/>
                <w:sz w:val="20"/>
                <w:szCs w:val="20"/>
              </w:rPr>
              <w:t xml:space="preserve"> x </w:t>
            </w:r>
            <w:r w:rsidR="00D43ED0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9A12D9" w:rsidRDefault="00D42FB9" w:rsidP="00D912F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46.4</w:t>
            </w:r>
          </w:p>
        </w:tc>
      </w:tr>
    </w:tbl>
    <w:p w:rsidR="007978E0" w:rsidRDefault="007978E0" w:rsidP="007978E0">
      <w:pPr>
        <w:widowControl w:val="0"/>
        <w:jc w:val="both"/>
        <w:rPr>
          <w:rFonts w:cs="Arial"/>
          <w:sz w:val="20"/>
          <w:szCs w:val="20"/>
        </w:rPr>
      </w:pPr>
    </w:p>
    <w:p w:rsidR="007978E0" w:rsidRPr="00D20C3D" w:rsidRDefault="007978E0" w:rsidP="007978E0">
      <w:pPr>
        <w:widowControl w:val="0"/>
        <w:jc w:val="both"/>
        <w:rPr>
          <w:rFonts w:cs="Arial"/>
          <w:sz w:val="20"/>
          <w:szCs w:val="20"/>
        </w:rPr>
      </w:pPr>
      <w:r w:rsidRPr="00D20C3D">
        <w:rPr>
          <w:rFonts w:cs="Arial"/>
          <w:sz w:val="20"/>
          <w:szCs w:val="20"/>
        </w:rPr>
        <w:t xml:space="preserve">Example 2 – The winning bidder scores </w:t>
      </w:r>
      <w:r>
        <w:rPr>
          <w:rFonts w:cs="Arial"/>
          <w:sz w:val="20"/>
          <w:szCs w:val="20"/>
        </w:rPr>
        <w:t>6</w:t>
      </w:r>
      <w:r w:rsidRPr="00D20C3D">
        <w:rPr>
          <w:rFonts w:cs="Arial"/>
          <w:sz w:val="20"/>
          <w:szCs w:val="20"/>
        </w:rPr>
        <w:t>0 marks</w:t>
      </w:r>
    </w:p>
    <w:p w:rsidR="007978E0" w:rsidRPr="00D20C3D" w:rsidRDefault="007978E0" w:rsidP="007978E0">
      <w:pPr>
        <w:widowControl w:val="0"/>
        <w:ind w:left="426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2865"/>
        <w:gridCol w:w="2906"/>
        <w:gridCol w:w="2872"/>
      </w:tblGrid>
      <w:tr w:rsidR="007978E0" w:rsidRPr="00D20C3D" w:rsidTr="00B00D92">
        <w:tc>
          <w:tcPr>
            <w:tcW w:w="72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  <w:szCs w:val="20"/>
              </w:rPr>
              <w:t>Tenderer</w:t>
            </w:r>
          </w:p>
        </w:tc>
        <w:tc>
          <w:tcPr>
            <w:tcW w:w="141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  <w:szCs w:val="20"/>
              </w:rPr>
              <w:t>Score  (Note: figures quoted are for example purposes only)</w:t>
            </w:r>
          </w:p>
        </w:tc>
        <w:tc>
          <w:tcPr>
            <w:tcW w:w="143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  <w:szCs w:val="20"/>
              </w:rPr>
              <w:t>Calculation</w:t>
            </w:r>
          </w:p>
        </w:tc>
        <w:tc>
          <w:tcPr>
            <w:tcW w:w="142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  <w:szCs w:val="20"/>
              </w:rPr>
              <w:t>Score Awarded</w:t>
            </w:r>
          </w:p>
        </w:tc>
      </w:tr>
      <w:tr w:rsidR="007978E0" w:rsidRPr="00D20C3D" w:rsidTr="00B00D92"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D912F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60/6</w:t>
            </w:r>
            <w:r w:rsidRPr="00D20C3D">
              <w:rPr>
                <w:rFonts w:cs="Arial"/>
                <w:sz w:val="20"/>
                <w:szCs w:val="20"/>
              </w:rPr>
              <w:t xml:space="preserve">0 x </w:t>
            </w:r>
            <w:r w:rsidR="00D43ED0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D20C3D" w:rsidRDefault="00D42FB9" w:rsidP="00D912F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65</w:t>
            </w:r>
          </w:p>
        </w:tc>
      </w:tr>
      <w:tr w:rsidR="007978E0" w:rsidRPr="00D20C3D" w:rsidTr="00B00D92"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D912F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50/6</w:t>
            </w:r>
            <w:r w:rsidRPr="00D20C3D">
              <w:rPr>
                <w:rFonts w:cs="Arial"/>
                <w:sz w:val="20"/>
                <w:szCs w:val="20"/>
              </w:rPr>
              <w:t xml:space="preserve">0 x </w:t>
            </w:r>
            <w:r w:rsidR="00D43ED0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D20C3D" w:rsidRDefault="00D42FB9" w:rsidP="00D912F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54.2</w:t>
            </w:r>
          </w:p>
        </w:tc>
      </w:tr>
      <w:tr w:rsidR="007978E0" w:rsidRPr="00D20C3D" w:rsidTr="00B00D92"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D20C3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D912F0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30/6</w:t>
            </w:r>
            <w:r w:rsidRPr="00D20C3D">
              <w:rPr>
                <w:rFonts w:cs="Arial"/>
                <w:sz w:val="20"/>
                <w:szCs w:val="20"/>
              </w:rPr>
              <w:t xml:space="preserve">0 x </w:t>
            </w:r>
            <w:r w:rsidR="00D43ED0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8E0" w:rsidRPr="00D20C3D" w:rsidRDefault="00D42FB9" w:rsidP="00B55CFE">
            <w:pPr>
              <w:jc w:val="center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32.5</w:t>
            </w:r>
          </w:p>
        </w:tc>
      </w:tr>
    </w:tbl>
    <w:p w:rsidR="000E5185" w:rsidRDefault="000E5185" w:rsidP="007978E0">
      <w:pPr>
        <w:widowControl w:val="0"/>
        <w:ind w:left="426"/>
        <w:jc w:val="both"/>
        <w:rPr>
          <w:rFonts w:cs="Arial"/>
          <w:sz w:val="20"/>
          <w:szCs w:val="20"/>
        </w:rPr>
      </w:pPr>
    </w:p>
    <w:p w:rsidR="007978E0" w:rsidRPr="00D20C3D" w:rsidRDefault="007978E0" w:rsidP="00022B61">
      <w:pPr>
        <w:widowControl w:val="0"/>
        <w:jc w:val="both"/>
        <w:rPr>
          <w:rFonts w:cs="Arial"/>
          <w:sz w:val="20"/>
          <w:szCs w:val="20"/>
        </w:rPr>
      </w:pPr>
      <w:r w:rsidRPr="00D20C3D">
        <w:rPr>
          <w:rFonts w:cs="Arial"/>
          <w:sz w:val="20"/>
          <w:szCs w:val="20"/>
        </w:rPr>
        <w:t xml:space="preserve">Points will be awarded for each criterion as shown in the above tables.  </w:t>
      </w:r>
    </w:p>
    <w:p w:rsidR="007978E0" w:rsidRDefault="007978E0" w:rsidP="007978E0">
      <w:pPr>
        <w:rPr>
          <w:rFonts w:eastAsia="Times New Roman" w:cs="Arial"/>
          <w:sz w:val="20"/>
          <w:szCs w:val="20"/>
          <w:lang w:eastAsia="en-US"/>
        </w:rPr>
      </w:pPr>
    </w:p>
    <w:p w:rsidR="007978E0" w:rsidRPr="00D20C3D" w:rsidRDefault="007978E0" w:rsidP="007978E0">
      <w:pPr>
        <w:rPr>
          <w:rFonts w:eastAsia="Times New Roman" w:cs="Arial"/>
          <w:b/>
          <w:sz w:val="20"/>
          <w:szCs w:val="20"/>
          <w:u w:val="single"/>
          <w:lang w:eastAsia="en-US"/>
        </w:rPr>
      </w:pPr>
      <w:r w:rsidRPr="00D20C3D">
        <w:rPr>
          <w:rFonts w:eastAsia="Times New Roman" w:cs="Arial"/>
          <w:b/>
          <w:sz w:val="20"/>
          <w:szCs w:val="20"/>
          <w:u w:val="single"/>
          <w:lang w:eastAsia="en-US"/>
        </w:rPr>
        <w:t>Pricing Evaluation</w:t>
      </w:r>
    </w:p>
    <w:p w:rsidR="007978E0" w:rsidRPr="006E4816" w:rsidRDefault="007978E0" w:rsidP="007978E0">
      <w:pPr>
        <w:rPr>
          <w:rFonts w:eastAsia="Times New Roman" w:cs="Arial"/>
          <w:sz w:val="20"/>
          <w:szCs w:val="20"/>
          <w:lang w:eastAsia="en-US"/>
        </w:rPr>
      </w:pPr>
    </w:p>
    <w:p w:rsidR="007978E0" w:rsidRPr="00D20C3D" w:rsidRDefault="007978E0" w:rsidP="007978E0">
      <w:pPr>
        <w:autoSpaceDE w:val="0"/>
        <w:autoSpaceDN w:val="0"/>
        <w:adjustRightInd w:val="0"/>
        <w:spacing w:after="60"/>
        <w:jc w:val="both"/>
        <w:rPr>
          <w:rFonts w:eastAsia="Times New Roman" w:cs="Arial"/>
          <w:sz w:val="20"/>
          <w:szCs w:val="20"/>
          <w:lang w:eastAsia="en-GB"/>
        </w:rPr>
      </w:pPr>
      <w:r w:rsidRPr="00D20C3D">
        <w:rPr>
          <w:rFonts w:eastAsia="Times New Roman" w:cs="Arial"/>
          <w:sz w:val="20"/>
          <w:szCs w:val="20"/>
          <w:lang w:eastAsia="en-GB"/>
        </w:rPr>
        <w:t>The lowest tendered, technically compliant, bid shall be awarded the maximum percentage points (</w:t>
      </w:r>
      <w:r w:rsidR="00D42FB9">
        <w:rPr>
          <w:rFonts w:eastAsia="Times New Roman" w:cs="Arial"/>
          <w:sz w:val="20"/>
          <w:szCs w:val="20"/>
          <w:lang w:eastAsia="en-GB"/>
        </w:rPr>
        <w:t>3</w:t>
      </w:r>
      <w:r>
        <w:rPr>
          <w:rFonts w:eastAsia="Times New Roman" w:cs="Arial"/>
          <w:sz w:val="20"/>
          <w:szCs w:val="20"/>
          <w:lang w:eastAsia="en-GB"/>
        </w:rPr>
        <w:t>5</w:t>
      </w:r>
      <w:r w:rsidRPr="00D20C3D">
        <w:rPr>
          <w:rFonts w:eastAsia="Times New Roman" w:cs="Arial"/>
          <w:sz w:val="20"/>
          <w:szCs w:val="20"/>
          <w:lang w:eastAsia="en-GB"/>
        </w:rPr>
        <w:t>); the remaining submitted prices shall be awarded points on a pro-rata basis i.e. Lowest Price/Tendered Price x Available Points.  A worked (simplified) example is shown below:</w:t>
      </w:r>
    </w:p>
    <w:p w:rsidR="007978E0" w:rsidRPr="00D20C3D" w:rsidRDefault="007978E0" w:rsidP="007978E0">
      <w:pPr>
        <w:autoSpaceDE w:val="0"/>
        <w:autoSpaceDN w:val="0"/>
        <w:adjustRightInd w:val="0"/>
        <w:spacing w:after="60"/>
        <w:jc w:val="both"/>
        <w:rPr>
          <w:rFonts w:eastAsia="Times New Roman" w:cs="Arial"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2865"/>
        <w:gridCol w:w="2906"/>
        <w:gridCol w:w="2872"/>
      </w:tblGrid>
      <w:tr w:rsidR="007978E0" w:rsidRPr="00D20C3D" w:rsidTr="00B00D92">
        <w:tc>
          <w:tcPr>
            <w:tcW w:w="72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</w:rPr>
              <w:t>Tenderer</w:t>
            </w:r>
          </w:p>
        </w:tc>
        <w:tc>
          <w:tcPr>
            <w:tcW w:w="141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</w:rPr>
              <w:t>Price Tendered (Note: figures quoted are for example purposes only)</w:t>
            </w:r>
          </w:p>
        </w:tc>
        <w:tc>
          <w:tcPr>
            <w:tcW w:w="143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</w:rPr>
              <w:t>Calculation</w:t>
            </w:r>
          </w:p>
        </w:tc>
        <w:tc>
          <w:tcPr>
            <w:tcW w:w="142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b/>
                <w:bCs/>
                <w:sz w:val="20"/>
                <w:lang w:eastAsia="en-US"/>
              </w:rPr>
            </w:pPr>
            <w:r w:rsidRPr="00D20C3D">
              <w:rPr>
                <w:rFonts w:cs="Arial"/>
                <w:b/>
                <w:bCs/>
                <w:sz w:val="20"/>
              </w:rPr>
              <w:t>Score Awarded</w:t>
            </w:r>
          </w:p>
        </w:tc>
      </w:tr>
      <w:tr w:rsidR="007978E0" w:rsidRPr="00D20C3D" w:rsidTr="00B00D92"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 w:rsidRPr="00D20C3D">
              <w:rPr>
                <w:rFonts w:cs="Arial"/>
                <w:sz w:val="20"/>
              </w:rPr>
              <w:t>1</w:t>
            </w:r>
          </w:p>
        </w:tc>
        <w:tc>
          <w:tcPr>
            <w:tcW w:w="1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 w:rsidRPr="00D20C3D">
              <w:rPr>
                <w:rFonts w:cs="Arial"/>
                <w:sz w:val="20"/>
              </w:rPr>
              <w:t>£1,000</w:t>
            </w:r>
          </w:p>
        </w:tc>
        <w:tc>
          <w:tcPr>
            <w:tcW w:w="1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D43ED0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>
              <w:rPr>
                <w:rFonts w:cs="Arial"/>
                <w:sz w:val="20"/>
              </w:rPr>
              <w:t>1000/1000 x 3</w:t>
            </w:r>
            <w:r w:rsidR="007978E0">
              <w:rPr>
                <w:rFonts w:cs="Arial"/>
                <w:sz w:val="20"/>
              </w:rPr>
              <w:t>5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5F6AE7" w:rsidRDefault="00D42FB9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>
              <w:rPr>
                <w:rFonts w:cs="Arial"/>
                <w:sz w:val="20"/>
              </w:rPr>
              <w:t>3</w:t>
            </w:r>
            <w:r w:rsidR="007978E0">
              <w:rPr>
                <w:rFonts w:cs="Arial"/>
                <w:sz w:val="20"/>
              </w:rPr>
              <w:t>5</w:t>
            </w:r>
          </w:p>
        </w:tc>
      </w:tr>
      <w:tr w:rsidR="007978E0" w:rsidRPr="00D20C3D" w:rsidTr="00B00D92"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 w:rsidRPr="00D20C3D">
              <w:rPr>
                <w:rFonts w:cs="Arial"/>
                <w:sz w:val="20"/>
              </w:rPr>
              <w:t>2</w:t>
            </w:r>
          </w:p>
        </w:tc>
        <w:tc>
          <w:tcPr>
            <w:tcW w:w="1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 w:rsidRPr="00D20C3D">
              <w:rPr>
                <w:rFonts w:cs="Arial"/>
                <w:sz w:val="20"/>
              </w:rPr>
              <w:t>£2,000</w:t>
            </w:r>
          </w:p>
        </w:tc>
        <w:tc>
          <w:tcPr>
            <w:tcW w:w="1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 w:rsidRPr="00D20C3D">
              <w:rPr>
                <w:rFonts w:cs="Arial"/>
                <w:sz w:val="20"/>
              </w:rPr>
              <w:t xml:space="preserve">1000/2000 x </w:t>
            </w:r>
            <w:r w:rsidR="00D43ED0">
              <w:rPr>
                <w:rFonts w:cs="Arial"/>
                <w:sz w:val="20"/>
              </w:rPr>
              <w:t>35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5F6AE7" w:rsidRDefault="007978E0" w:rsidP="00D42FB9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>
              <w:rPr>
                <w:rFonts w:eastAsiaTheme="minorHAnsi" w:cs="Arial"/>
                <w:sz w:val="20"/>
                <w:lang w:eastAsia="en-US"/>
              </w:rPr>
              <w:t>1</w:t>
            </w:r>
            <w:r w:rsidR="00D42FB9">
              <w:rPr>
                <w:rFonts w:eastAsiaTheme="minorHAnsi" w:cs="Arial"/>
                <w:sz w:val="20"/>
                <w:lang w:eastAsia="en-US"/>
              </w:rPr>
              <w:t>7</w:t>
            </w:r>
            <w:r>
              <w:rPr>
                <w:rFonts w:eastAsiaTheme="minorHAnsi" w:cs="Arial"/>
                <w:sz w:val="20"/>
                <w:lang w:eastAsia="en-US"/>
              </w:rPr>
              <w:t>.5</w:t>
            </w:r>
          </w:p>
        </w:tc>
      </w:tr>
      <w:tr w:rsidR="007978E0" w:rsidRPr="00D20C3D" w:rsidTr="00B00D92"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 w:rsidRPr="00D20C3D">
              <w:rPr>
                <w:rFonts w:cs="Arial"/>
                <w:sz w:val="20"/>
              </w:rPr>
              <w:t>3</w:t>
            </w:r>
          </w:p>
        </w:tc>
        <w:tc>
          <w:tcPr>
            <w:tcW w:w="14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 w:rsidRPr="00D20C3D">
              <w:rPr>
                <w:rFonts w:cs="Arial"/>
                <w:sz w:val="20"/>
              </w:rPr>
              <w:t>£5,000</w:t>
            </w:r>
          </w:p>
        </w:tc>
        <w:tc>
          <w:tcPr>
            <w:tcW w:w="1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E0" w:rsidRPr="00D20C3D" w:rsidRDefault="007978E0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 w:rsidRPr="00D20C3D">
              <w:rPr>
                <w:rFonts w:cs="Arial"/>
                <w:sz w:val="20"/>
              </w:rPr>
              <w:t xml:space="preserve">1000/5000 x </w:t>
            </w:r>
            <w:r w:rsidR="00D43ED0">
              <w:rPr>
                <w:rFonts w:cs="Arial"/>
                <w:sz w:val="20"/>
              </w:rPr>
              <w:t>35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E0" w:rsidRPr="005F6AE7" w:rsidRDefault="00D42FB9" w:rsidP="00B55CFE">
            <w:pPr>
              <w:jc w:val="center"/>
              <w:rPr>
                <w:rFonts w:eastAsiaTheme="minorHAnsi" w:cs="Arial"/>
                <w:sz w:val="20"/>
                <w:lang w:eastAsia="en-US"/>
              </w:rPr>
            </w:pPr>
            <w:r>
              <w:rPr>
                <w:rFonts w:cs="Arial"/>
                <w:sz w:val="20"/>
              </w:rPr>
              <w:t>7</w:t>
            </w:r>
          </w:p>
        </w:tc>
      </w:tr>
    </w:tbl>
    <w:p w:rsidR="007978E0" w:rsidRPr="00D20C3D" w:rsidRDefault="007978E0" w:rsidP="007978E0">
      <w:pPr>
        <w:autoSpaceDE w:val="0"/>
        <w:autoSpaceDN w:val="0"/>
        <w:adjustRightInd w:val="0"/>
        <w:jc w:val="both"/>
        <w:rPr>
          <w:rFonts w:eastAsia="Times New Roman" w:cs="Arial"/>
          <w:sz w:val="20"/>
          <w:szCs w:val="20"/>
          <w:lang w:eastAsia="en-GB"/>
        </w:rPr>
      </w:pPr>
    </w:p>
    <w:sectPr w:rsidR="007978E0" w:rsidRPr="00D20C3D" w:rsidSect="00B55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9" w:right="1009" w:bottom="1009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92" w:rsidRDefault="00B00D92" w:rsidP="00B55CFE">
      <w:r>
        <w:separator/>
      </w:r>
    </w:p>
  </w:endnote>
  <w:endnote w:type="continuationSeparator" w:id="0">
    <w:p w:rsidR="00B00D92" w:rsidRDefault="00B00D92" w:rsidP="00B5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16" w:rsidRDefault="00E15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018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0D92" w:rsidRDefault="00B00D92" w:rsidP="00003E4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91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E15916">
          <w:rPr>
            <w:noProof/>
          </w:rPr>
          <w:t>2</w:t>
        </w:r>
        <w:r>
          <w:rPr>
            <w:noProof/>
          </w:rPr>
          <w:fldChar w:fldCharType="end"/>
        </w:r>
      </w:p>
      <w:p w:rsidR="00B00D92" w:rsidRDefault="00B00D92" w:rsidP="00003E4D">
        <w:pPr>
          <w:pStyle w:val="Footer"/>
          <w:tabs>
            <w:tab w:val="clear" w:pos="4513"/>
            <w:tab w:val="clear" w:pos="9026"/>
            <w:tab w:val="right" w:pos="9781"/>
          </w:tabs>
        </w:pPr>
        <w:r>
          <w:rPr>
            <w:noProof/>
          </w:rPr>
          <w:fldChar w:fldCharType="begin"/>
        </w:r>
        <w:r>
          <w:rPr>
            <w:noProof/>
          </w:rPr>
          <w:instrText xml:space="preserve"> DATE \@ "dd/MM/yyyy" </w:instrText>
        </w:r>
        <w:r>
          <w:rPr>
            <w:noProof/>
          </w:rPr>
          <w:fldChar w:fldCharType="separate"/>
        </w:r>
        <w:r w:rsidR="00E15916">
          <w:rPr>
            <w:noProof/>
          </w:rPr>
          <w:t>14/03/2017</w:t>
        </w:r>
        <w:r>
          <w:rPr>
            <w:noProof/>
          </w:rPr>
          <w:fldChar w:fldCharType="end"/>
        </w:r>
        <w:r>
          <w:rPr>
            <w:noProof/>
          </w:rPr>
          <w:tab/>
          <w:t>20170310-Reference_A-Evaluation_Criteria-O.docx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16" w:rsidRDefault="00E15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92" w:rsidRDefault="00B00D92" w:rsidP="00B55CFE">
      <w:r>
        <w:separator/>
      </w:r>
    </w:p>
  </w:footnote>
  <w:footnote w:type="continuationSeparator" w:id="0">
    <w:p w:rsidR="00B00D92" w:rsidRDefault="00B00D92" w:rsidP="00B55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16" w:rsidRDefault="00E159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92" w:rsidRDefault="00B00D92" w:rsidP="00003E4D">
    <w:pPr>
      <w:pStyle w:val="Header"/>
      <w:jc w:val="right"/>
    </w:pPr>
    <w:r>
      <w:t>Reference A: Evaluation Criteria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916" w:rsidRDefault="00E159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631E"/>
    <w:multiLevelType w:val="hybridMultilevel"/>
    <w:tmpl w:val="640C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E0"/>
    <w:rsid w:val="00003E4D"/>
    <w:rsid w:val="00022B61"/>
    <w:rsid w:val="000E5185"/>
    <w:rsid w:val="002442C4"/>
    <w:rsid w:val="002A5928"/>
    <w:rsid w:val="00361FCD"/>
    <w:rsid w:val="004C39E8"/>
    <w:rsid w:val="004F67C3"/>
    <w:rsid w:val="005303D4"/>
    <w:rsid w:val="005F5003"/>
    <w:rsid w:val="00621E3B"/>
    <w:rsid w:val="007053BC"/>
    <w:rsid w:val="007978E0"/>
    <w:rsid w:val="0085089A"/>
    <w:rsid w:val="00864354"/>
    <w:rsid w:val="008662F2"/>
    <w:rsid w:val="008A08E4"/>
    <w:rsid w:val="00947799"/>
    <w:rsid w:val="009A166E"/>
    <w:rsid w:val="009A596D"/>
    <w:rsid w:val="00A35DBC"/>
    <w:rsid w:val="00B00D92"/>
    <w:rsid w:val="00B2044B"/>
    <w:rsid w:val="00B55CFE"/>
    <w:rsid w:val="00BC7685"/>
    <w:rsid w:val="00C9576E"/>
    <w:rsid w:val="00D15B43"/>
    <w:rsid w:val="00D42FB9"/>
    <w:rsid w:val="00D43ED0"/>
    <w:rsid w:val="00D72085"/>
    <w:rsid w:val="00D912F0"/>
    <w:rsid w:val="00E15916"/>
    <w:rsid w:val="00E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E0"/>
    <w:pPr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1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CFE"/>
    <w:rPr>
      <w:rFonts w:ascii="Arial" w:eastAsia="MS Mincho" w:hAnsi="Arial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55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CFE"/>
    <w:rPr>
      <w:rFonts w:ascii="Arial" w:eastAsia="MS Mincho" w:hAnsi="Arial" w:cs="Times New Roman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FE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F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7C3"/>
    <w:rPr>
      <w:rFonts w:ascii="Arial" w:eastAsia="MS Mincho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7C3"/>
    <w:rPr>
      <w:rFonts w:ascii="Arial" w:eastAsia="MS Mincho" w:hAnsi="Arial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E0"/>
    <w:pPr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1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CFE"/>
    <w:rPr>
      <w:rFonts w:ascii="Arial" w:eastAsia="MS Mincho" w:hAnsi="Arial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55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CFE"/>
    <w:rPr>
      <w:rFonts w:ascii="Arial" w:eastAsia="MS Mincho" w:hAnsi="Arial" w:cs="Times New Roman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FE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F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7C3"/>
    <w:rPr>
      <w:rFonts w:ascii="Arial" w:eastAsia="MS Mincho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7C3"/>
    <w:rPr>
      <w:rFonts w:ascii="Arial" w:eastAsia="MS Mincho" w:hAnsi="Arial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2017-03-14T13:55:00Z</dcterms:created>
  <dcterms:modified xsi:type="dcterms:W3CDTF">2017-03-14T13:55:00Z</dcterms:modified>
</cp:coreProperties>
</file>