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500" w:rsidRPr="00D51FF4" w:rsidRDefault="008C4500" w:rsidP="008C4500">
      <w:pPr>
        <w:pStyle w:val="Part"/>
        <w:jc w:val="center"/>
        <w:rPr>
          <w:sz w:val="20"/>
          <w:szCs w:val="20"/>
          <w:u w:val="single"/>
        </w:rPr>
      </w:pPr>
      <w:bookmarkStart w:id="0" w:name="_GoBack"/>
      <w:bookmarkEnd w:id="0"/>
      <w:r w:rsidRPr="00D51FF4">
        <w:rPr>
          <w:sz w:val="20"/>
          <w:szCs w:val="20"/>
        </w:rPr>
        <w:t>SERVICE SPECIFICATIONS</w:t>
      </w:r>
    </w:p>
    <w:p w:rsidR="008C4500" w:rsidRPr="00D51FF4" w:rsidRDefault="008C4500" w:rsidP="008C4500">
      <w:pPr>
        <w:pStyle w:val="BodyText"/>
        <w:jc w:val="both"/>
        <w:rPr>
          <w:sz w:val="20"/>
          <w:szCs w:val="20"/>
        </w:rPr>
      </w:pPr>
    </w:p>
    <w:p w:rsidR="008C4500" w:rsidRPr="00D51FF4" w:rsidRDefault="008C4500" w:rsidP="008C4500">
      <w:pPr>
        <w:pStyle w:val="BodyText"/>
        <w:jc w:val="both"/>
        <w:rPr>
          <w:sz w:val="20"/>
          <w:szCs w:val="20"/>
        </w:rPr>
      </w:pPr>
      <w:r w:rsidRPr="00D51FF4">
        <w:rPr>
          <w:sz w:val="20"/>
          <w:szCs w:val="20"/>
          <w:shd w:val="clear" w:color="auto" w:fill="FF9900"/>
        </w:rPr>
        <w:t xml:space="preserve">Mandatory headings 1 – </w:t>
      </w:r>
      <w:r w:rsidR="00D51FF4" w:rsidRPr="00D51FF4">
        <w:rPr>
          <w:sz w:val="20"/>
          <w:szCs w:val="20"/>
          <w:shd w:val="clear" w:color="auto" w:fill="FF9900"/>
        </w:rPr>
        <w:t>4</w:t>
      </w:r>
      <w:r w:rsidRPr="00D51FF4">
        <w:rPr>
          <w:sz w:val="20"/>
          <w:szCs w:val="20"/>
          <w:shd w:val="clear" w:color="auto" w:fill="FF9900"/>
        </w:rPr>
        <w:t>.  Mandatory but detail for local determination and agreement.</w:t>
      </w:r>
    </w:p>
    <w:p w:rsidR="008C4500" w:rsidRPr="00D51FF4" w:rsidRDefault="008C4500" w:rsidP="008C4500">
      <w:pPr>
        <w:pStyle w:val="BodyText"/>
        <w:jc w:val="both"/>
        <w:rPr>
          <w:sz w:val="20"/>
          <w:szCs w:val="20"/>
          <w:shd w:val="clear" w:color="auto" w:fill="339966"/>
        </w:rPr>
      </w:pPr>
      <w:r w:rsidRPr="00D51FF4">
        <w:rPr>
          <w:sz w:val="20"/>
          <w:szCs w:val="20"/>
          <w:shd w:val="clear" w:color="auto" w:fill="339966"/>
        </w:rPr>
        <w:t xml:space="preserve">Optional heading </w:t>
      </w:r>
      <w:r w:rsidR="00D51FF4" w:rsidRPr="00D51FF4">
        <w:rPr>
          <w:sz w:val="20"/>
          <w:szCs w:val="20"/>
          <w:shd w:val="clear" w:color="auto" w:fill="339966"/>
        </w:rPr>
        <w:t>5-7</w:t>
      </w:r>
      <w:r w:rsidRPr="00D51FF4">
        <w:rPr>
          <w:sz w:val="20"/>
          <w:szCs w:val="20"/>
          <w:shd w:val="clear" w:color="auto" w:fill="339966"/>
        </w:rPr>
        <w:t>.  Optional to use, detail for local determination and agreement.</w:t>
      </w:r>
    </w:p>
    <w:p w:rsidR="008C4500" w:rsidRPr="00D51FF4" w:rsidRDefault="008C4500" w:rsidP="008C4500">
      <w:pPr>
        <w:pStyle w:val="BodyText"/>
        <w:jc w:val="both"/>
        <w:rPr>
          <w:sz w:val="20"/>
          <w:szCs w:val="20"/>
        </w:rPr>
      </w:pPr>
    </w:p>
    <w:p w:rsidR="008C4500" w:rsidRDefault="008C4500" w:rsidP="008C4500">
      <w:pPr>
        <w:pStyle w:val="BodyText"/>
        <w:shd w:val="clear" w:color="auto" w:fill="339966"/>
        <w:jc w:val="both"/>
        <w:rPr>
          <w:sz w:val="20"/>
          <w:szCs w:val="20"/>
        </w:rPr>
      </w:pPr>
      <w:r w:rsidRPr="00D51FF4">
        <w:rPr>
          <w:sz w:val="20"/>
          <w:szCs w:val="20"/>
        </w:rPr>
        <w:t>All subheadings for local determination and agreement.</w:t>
      </w:r>
    </w:p>
    <w:p w:rsidR="008C4500" w:rsidRDefault="008C4500" w:rsidP="008C4500">
      <w:pPr>
        <w:pStyle w:val="BodyText"/>
        <w:jc w:val="center"/>
        <w:rPr>
          <w:b/>
          <w:bCs/>
          <w:sz w:val="20"/>
          <w:szCs w:val="20"/>
        </w:rPr>
      </w:pPr>
    </w:p>
    <w:p w:rsidR="008C4500" w:rsidRDefault="008C4500" w:rsidP="008C4500">
      <w:pPr>
        <w:pStyle w:val="BodyText"/>
        <w:jc w:val="both"/>
        <w:rPr>
          <w:b/>
          <w:bCs/>
          <w:sz w:val="20"/>
          <w:szCs w:val="20"/>
        </w:rPr>
      </w:pPr>
    </w:p>
    <w:tbl>
      <w:tblPr>
        <w:tblW w:w="9182" w:type="dxa"/>
        <w:tblInd w:w="-7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98"/>
        <w:gridCol w:w="6084"/>
      </w:tblGrid>
      <w:tr w:rsidR="008C4500" w:rsidRPr="009E2A23" w:rsidTr="008C4500">
        <w:trPr>
          <w:trHeight w:val="345"/>
        </w:trPr>
        <w:tc>
          <w:tcPr>
            <w:tcW w:w="3098" w:type="dxa"/>
            <w:shd w:val="clear" w:color="auto" w:fill="595959"/>
            <w:vAlign w:val="center"/>
          </w:tcPr>
          <w:p w:rsidR="008C4500" w:rsidRPr="0048231D" w:rsidRDefault="008C4500" w:rsidP="00943F01">
            <w:pPr>
              <w:pStyle w:val="BodyText"/>
              <w:rPr>
                <w:color w:val="FF9900"/>
                <w:sz w:val="20"/>
                <w:szCs w:val="20"/>
              </w:rPr>
            </w:pPr>
            <w:r>
              <w:rPr>
                <w:color w:val="FF9900"/>
                <w:sz w:val="20"/>
                <w:szCs w:val="20"/>
              </w:rPr>
              <w:t xml:space="preserve">Service Specification No. </w:t>
            </w:r>
          </w:p>
        </w:tc>
        <w:tc>
          <w:tcPr>
            <w:tcW w:w="6084" w:type="dxa"/>
            <w:vAlign w:val="center"/>
          </w:tcPr>
          <w:p w:rsidR="008C4500" w:rsidRPr="009E2A23" w:rsidRDefault="008C4500" w:rsidP="00943F01">
            <w:pPr>
              <w:pStyle w:val="BodyText"/>
              <w:rPr>
                <w:b/>
                <w:bCs/>
                <w:sz w:val="20"/>
                <w:szCs w:val="20"/>
              </w:rPr>
            </w:pPr>
          </w:p>
        </w:tc>
      </w:tr>
      <w:tr w:rsidR="008C4500" w:rsidRPr="009E2A23" w:rsidTr="008C4500">
        <w:trPr>
          <w:trHeight w:val="345"/>
        </w:trPr>
        <w:tc>
          <w:tcPr>
            <w:tcW w:w="3098" w:type="dxa"/>
            <w:shd w:val="clear" w:color="auto" w:fill="595959"/>
            <w:vAlign w:val="center"/>
          </w:tcPr>
          <w:p w:rsidR="008C4500" w:rsidRPr="0048231D" w:rsidRDefault="008C4500" w:rsidP="00943F01">
            <w:pPr>
              <w:pStyle w:val="BodyText"/>
              <w:rPr>
                <w:color w:val="FF9900"/>
                <w:sz w:val="20"/>
                <w:szCs w:val="20"/>
              </w:rPr>
            </w:pPr>
            <w:r w:rsidRPr="0048231D">
              <w:rPr>
                <w:color w:val="FF9900"/>
                <w:sz w:val="20"/>
                <w:szCs w:val="20"/>
              </w:rPr>
              <w:t>Service</w:t>
            </w:r>
          </w:p>
        </w:tc>
        <w:tc>
          <w:tcPr>
            <w:tcW w:w="6084" w:type="dxa"/>
            <w:vAlign w:val="center"/>
          </w:tcPr>
          <w:p w:rsidR="008C4500" w:rsidRPr="009E2A23" w:rsidRDefault="00695915" w:rsidP="00943F01">
            <w:pPr>
              <w:pStyle w:val="BodyText"/>
              <w:rPr>
                <w:b/>
                <w:bCs/>
                <w:sz w:val="20"/>
                <w:szCs w:val="20"/>
              </w:rPr>
            </w:pPr>
            <w:r>
              <w:rPr>
                <w:b/>
                <w:bCs/>
                <w:sz w:val="20"/>
                <w:szCs w:val="20"/>
              </w:rPr>
              <w:t>DEXA</w:t>
            </w:r>
            <w:r w:rsidR="0027461E">
              <w:rPr>
                <w:b/>
                <w:bCs/>
                <w:sz w:val="20"/>
                <w:szCs w:val="20"/>
              </w:rPr>
              <w:t xml:space="preserve"> Sc</w:t>
            </w:r>
            <w:r w:rsidR="00BD21A4">
              <w:rPr>
                <w:b/>
                <w:bCs/>
                <w:sz w:val="20"/>
                <w:szCs w:val="20"/>
              </w:rPr>
              <w:t>a</w:t>
            </w:r>
            <w:r w:rsidR="0027461E">
              <w:rPr>
                <w:b/>
                <w:bCs/>
                <w:sz w:val="20"/>
                <w:szCs w:val="20"/>
              </w:rPr>
              <w:t>n</w:t>
            </w:r>
            <w:r w:rsidR="00BD21A4">
              <w:rPr>
                <w:b/>
                <w:bCs/>
                <w:sz w:val="20"/>
                <w:szCs w:val="20"/>
              </w:rPr>
              <w:t>ning</w:t>
            </w:r>
          </w:p>
        </w:tc>
      </w:tr>
      <w:tr w:rsidR="008C4500" w:rsidRPr="009E2A23" w:rsidTr="008C4500">
        <w:trPr>
          <w:trHeight w:val="345"/>
        </w:trPr>
        <w:tc>
          <w:tcPr>
            <w:tcW w:w="3098" w:type="dxa"/>
            <w:shd w:val="clear" w:color="auto" w:fill="595959"/>
            <w:vAlign w:val="center"/>
          </w:tcPr>
          <w:p w:rsidR="008C4500" w:rsidRPr="0048231D" w:rsidRDefault="008C4500" w:rsidP="00943F01">
            <w:pPr>
              <w:pStyle w:val="BodyText"/>
              <w:rPr>
                <w:color w:val="FF9900"/>
                <w:sz w:val="20"/>
                <w:szCs w:val="20"/>
              </w:rPr>
            </w:pPr>
            <w:r w:rsidRPr="0048231D">
              <w:rPr>
                <w:color w:val="FF9900"/>
                <w:sz w:val="20"/>
                <w:szCs w:val="20"/>
              </w:rPr>
              <w:t>Commissioner Lead</w:t>
            </w:r>
          </w:p>
        </w:tc>
        <w:tc>
          <w:tcPr>
            <w:tcW w:w="6084" w:type="dxa"/>
            <w:vAlign w:val="center"/>
          </w:tcPr>
          <w:p w:rsidR="008C4500" w:rsidRPr="009E2A23" w:rsidRDefault="00BD21A4" w:rsidP="00943F01">
            <w:pPr>
              <w:pStyle w:val="BodyText"/>
              <w:rPr>
                <w:b/>
                <w:bCs/>
                <w:sz w:val="20"/>
                <w:szCs w:val="20"/>
              </w:rPr>
            </w:pPr>
            <w:r>
              <w:rPr>
                <w:b/>
                <w:bCs/>
                <w:sz w:val="20"/>
                <w:szCs w:val="20"/>
              </w:rPr>
              <w:t>Scheduled Care – East Lancashire CCG</w:t>
            </w:r>
          </w:p>
        </w:tc>
      </w:tr>
      <w:tr w:rsidR="008C4500" w:rsidRPr="009E2A23" w:rsidTr="008C4500">
        <w:trPr>
          <w:trHeight w:val="345"/>
        </w:trPr>
        <w:tc>
          <w:tcPr>
            <w:tcW w:w="3098" w:type="dxa"/>
            <w:shd w:val="clear" w:color="auto" w:fill="595959"/>
            <w:vAlign w:val="center"/>
          </w:tcPr>
          <w:p w:rsidR="008C4500" w:rsidRPr="0048231D" w:rsidRDefault="008C4500" w:rsidP="00943F01">
            <w:pPr>
              <w:pStyle w:val="BodyText"/>
              <w:rPr>
                <w:color w:val="FF9900"/>
                <w:sz w:val="20"/>
                <w:szCs w:val="20"/>
              </w:rPr>
            </w:pPr>
            <w:r w:rsidRPr="0048231D">
              <w:rPr>
                <w:color w:val="FF9900"/>
                <w:sz w:val="20"/>
                <w:szCs w:val="20"/>
              </w:rPr>
              <w:t>Provider Lead</w:t>
            </w:r>
          </w:p>
        </w:tc>
        <w:tc>
          <w:tcPr>
            <w:tcW w:w="6084" w:type="dxa"/>
            <w:vAlign w:val="center"/>
          </w:tcPr>
          <w:p w:rsidR="008C4500" w:rsidRPr="009E2A23" w:rsidRDefault="008C4500" w:rsidP="00943F01">
            <w:pPr>
              <w:pStyle w:val="BodyText"/>
              <w:rPr>
                <w:b/>
                <w:bCs/>
                <w:sz w:val="20"/>
                <w:szCs w:val="20"/>
              </w:rPr>
            </w:pPr>
          </w:p>
        </w:tc>
      </w:tr>
      <w:tr w:rsidR="008C4500" w:rsidRPr="009E2A23" w:rsidTr="008C4500">
        <w:trPr>
          <w:trHeight w:val="345"/>
        </w:trPr>
        <w:tc>
          <w:tcPr>
            <w:tcW w:w="3098" w:type="dxa"/>
            <w:shd w:val="clear" w:color="auto" w:fill="595959"/>
            <w:vAlign w:val="center"/>
          </w:tcPr>
          <w:p w:rsidR="008C4500" w:rsidRPr="0048231D" w:rsidRDefault="008C4500" w:rsidP="00943F01">
            <w:pPr>
              <w:pStyle w:val="BodyText"/>
              <w:rPr>
                <w:color w:val="FF9900"/>
                <w:sz w:val="20"/>
                <w:szCs w:val="20"/>
              </w:rPr>
            </w:pPr>
            <w:r w:rsidRPr="0048231D">
              <w:rPr>
                <w:color w:val="FF9900"/>
                <w:sz w:val="20"/>
                <w:szCs w:val="20"/>
              </w:rPr>
              <w:t>Period</w:t>
            </w:r>
          </w:p>
        </w:tc>
        <w:tc>
          <w:tcPr>
            <w:tcW w:w="6084" w:type="dxa"/>
            <w:vAlign w:val="center"/>
          </w:tcPr>
          <w:p w:rsidR="008C4500" w:rsidRPr="009E2A23" w:rsidRDefault="00BD21A4" w:rsidP="00D444EB">
            <w:pPr>
              <w:pStyle w:val="BodyText"/>
              <w:rPr>
                <w:b/>
                <w:bCs/>
                <w:sz w:val="20"/>
                <w:szCs w:val="20"/>
              </w:rPr>
            </w:pPr>
            <w:r>
              <w:rPr>
                <w:b/>
                <w:bCs/>
                <w:sz w:val="20"/>
                <w:szCs w:val="20"/>
              </w:rPr>
              <w:t>3 years</w:t>
            </w:r>
            <w:r w:rsidR="00DB6AFD">
              <w:rPr>
                <w:b/>
                <w:bCs/>
                <w:sz w:val="20"/>
                <w:szCs w:val="20"/>
              </w:rPr>
              <w:t xml:space="preserve"> </w:t>
            </w:r>
            <w:r w:rsidR="00D444EB">
              <w:rPr>
                <w:b/>
                <w:bCs/>
                <w:sz w:val="20"/>
                <w:szCs w:val="20"/>
              </w:rPr>
              <w:t>with an option to extend for a further 2 years</w:t>
            </w:r>
          </w:p>
        </w:tc>
      </w:tr>
      <w:tr w:rsidR="008C4500" w:rsidRPr="009E2A23" w:rsidTr="008C4500">
        <w:trPr>
          <w:trHeight w:val="345"/>
        </w:trPr>
        <w:tc>
          <w:tcPr>
            <w:tcW w:w="3098" w:type="dxa"/>
            <w:shd w:val="clear" w:color="auto" w:fill="595959"/>
            <w:vAlign w:val="center"/>
          </w:tcPr>
          <w:p w:rsidR="008C4500" w:rsidRPr="0048231D" w:rsidRDefault="008C4500" w:rsidP="00943F01">
            <w:pPr>
              <w:pStyle w:val="BodyText"/>
              <w:rPr>
                <w:color w:val="FF9900"/>
                <w:sz w:val="20"/>
                <w:szCs w:val="20"/>
              </w:rPr>
            </w:pPr>
            <w:r w:rsidRPr="0048231D">
              <w:rPr>
                <w:color w:val="FF9900"/>
                <w:sz w:val="20"/>
                <w:szCs w:val="20"/>
              </w:rPr>
              <w:t>Date of Review</w:t>
            </w:r>
          </w:p>
        </w:tc>
        <w:tc>
          <w:tcPr>
            <w:tcW w:w="6084" w:type="dxa"/>
            <w:vAlign w:val="center"/>
          </w:tcPr>
          <w:p w:rsidR="008C4500" w:rsidRPr="009E2A23" w:rsidRDefault="008C4500" w:rsidP="00943F01">
            <w:pPr>
              <w:pStyle w:val="BodyText"/>
              <w:rPr>
                <w:b/>
                <w:bCs/>
                <w:sz w:val="20"/>
                <w:szCs w:val="20"/>
              </w:rPr>
            </w:pPr>
          </w:p>
        </w:tc>
      </w:tr>
    </w:tbl>
    <w:p w:rsidR="008C4500" w:rsidRDefault="008C4500" w:rsidP="008C4500"/>
    <w:tbl>
      <w:tblPr>
        <w:tblW w:w="92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8"/>
      </w:tblGrid>
      <w:tr w:rsidR="008C4500" w:rsidRPr="009E2A23" w:rsidTr="00943F01">
        <w:tc>
          <w:tcPr>
            <w:tcW w:w="9238" w:type="dxa"/>
            <w:tcBorders>
              <w:top w:val="single" w:sz="4" w:space="0" w:color="999999"/>
              <w:left w:val="single" w:sz="4" w:space="0" w:color="999999"/>
              <w:bottom w:val="single" w:sz="4" w:space="0" w:color="999999"/>
              <w:right w:val="single" w:sz="4" w:space="0" w:color="999999"/>
            </w:tcBorders>
            <w:shd w:val="clear" w:color="auto" w:fill="666666"/>
          </w:tcPr>
          <w:p w:rsidR="008C4500" w:rsidRPr="009E2A23" w:rsidRDefault="008C4500" w:rsidP="00943F01">
            <w:pPr>
              <w:pStyle w:val="BodyText"/>
              <w:jc w:val="both"/>
              <w:rPr>
                <w:color w:val="FFFFFF"/>
                <w:sz w:val="10"/>
                <w:szCs w:val="10"/>
              </w:rPr>
            </w:pPr>
          </w:p>
          <w:p w:rsidR="008C4500" w:rsidRPr="0048231D" w:rsidRDefault="008C4500" w:rsidP="00943F01">
            <w:pPr>
              <w:pStyle w:val="BodyText"/>
              <w:jc w:val="both"/>
              <w:rPr>
                <w:color w:val="FF9900"/>
                <w:sz w:val="20"/>
                <w:szCs w:val="20"/>
              </w:rPr>
            </w:pPr>
            <w:r w:rsidRPr="0048231D">
              <w:rPr>
                <w:color w:val="FF9900"/>
                <w:sz w:val="20"/>
                <w:szCs w:val="20"/>
              </w:rPr>
              <w:t>1.  P</w:t>
            </w:r>
            <w:r>
              <w:rPr>
                <w:color w:val="FF9900"/>
                <w:sz w:val="20"/>
                <w:szCs w:val="20"/>
              </w:rPr>
              <w:t>opulation Needs</w:t>
            </w:r>
          </w:p>
          <w:p w:rsidR="008C4500" w:rsidRPr="009E2A23" w:rsidRDefault="008C4500" w:rsidP="00943F01">
            <w:pPr>
              <w:pStyle w:val="BodyText"/>
              <w:jc w:val="both"/>
              <w:rPr>
                <w:color w:val="FFFFFF"/>
                <w:sz w:val="10"/>
                <w:szCs w:val="10"/>
              </w:rPr>
            </w:pPr>
          </w:p>
        </w:tc>
      </w:tr>
      <w:tr w:rsidR="008C4500" w:rsidRPr="009E2A23" w:rsidTr="00943F01">
        <w:tc>
          <w:tcPr>
            <w:tcW w:w="9238" w:type="dxa"/>
            <w:tcBorders>
              <w:top w:val="single" w:sz="4" w:space="0" w:color="999999"/>
              <w:left w:val="single" w:sz="4" w:space="0" w:color="999999"/>
              <w:bottom w:val="single" w:sz="4" w:space="0" w:color="999999"/>
              <w:right w:val="single" w:sz="4" w:space="0" w:color="999999"/>
            </w:tcBorders>
          </w:tcPr>
          <w:p w:rsidR="008C4500" w:rsidRPr="00A440A0" w:rsidRDefault="008C4500" w:rsidP="00943F01">
            <w:pPr>
              <w:pStyle w:val="BodyText"/>
              <w:jc w:val="both"/>
              <w:rPr>
                <w:b/>
                <w:bCs/>
                <w:sz w:val="20"/>
                <w:szCs w:val="20"/>
              </w:rPr>
            </w:pPr>
          </w:p>
          <w:p w:rsidR="008C4500" w:rsidRPr="0048231D" w:rsidRDefault="008C4500" w:rsidP="00943F01">
            <w:pPr>
              <w:rPr>
                <w:rFonts w:ascii="Arial Bold" w:hAnsi="Arial Bold" w:cs="Arial Bold"/>
                <w:b/>
                <w:bCs/>
                <w:color w:val="339966"/>
                <w:sz w:val="20"/>
                <w:szCs w:val="20"/>
              </w:rPr>
            </w:pPr>
            <w:r w:rsidRPr="0048231D">
              <w:rPr>
                <w:rFonts w:ascii="Arial Bold" w:hAnsi="Arial Bold" w:cs="Arial Bold"/>
                <w:b/>
                <w:bCs/>
                <w:color w:val="339966"/>
                <w:sz w:val="20"/>
                <w:szCs w:val="20"/>
              </w:rPr>
              <w:t>1.</w:t>
            </w:r>
            <w:r>
              <w:rPr>
                <w:rFonts w:ascii="Arial Bold" w:hAnsi="Arial Bold" w:cs="Arial Bold"/>
                <w:b/>
                <w:bCs/>
                <w:color w:val="339966"/>
                <w:sz w:val="20"/>
                <w:szCs w:val="20"/>
              </w:rPr>
              <w:t>1 National/</w:t>
            </w:r>
            <w:r w:rsidRPr="0048231D">
              <w:rPr>
                <w:rFonts w:ascii="Arial Bold" w:hAnsi="Arial Bold" w:cs="Arial Bold"/>
                <w:b/>
                <w:bCs/>
                <w:color w:val="339966"/>
                <w:sz w:val="20"/>
                <w:szCs w:val="20"/>
              </w:rPr>
              <w:t>local context and evidence base</w:t>
            </w:r>
            <w:r w:rsidR="00222228">
              <w:rPr>
                <w:rFonts w:ascii="Arial Bold" w:hAnsi="Arial Bold" w:cs="Arial Bold"/>
                <w:b/>
                <w:bCs/>
                <w:color w:val="339966"/>
                <w:sz w:val="20"/>
                <w:szCs w:val="20"/>
              </w:rPr>
              <w:t xml:space="preserve"> </w:t>
            </w:r>
          </w:p>
          <w:p w:rsidR="008C4500" w:rsidRDefault="008C4500" w:rsidP="00943F01">
            <w:pPr>
              <w:rPr>
                <w:rFonts w:ascii="Arial" w:hAnsi="Arial" w:cs="Arial"/>
                <w:b/>
                <w:bCs/>
                <w:sz w:val="20"/>
                <w:szCs w:val="20"/>
              </w:rPr>
            </w:pPr>
          </w:p>
          <w:p w:rsidR="0027461E" w:rsidRDefault="00DF16FB" w:rsidP="0027461E">
            <w:pPr>
              <w:jc w:val="both"/>
              <w:rPr>
                <w:rFonts w:ascii="Arial" w:hAnsi="Arial" w:cs="Arial"/>
                <w:bCs/>
                <w:sz w:val="20"/>
                <w:szCs w:val="20"/>
              </w:rPr>
            </w:pPr>
            <w:r w:rsidRPr="00DF16FB">
              <w:rPr>
                <w:rFonts w:ascii="Arial" w:hAnsi="Arial" w:cs="Arial"/>
                <w:bCs/>
                <w:sz w:val="20"/>
                <w:szCs w:val="20"/>
              </w:rPr>
              <w:t xml:space="preserve">Dual Emission X-ray Absorptiometry </w:t>
            </w:r>
            <w:r>
              <w:rPr>
                <w:rFonts w:ascii="Arial" w:hAnsi="Arial" w:cs="Arial"/>
                <w:bCs/>
                <w:sz w:val="20"/>
                <w:szCs w:val="20"/>
              </w:rPr>
              <w:t>(</w:t>
            </w:r>
            <w:r w:rsidR="00695915">
              <w:rPr>
                <w:rFonts w:ascii="Arial" w:hAnsi="Arial" w:cs="Arial"/>
                <w:bCs/>
                <w:sz w:val="20"/>
                <w:szCs w:val="20"/>
              </w:rPr>
              <w:t>DEXA</w:t>
            </w:r>
            <w:r>
              <w:rPr>
                <w:rFonts w:ascii="Arial" w:hAnsi="Arial" w:cs="Arial"/>
                <w:bCs/>
                <w:sz w:val="20"/>
                <w:szCs w:val="20"/>
              </w:rPr>
              <w:t>)</w:t>
            </w:r>
            <w:r w:rsidR="0027461E" w:rsidRPr="0027461E">
              <w:rPr>
                <w:rFonts w:ascii="Arial" w:hAnsi="Arial" w:cs="Arial"/>
                <w:bCs/>
                <w:sz w:val="20"/>
                <w:szCs w:val="20"/>
              </w:rPr>
              <w:t xml:space="preserve"> scans are widely recognised as an efficient way of measuring bone mineral density (BMD) to predict people who are risk of fragility fractures as a result of </w:t>
            </w:r>
            <w:r w:rsidR="0027461E">
              <w:rPr>
                <w:rFonts w:ascii="Arial" w:hAnsi="Arial" w:cs="Arial"/>
                <w:bCs/>
                <w:sz w:val="20"/>
                <w:szCs w:val="20"/>
              </w:rPr>
              <w:t xml:space="preserve">osteoporosis or thinning bones. </w:t>
            </w:r>
            <w:r w:rsidR="0027461E" w:rsidRPr="0027461E">
              <w:rPr>
                <w:rFonts w:ascii="Arial" w:hAnsi="Arial" w:cs="Arial"/>
                <w:bCs/>
                <w:sz w:val="20"/>
                <w:szCs w:val="20"/>
              </w:rPr>
              <w:t>Identifying people who are at risk of fractures allows for appropriate interventions to be made. The scans also provide the ‘Gold Standard’ for diagnosing osteoporosis.</w:t>
            </w:r>
          </w:p>
          <w:p w:rsidR="0027461E" w:rsidRDefault="0027461E" w:rsidP="0027461E">
            <w:pPr>
              <w:jc w:val="both"/>
              <w:rPr>
                <w:rFonts w:ascii="Arial" w:hAnsi="Arial" w:cs="Arial"/>
                <w:bCs/>
                <w:sz w:val="20"/>
                <w:szCs w:val="20"/>
              </w:rPr>
            </w:pPr>
          </w:p>
          <w:p w:rsidR="00BD21A4" w:rsidRPr="00BD21A4" w:rsidRDefault="00BD21A4" w:rsidP="0027461E">
            <w:pPr>
              <w:jc w:val="both"/>
              <w:rPr>
                <w:rFonts w:ascii="Arial" w:hAnsi="Arial" w:cs="Arial"/>
                <w:bCs/>
                <w:sz w:val="20"/>
                <w:szCs w:val="20"/>
              </w:rPr>
            </w:pPr>
            <w:r w:rsidRPr="00BD21A4">
              <w:rPr>
                <w:rFonts w:ascii="Arial" w:hAnsi="Arial" w:cs="Arial"/>
                <w:bCs/>
                <w:sz w:val="20"/>
                <w:szCs w:val="20"/>
              </w:rPr>
              <w:t xml:space="preserve">The Royal College of Physicians’ clinical guidelines for prevention and treatment of osteoporosis (1999) have been used to decide who needs a scan to help with decisions about drug treatments. </w:t>
            </w:r>
          </w:p>
          <w:p w:rsidR="00BD21A4" w:rsidRPr="00BD21A4" w:rsidRDefault="00BD21A4" w:rsidP="0027461E">
            <w:pPr>
              <w:jc w:val="both"/>
              <w:rPr>
                <w:rFonts w:ascii="Arial" w:hAnsi="Arial" w:cs="Arial"/>
                <w:bCs/>
                <w:sz w:val="20"/>
                <w:szCs w:val="20"/>
              </w:rPr>
            </w:pPr>
          </w:p>
          <w:p w:rsidR="00BD21A4" w:rsidRPr="00BD21A4" w:rsidRDefault="00BD21A4" w:rsidP="0027461E">
            <w:pPr>
              <w:jc w:val="both"/>
              <w:rPr>
                <w:rFonts w:ascii="Arial" w:hAnsi="Arial" w:cs="Arial"/>
                <w:bCs/>
                <w:sz w:val="20"/>
                <w:szCs w:val="20"/>
              </w:rPr>
            </w:pPr>
            <w:r w:rsidRPr="00BD21A4">
              <w:rPr>
                <w:rFonts w:ascii="Arial" w:hAnsi="Arial" w:cs="Arial"/>
                <w:bCs/>
                <w:sz w:val="20"/>
                <w:szCs w:val="20"/>
              </w:rPr>
              <w:t xml:space="preserve">This guidance recommends that bone density measurements should be available to postmenopausal women over 45 years at high risk of osteoporosis if results may influence the doctor’s decision regarding treatment.  </w:t>
            </w:r>
          </w:p>
          <w:p w:rsidR="00BD21A4" w:rsidRPr="00BD21A4" w:rsidRDefault="00BD21A4" w:rsidP="0027461E">
            <w:pPr>
              <w:jc w:val="both"/>
              <w:rPr>
                <w:rFonts w:ascii="Arial" w:hAnsi="Arial" w:cs="Arial"/>
                <w:bCs/>
                <w:sz w:val="20"/>
                <w:szCs w:val="20"/>
              </w:rPr>
            </w:pPr>
          </w:p>
          <w:p w:rsidR="00BD21A4" w:rsidRPr="00BD21A4" w:rsidRDefault="00BD21A4" w:rsidP="0027461E">
            <w:pPr>
              <w:jc w:val="both"/>
              <w:rPr>
                <w:rFonts w:ascii="Arial" w:hAnsi="Arial" w:cs="Arial"/>
                <w:bCs/>
                <w:sz w:val="20"/>
                <w:szCs w:val="20"/>
              </w:rPr>
            </w:pPr>
            <w:r w:rsidRPr="00DB6AFD">
              <w:rPr>
                <w:rFonts w:ascii="Arial" w:hAnsi="Arial" w:cs="Arial"/>
                <w:bCs/>
                <w:sz w:val="20"/>
                <w:szCs w:val="20"/>
              </w:rPr>
              <w:t xml:space="preserve">The aim is to </w:t>
            </w:r>
            <w:r w:rsidR="00DB6AFD" w:rsidRPr="00DB6AFD">
              <w:rPr>
                <w:rFonts w:ascii="Arial" w:hAnsi="Arial" w:cs="Arial"/>
                <w:bCs/>
                <w:sz w:val="20"/>
                <w:szCs w:val="20"/>
              </w:rPr>
              <w:t>maintain</w:t>
            </w:r>
            <w:r w:rsidR="008E531D">
              <w:rPr>
                <w:rFonts w:ascii="Arial" w:hAnsi="Arial" w:cs="Arial"/>
                <w:bCs/>
                <w:sz w:val="20"/>
                <w:szCs w:val="20"/>
              </w:rPr>
              <w:t xml:space="preserve"> </w:t>
            </w:r>
            <w:r w:rsidRPr="00DB6AFD">
              <w:rPr>
                <w:rFonts w:ascii="Arial" w:hAnsi="Arial" w:cs="Arial"/>
                <w:bCs/>
                <w:sz w:val="20"/>
                <w:szCs w:val="20"/>
              </w:rPr>
              <w:t xml:space="preserve">scanning rates </w:t>
            </w:r>
            <w:r w:rsidR="008E531D">
              <w:rPr>
                <w:rFonts w:ascii="Arial" w:hAnsi="Arial" w:cs="Arial"/>
                <w:bCs/>
                <w:sz w:val="20"/>
                <w:szCs w:val="20"/>
              </w:rPr>
              <w:t xml:space="preserve">and reduce variation </w:t>
            </w:r>
            <w:r w:rsidRPr="00DB6AFD">
              <w:rPr>
                <w:rFonts w:ascii="Arial" w:hAnsi="Arial" w:cs="Arial"/>
                <w:bCs/>
                <w:sz w:val="20"/>
                <w:szCs w:val="20"/>
              </w:rPr>
              <w:t>to a level which is in line with recognised good practice for the identification and management of osteoporosis, and able to cater for future demand (e.g. ageing population).</w:t>
            </w:r>
            <w:r w:rsidR="00B1233B">
              <w:rPr>
                <w:rFonts w:ascii="Arial" w:hAnsi="Arial" w:cs="Arial"/>
                <w:bCs/>
                <w:sz w:val="20"/>
                <w:szCs w:val="20"/>
              </w:rPr>
              <w:t xml:space="preserve"> </w:t>
            </w:r>
          </w:p>
          <w:p w:rsidR="008C4500" w:rsidRPr="00A440A0" w:rsidRDefault="008C4500" w:rsidP="00DB6AFD">
            <w:pPr>
              <w:jc w:val="both"/>
              <w:rPr>
                <w:b/>
                <w:bCs/>
                <w:sz w:val="20"/>
                <w:szCs w:val="20"/>
              </w:rPr>
            </w:pPr>
          </w:p>
        </w:tc>
      </w:tr>
    </w:tbl>
    <w:p w:rsidR="00985C92" w:rsidRDefault="00985C92"/>
    <w:tbl>
      <w:tblPr>
        <w:tblW w:w="92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8"/>
      </w:tblGrid>
      <w:tr w:rsidR="00985C92" w:rsidRPr="009E2A23" w:rsidTr="00985C92">
        <w:tc>
          <w:tcPr>
            <w:tcW w:w="9238" w:type="dxa"/>
            <w:tcBorders>
              <w:top w:val="single" w:sz="4" w:space="0" w:color="999999"/>
              <w:left w:val="single" w:sz="4" w:space="0" w:color="999999"/>
              <w:bottom w:val="single" w:sz="4" w:space="0" w:color="999999"/>
              <w:right w:val="single" w:sz="4" w:space="0" w:color="999999"/>
            </w:tcBorders>
            <w:shd w:val="clear" w:color="auto" w:fill="666666"/>
          </w:tcPr>
          <w:p w:rsidR="00985C92" w:rsidRPr="00985C92" w:rsidRDefault="00985C92" w:rsidP="00CD23AA">
            <w:pPr>
              <w:pStyle w:val="BodyText"/>
              <w:jc w:val="both"/>
              <w:rPr>
                <w:b/>
                <w:bCs/>
                <w:sz w:val="12"/>
                <w:szCs w:val="12"/>
              </w:rPr>
            </w:pPr>
          </w:p>
          <w:p w:rsidR="00985C92" w:rsidRPr="00985C92" w:rsidRDefault="00985C92" w:rsidP="00CD23AA">
            <w:pPr>
              <w:pStyle w:val="BodyText"/>
              <w:jc w:val="both"/>
              <w:rPr>
                <w:b/>
                <w:bCs/>
                <w:sz w:val="20"/>
                <w:szCs w:val="20"/>
              </w:rPr>
            </w:pPr>
            <w:r>
              <w:rPr>
                <w:color w:val="FF9900"/>
                <w:sz w:val="20"/>
                <w:szCs w:val="20"/>
              </w:rPr>
              <w:t>2. Outcomes</w:t>
            </w:r>
          </w:p>
          <w:p w:rsidR="00985C92" w:rsidRPr="00985C92" w:rsidRDefault="00985C92" w:rsidP="00CD23AA">
            <w:pPr>
              <w:pStyle w:val="BodyText"/>
              <w:jc w:val="both"/>
              <w:rPr>
                <w:b/>
                <w:bCs/>
                <w:sz w:val="12"/>
                <w:szCs w:val="12"/>
              </w:rPr>
            </w:pPr>
          </w:p>
        </w:tc>
      </w:tr>
      <w:tr w:rsidR="00985C92" w:rsidRPr="009E2A23" w:rsidTr="00985C92">
        <w:tc>
          <w:tcPr>
            <w:tcW w:w="9238" w:type="dxa"/>
            <w:tcBorders>
              <w:top w:val="single" w:sz="4" w:space="0" w:color="999999"/>
              <w:left w:val="single" w:sz="4" w:space="0" w:color="999999"/>
              <w:bottom w:val="single" w:sz="4" w:space="0" w:color="999999"/>
              <w:right w:val="single" w:sz="4" w:space="0" w:color="999999"/>
            </w:tcBorders>
          </w:tcPr>
          <w:p w:rsidR="00985C92" w:rsidRPr="00A440A0" w:rsidRDefault="00985C92" w:rsidP="00CD23AA">
            <w:pPr>
              <w:pStyle w:val="BodyText"/>
              <w:jc w:val="both"/>
              <w:rPr>
                <w:b/>
                <w:bCs/>
                <w:sz w:val="20"/>
                <w:szCs w:val="20"/>
              </w:rPr>
            </w:pPr>
          </w:p>
          <w:p w:rsidR="00985C92" w:rsidRDefault="00985C92" w:rsidP="00985C92">
            <w:pPr>
              <w:pStyle w:val="BodyText"/>
              <w:jc w:val="both"/>
              <w:rPr>
                <w:b/>
                <w:bCs/>
                <w:sz w:val="20"/>
                <w:szCs w:val="20"/>
              </w:rPr>
            </w:pPr>
            <w:r>
              <w:rPr>
                <w:b/>
                <w:bCs/>
                <w:sz w:val="20"/>
                <w:szCs w:val="20"/>
              </w:rPr>
              <w:t>2.1   NHS Outcomes Framework Domains &amp; Indicators</w:t>
            </w:r>
          </w:p>
          <w:p w:rsidR="00985C92" w:rsidRDefault="00985C92" w:rsidP="00985C92">
            <w:pPr>
              <w:pStyle w:val="BodyText"/>
              <w:jc w:val="both"/>
              <w:rPr>
                <w:b/>
                <w:bCs/>
                <w:sz w:val="20"/>
                <w:szCs w:val="20"/>
              </w:rPr>
            </w:pP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812"/>
              <w:gridCol w:w="567"/>
            </w:tblGrid>
            <w:tr w:rsidR="00985C92" w:rsidRPr="00CD23AA" w:rsidTr="00CD23AA">
              <w:tc>
                <w:tcPr>
                  <w:tcW w:w="1275" w:type="dxa"/>
                  <w:shd w:val="clear" w:color="auto" w:fill="auto"/>
                </w:tcPr>
                <w:p w:rsidR="00985C92" w:rsidRPr="00CD23AA" w:rsidRDefault="00985C92" w:rsidP="00CD23AA">
                  <w:pPr>
                    <w:pStyle w:val="BodyText"/>
                    <w:jc w:val="both"/>
                    <w:rPr>
                      <w:b/>
                      <w:bCs/>
                      <w:sz w:val="20"/>
                      <w:szCs w:val="20"/>
                    </w:rPr>
                  </w:pPr>
                  <w:r w:rsidRPr="00CD23AA">
                    <w:rPr>
                      <w:b/>
                      <w:bCs/>
                      <w:sz w:val="20"/>
                      <w:szCs w:val="20"/>
                    </w:rPr>
                    <w:t>Domain 1</w:t>
                  </w:r>
                </w:p>
              </w:tc>
              <w:tc>
                <w:tcPr>
                  <w:tcW w:w="5812" w:type="dxa"/>
                  <w:shd w:val="clear" w:color="auto" w:fill="auto"/>
                </w:tcPr>
                <w:p w:rsidR="00985C92" w:rsidRPr="00CD23AA" w:rsidRDefault="00985C92" w:rsidP="00CD23AA">
                  <w:pPr>
                    <w:pStyle w:val="BodyText"/>
                    <w:jc w:val="both"/>
                    <w:rPr>
                      <w:b/>
                      <w:bCs/>
                      <w:sz w:val="20"/>
                      <w:szCs w:val="20"/>
                    </w:rPr>
                  </w:pPr>
                  <w:r w:rsidRPr="00CD23AA">
                    <w:rPr>
                      <w:b/>
                      <w:bCs/>
                      <w:sz w:val="20"/>
                      <w:szCs w:val="20"/>
                    </w:rPr>
                    <w:t>Preventing people from dying prematurely</w:t>
                  </w:r>
                </w:p>
              </w:tc>
              <w:tc>
                <w:tcPr>
                  <w:tcW w:w="567" w:type="dxa"/>
                  <w:shd w:val="clear" w:color="auto" w:fill="auto"/>
                </w:tcPr>
                <w:p w:rsidR="00985C92" w:rsidRPr="00CD23AA" w:rsidRDefault="0027461E" w:rsidP="00CD23AA">
                  <w:pPr>
                    <w:pStyle w:val="BodyText"/>
                    <w:jc w:val="both"/>
                    <w:rPr>
                      <w:b/>
                      <w:bCs/>
                      <w:sz w:val="20"/>
                      <w:szCs w:val="20"/>
                    </w:rPr>
                  </w:pPr>
                  <w:r>
                    <w:rPr>
                      <w:b/>
                      <w:bCs/>
                      <w:sz w:val="20"/>
                      <w:szCs w:val="20"/>
                    </w:rPr>
                    <w:t>/</w:t>
                  </w:r>
                </w:p>
              </w:tc>
            </w:tr>
            <w:tr w:rsidR="00985C92" w:rsidRPr="00CD23AA" w:rsidTr="00CD23AA">
              <w:tc>
                <w:tcPr>
                  <w:tcW w:w="1275" w:type="dxa"/>
                  <w:shd w:val="clear" w:color="auto" w:fill="auto"/>
                </w:tcPr>
                <w:p w:rsidR="00985C92" w:rsidRPr="00CD23AA" w:rsidRDefault="00985C92" w:rsidP="00CD23AA">
                  <w:pPr>
                    <w:pStyle w:val="BodyText"/>
                    <w:jc w:val="both"/>
                    <w:rPr>
                      <w:b/>
                      <w:bCs/>
                      <w:sz w:val="20"/>
                      <w:szCs w:val="20"/>
                    </w:rPr>
                  </w:pPr>
                  <w:r w:rsidRPr="00CD23AA">
                    <w:rPr>
                      <w:b/>
                      <w:bCs/>
                      <w:sz w:val="20"/>
                      <w:szCs w:val="20"/>
                    </w:rPr>
                    <w:t>Domain 2</w:t>
                  </w:r>
                </w:p>
              </w:tc>
              <w:tc>
                <w:tcPr>
                  <w:tcW w:w="5812" w:type="dxa"/>
                  <w:shd w:val="clear" w:color="auto" w:fill="auto"/>
                </w:tcPr>
                <w:p w:rsidR="00985C92" w:rsidRPr="00CD23AA" w:rsidRDefault="00985C92" w:rsidP="00CD23AA">
                  <w:pPr>
                    <w:pStyle w:val="BodyText"/>
                    <w:jc w:val="both"/>
                    <w:rPr>
                      <w:b/>
                      <w:bCs/>
                      <w:sz w:val="20"/>
                      <w:szCs w:val="20"/>
                    </w:rPr>
                  </w:pPr>
                  <w:r w:rsidRPr="00CD23AA">
                    <w:rPr>
                      <w:b/>
                      <w:bCs/>
                      <w:sz w:val="20"/>
                      <w:szCs w:val="20"/>
                    </w:rPr>
                    <w:t>Enhancing quality of life for people with long-term conditions</w:t>
                  </w:r>
                </w:p>
              </w:tc>
              <w:tc>
                <w:tcPr>
                  <w:tcW w:w="567" w:type="dxa"/>
                  <w:shd w:val="clear" w:color="auto" w:fill="auto"/>
                </w:tcPr>
                <w:p w:rsidR="00985C92" w:rsidRPr="00CD23AA" w:rsidRDefault="0027461E" w:rsidP="00CD23AA">
                  <w:pPr>
                    <w:pStyle w:val="BodyText"/>
                    <w:jc w:val="both"/>
                    <w:rPr>
                      <w:b/>
                      <w:bCs/>
                      <w:sz w:val="20"/>
                      <w:szCs w:val="20"/>
                    </w:rPr>
                  </w:pPr>
                  <w:r>
                    <w:rPr>
                      <w:b/>
                      <w:bCs/>
                      <w:sz w:val="20"/>
                      <w:szCs w:val="20"/>
                    </w:rPr>
                    <w:t>/</w:t>
                  </w:r>
                </w:p>
              </w:tc>
            </w:tr>
            <w:tr w:rsidR="00985C92" w:rsidRPr="00CD23AA" w:rsidTr="00CD23AA">
              <w:tc>
                <w:tcPr>
                  <w:tcW w:w="1275" w:type="dxa"/>
                  <w:shd w:val="clear" w:color="auto" w:fill="auto"/>
                </w:tcPr>
                <w:p w:rsidR="00985C92" w:rsidRPr="00CD23AA" w:rsidRDefault="00985C92" w:rsidP="00CD23AA">
                  <w:pPr>
                    <w:pStyle w:val="BodyText"/>
                    <w:jc w:val="both"/>
                    <w:rPr>
                      <w:b/>
                      <w:bCs/>
                      <w:sz w:val="20"/>
                      <w:szCs w:val="20"/>
                    </w:rPr>
                  </w:pPr>
                  <w:r w:rsidRPr="00CD23AA">
                    <w:rPr>
                      <w:b/>
                      <w:bCs/>
                      <w:sz w:val="20"/>
                      <w:szCs w:val="20"/>
                    </w:rPr>
                    <w:t>Domain 3</w:t>
                  </w:r>
                </w:p>
              </w:tc>
              <w:tc>
                <w:tcPr>
                  <w:tcW w:w="5812" w:type="dxa"/>
                  <w:shd w:val="clear" w:color="auto" w:fill="auto"/>
                </w:tcPr>
                <w:p w:rsidR="00985C92" w:rsidRPr="00CD23AA" w:rsidRDefault="00985C92" w:rsidP="00CD23AA">
                  <w:pPr>
                    <w:pStyle w:val="BodyText"/>
                    <w:jc w:val="both"/>
                    <w:rPr>
                      <w:b/>
                      <w:bCs/>
                      <w:sz w:val="20"/>
                      <w:szCs w:val="20"/>
                    </w:rPr>
                  </w:pPr>
                  <w:r w:rsidRPr="00CD23AA">
                    <w:rPr>
                      <w:b/>
                      <w:bCs/>
                      <w:sz w:val="20"/>
                      <w:szCs w:val="20"/>
                    </w:rPr>
                    <w:t>Helping people to recover from episodes of ill-health following injury</w:t>
                  </w:r>
                </w:p>
              </w:tc>
              <w:tc>
                <w:tcPr>
                  <w:tcW w:w="567" w:type="dxa"/>
                  <w:shd w:val="clear" w:color="auto" w:fill="auto"/>
                </w:tcPr>
                <w:p w:rsidR="00985C92" w:rsidRPr="00CD23AA" w:rsidRDefault="00985C92" w:rsidP="00CD23AA">
                  <w:pPr>
                    <w:pStyle w:val="BodyText"/>
                    <w:jc w:val="both"/>
                    <w:rPr>
                      <w:b/>
                      <w:bCs/>
                      <w:sz w:val="20"/>
                      <w:szCs w:val="20"/>
                    </w:rPr>
                  </w:pPr>
                </w:p>
              </w:tc>
            </w:tr>
            <w:tr w:rsidR="00985C92" w:rsidRPr="00CD23AA" w:rsidTr="00CD23AA">
              <w:tc>
                <w:tcPr>
                  <w:tcW w:w="1275" w:type="dxa"/>
                  <w:shd w:val="clear" w:color="auto" w:fill="auto"/>
                </w:tcPr>
                <w:p w:rsidR="00985C92" w:rsidRPr="00CD23AA" w:rsidRDefault="00985C92" w:rsidP="00CD23AA">
                  <w:pPr>
                    <w:pStyle w:val="BodyText"/>
                    <w:jc w:val="both"/>
                    <w:rPr>
                      <w:b/>
                      <w:bCs/>
                      <w:sz w:val="20"/>
                      <w:szCs w:val="20"/>
                    </w:rPr>
                  </w:pPr>
                  <w:r w:rsidRPr="00CD23AA">
                    <w:rPr>
                      <w:b/>
                      <w:bCs/>
                      <w:sz w:val="20"/>
                      <w:szCs w:val="20"/>
                    </w:rPr>
                    <w:t>Domain 4</w:t>
                  </w:r>
                </w:p>
              </w:tc>
              <w:tc>
                <w:tcPr>
                  <w:tcW w:w="5812" w:type="dxa"/>
                  <w:shd w:val="clear" w:color="auto" w:fill="auto"/>
                </w:tcPr>
                <w:p w:rsidR="00985C92" w:rsidRPr="00CD23AA" w:rsidRDefault="00985C92" w:rsidP="00CD23AA">
                  <w:pPr>
                    <w:pStyle w:val="BodyText"/>
                    <w:jc w:val="both"/>
                    <w:rPr>
                      <w:b/>
                      <w:bCs/>
                      <w:sz w:val="20"/>
                      <w:szCs w:val="20"/>
                    </w:rPr>
                  </w:pPr>
                  <w:r w:rsidRPr="00CD23AA">
                    <w:rPr>
                      <w:b/>
                      <w:bCs/>
                      <w:sz w:val="20"/>
                      <w:szCs w:val="20"/>
                    </w:rPr>
                    <w:t>Ensuring people have a positive experience of care</w:t>
                  </w:r>
                </w:p>
              </w:tc>
              <w:tc>
                <w:tcPr>
                  <w:tcW w:w="567" w:type="dxa"/>
                  <w:shd w:val="clear" w:color="auto" w:fill="auto"/>
                </w:tcPr>
                <w:p w:rsidR="00985C92" w:rsidRPr="00CD23AA" w:rsidRDefault="0027461E" w:rsidP="00CD23AA">
                  <w:pPr>
                    <w:pStyle w:val="BodyText"/>
                    <w:jc w:val="both"/>
                    <w:rPr>
                      <w:b/>
                      <w:bCs/>
                      <w:sz w:val="20"/>
                      <w:szCs w:val="20"/>
                    </w:rPr>
                  </w:pPr>
                  <w:r>
                    <w:rPr>
                      <w:b/>
                      <w:bCs/>
                      <w:sz w:val="20"/>
                      <w:szCs w:val="20"/>
                    </w:rPr>
                    <w:t>/</w:t>
                  </w:r>
                </w:p>
              </w:tc>
            </w:tr>
            <w:tr w:rsidR="00985C92" w:rsidRPr="00CD23AA" w:rsidTr="00CD23AA">
              <w:tc>
                <w:tcPr>
                  <w:tcW w:w="1275" w:type="dxa"/>
                  <w:shd w:val="clear" w:color="auto" w:fill="auto"/>
                </w:tcPr>
                <w:p w:rsidR="00985C92" w:rsidRPr="00CD23AA" w:rsidRDefault="00985C92" w:rsidP="00CD23AA">
                  <w:pPr>
                    <w:pStyle w:val="BodyText"/>
                    <w:jc w:val="both"/>
                    <w:rPr>
                      <w:b/>
                      <w:bCs/>
                      <w:sz w:val="20"/>
                      <w:szCs w:val="20"/>
                    </w:rPr>
                  </w:pPr>
                  <w:r w:rsidRPr="00CD23AA">
                    <w:rPr>
                      <w:b/>
                      <w:bCs/>
                      <w:sz w:val="20"/>
                      <w:szCs w:val="20"/>
                    </w:rPr>
                    <w:t>Domain 5</w:t>
                  </w:r>
                </w:p>
              </w:tc>
              <w:tc>
                <w:tcPr>
                  <w:tcW w:w="5812" w:type="dxa"/>
                  <w:shd w:val="clear" w:color="auto" w:fill="auto"/>
                </w:tcPr>
                <w:p w:rsidR="00985C92" w:rsidRPr="00CD23AA" w:rsidRDefault="00985C92" w:rsidP="00CD23AA">
                  <w:pPr>
                    <w:pStyle w:val="BodyText"/>
                    <w:jc w:val="both"/>
                    <w:rPr>
                      <w:b/>
                      <w:bCs/>
                      <w:sz w:val="20"/>
                      <w:szCs w:val="20"/>
                    </w:rPr>
                  </w:pPr>
                  <w:r w:rsidRPr="00CD23AA">
                    <w:rPr>
                      <w:b/>
                      <w:bCs/>
                      <w:sz w:val="20"/>
                      <w:szCs w:val="20"/>
                    </w:rPr>
                    <w:t>Treating and caring for people in safe environment and protecting them from avoidable harm</w:t>
                  </w:r>
                </w:p>
              </w:tc>
              <w:tc>
                <w:tcPr>
                  <w:tcW w:w="567" w:type="dxa"/>
                  <w:shd w:val="clear" w:color="auto" w:fill="auto"/>
                </w:tcPr>
                <w:p w:rsidR="00985C92" w:rsidRPr="00CD23AA" w:rsidRDefault="0027461E" w:rsidP="00CD23AA">
                  <w:pPr>
                    <w:pStyle w:val="BodyText"/>
                    <w:jc w:val="both"/>
                    <w:rPr>
                      <w:b/>
                      <w:bCs/>
                      <w:sz w:val="20"/>
                      <w:szCs w:val="20"/>
                    </w:rPr>
                  </w:pPr>
                  <w:r>
                    <w:rPr>
                      <w:b/>
                      <w:bCs/>
                      <w:sz w:val="20"/>
                      <w:szCs w:val="20"/>
                    </w:rPr>
                    <w:t>/</w:t>
                  </w:r>
                </w:p>
              </w:tc>
            </w:tr>
          </w:tbl>
          <w:p w:rsidR="00985C92" w:rsidRPr="00A440A0" w:rsidRDefault="00985C92" w:rsidP="00985C92">
            <w:pPr>
              <w:pStyle w:val="BodyText"/>
              <w:jc w:val="both"/>
              <w:rPr>
                <w:b/>
                <w:bCs/>
                <w:sz w:val="20"/>
                <w:szCs w:val="20"/>
              </w:rPr>
            </w:pPr>
          </w:p>
          <w:p w:rsidR="00985C92" w:rsidRDefault="00985C92" w:rsidP="00CD23AA">
            <w:pPr>
              <w:pStyle w:val="BodyText"/>
              <w:jc w:val="both"/>
              <w:rPr>
                <w:b/>
                <w:bCs/>
                <w:sz w:val="20"/>
                <w:szCs w:val="20"/>
              </w:rPr>
            </w:pPr>
            <w:r>
              <w:rPr>
                <w:b/>
                <w:bCs/>
                <w:sz w:val="20"/>
                <w:szCs w:val="20"/>
              </w:rPr>
              <w:t>2.2  Local defined outcomes</w:t>
            </w:r>
          </w:p>
          <w:p w:rsidR="00BD21A4" w:rsidRDefault="00BD21A4" w:rsidP="00CD23AA">
            <w:pPr>
              <w:pStyle w:val="BodyText"/>
              <w:jc w:val="both"/>
              <w:rPr>
                <w:b/>
                <w:bCs/>
                <w:sz w:val="20"/>
                <w:szCs w:val="20"/>
              </w:rPr>
            </w:pPr>
          </w:p>
          <w:p w:rsidR="00BD21A4" w:rsidRPr="00BD21A4" w:rsidRDefault="00BD21A4" w:rsidP="00CD23AA">
            <w:pPr>
              <w:pStyle w:val="BodyText"/>
              <w:jc w:val="both"/>
              <w:rPr>
                <w:bCs/>
                <w:sz w:val="20"/>
                <w:szCs w:val="20"/>
              </w:rPr>
            </w:pPr>
            <w:r w:rsidRPr="00BD21A4">
              <w:rPr>
                <w:bCs/>
                <w:sz w:val="20"/>
                <w:szCs w:val="20"/>
              </w:rPr>
              <w:t>T</w:t>
            </w:r>
            <w:r w:rsidR="00DF16FB">
              <w:rPr>
                <w:bCs/>
                <w:sz w:val="20"/>
                <w:szCs w:val="20"/>
              </w:rPr>
              <w:t>he service will demonstrate</w:t>
            </w:r>
            <w:r w:rsidRPr="00BD21A4">
              <w:rPr>
                <w:bCs/>
                <w:sz w:val="20"/>
                <w:szCs w:val="20"/>
              </w:rPr>
              <w:t xml:space="preserve"> quality clinical outcomes - to aid the management of osteoporosis and prevent low trauma fractures. </w:t>
            </w:r>
            <w:r w:rsidR="00102E33">
              <w:rPr>
                <w:bCs/>
                <w:sz w:val="20"/>
                <w:szCs w:val="20"/>
              </w:rPr>
              <w:t>Required</w:t>
            </w:r>
            <w:r w:rsidRPr="00BD21A4">
              <w:rPr>
                <w:bCs/>
                <w:sz w:val="20"/>
                <w:szCs w:val="20"/>
              </w:rPr>
              <w:t xml:space="preserve"> outcomes</w:t>
            </w:r>
            <w:r w:rsidR="00DF16FB">
              <w:rPr>
                <w:bCs/>
                <w:sz w:val="20"/>
                <w:szCs w:val="20"/>
              </w:rPr>
              <w:t xml:space="preserve"> </w:t>
            </w:r>
            <w:r w:rsidR="00102E33">
              <w:rPr>
                <w:bCs/>
                <w:sz w:val="20"/>
                <w:szCs w:val="20"/>
              </w:rPr>
              <w:t xml:space="preserve">for the service </w:t>
            </w:r>
            <w:r w:rsidR="00DF16FB">
              <w:rPr>
                <w:bCs/>
                <w:sz w:val="20"/>
                <w:szCs w:val="20"/>
              </w:rPr>
              <w:t>will be a reduction in the</w:t>
            </w:r>
            <w:r w:rsidRPr="00BD21A4">
              <w:rPr>
                <w:bCs/>
                <w:sz w:val="20"/>
                <w:szCs w:val="20"/>
              </w:rPr>
              <w:t xml:space="preserve"> high health costs associated with an inaccurate or a missed diagnosis of osteoporosis as well as ensuring that </w:t>
            </w:r>
            <w:r w:rsidRPr="00BD21A4">
              <w:rPr>
                <w:bCs/>
                <w:sz w:val="20"/>
                <w:szCs w:val="20"/>
              </w:rPr>
              <w:lastRenderedPageBreak/>
              <w:t>accurate and aggressive treatment management can occur in order to reach the best outcome where appropriate.</w:t>
            </w:r>
          </w:p>
          <w:p w:rsidR="00985C92" w:rsidRPr="00A440A0" w:rsidRDefault="00985C92" w:rsidP="00CD23AA">
            <w:pPr>
              <w:pStyle w:val="BodyText"/>
              <w:jc w:val="both"/>
              <w:rPr>
                <w:b/>
                <w:bCs/>
                <w:sz w:val="20"/>
                <w:szCs w:val="20"/>
              </w:rPr>
            </w:pPr>
          </w:p>
        </w:tc>
      </w:tr>
    </w:tbl>
    <w:p w:rsidR="008C4500" w:rsidRDefault="008C4500"/>
    <w:p w:rsidR="00985C92" w:rsidRDefault="00985C92"/>
    <w:tbl>
      <w:tblPr>
        <w:tblW w:w="92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8"/>
      </w:tblGrid>
      <w:tr w:rsidR="008C4500" w:rsidRPr="009E2A23" w:rsidTr="00943F01">
        <w:tc>
          <w:tcPr>
            <w:tcW w:w="9238" w:type="dxa"/>
            <w:tcBorders>
              <w:top w:val="single" w:sz="4" w:space="0" w:color="999999"/>
              <w:left w:val="single" w:sz="4" w:space="0" w:color="999999"/>
              <w:bottom w:val="single" w:sz="4" w:space="0" w:color="999999"/>
              <w:right w:val="single" w:sz="4" w:space="0" w:color="999999"/>
            </w:tcBorders>
            <w:shd w:val="clear" w:color="auto" w:fill="666666"/>
          </w:tcPr>
          <w:p w:rsidR="008C4500" w:rsidRPr="00A440A0" w:rsidRDefault="008C4500" w:rsidP="00943F01">
            <w:pPr>
              <w:pStyle w:val="BodyText"/>
              <w:jc w:val="both"/>
              <w:rPr>
                <w:color w:val="FFFFFF"/>
                <w:sz w:val="10"/>
                <w:szCs w:val="10"/>
              </w:rPr>
            </w:pPr>
          </w:p>
          <w:p w:rsidR="008C4500" w:rsidRPr="0048231D" w:rsidRDefault="00985C92" w:rsidP="00943F01">
            <w:pPr>
              <w:pStyle w:val="BodyText"/>
              <w:jc w:val="both"/>
              <w:rPr>
                <w:color w:val="FF9900"/>
                <w:sz w:val="20"/>
                <w:szCs w:val="20"/>
              </w:rPr>
            </w:pPr>
            <w:r>
              <w:rPr>
                <w:color w:val="FF9900"/>
                <w:sz w:val="20"/>
                <w:szCs w:val="20"/>
              </w:rPr>
              <w:t>3</w:t>
            </w:r>
            <w:r w:rsidR="008C4500" w:rsidRPr="0048231D">
              <w:rPr>
                <w:color w:val="FF9900"/>
                <w:sz w:val="20"/>
                <w:szCs w:val="20"/>
              </w:rPr>
              <w:t>. Scope</w:t>
            </w:r>
          </w:p>
          <w:p w:rsidR="008C4500" w:rsidRPr="00A440A0" w:rsidRDefault="008C4500" w:rsidP="00943F01">
            <w:pPr>
              <w:pStyle w:val="BodyText"/>
              <w:jc w:val="both"/>
              <w:rPr>
                <w:color w:val="FFFFFF"/>
                <w:sz w:val="10"/>
                <w:szCs w:val="10"/>
                <w:u w:val="single"/>
              </w:rPr>
            </w:pPr>
          </w:p>
        </w:tc>
      </w:tr>
      <w:tr w:rsidR="008C4500" w:rsidRPr="009E2A23" w:rsidTr="00943F01">
        <w:tc>
          <w:tcPr>
            <w:tcW w:w="9238" w:type="dxa"/>
            <w:tcBorders>
              <w:top w:val="single" w:sz="4" w:space="0" w:color="999999"/>
              <w:left w:val="single" w:sz="4" w:space="0" w:color="999999"/>
              <w:bottom w:val="single" w:sz="4" w:space="0" w:color="999999"/>
              <w:right w:val="single" w:sz="4" w:space="0" w:color="999999"/>
            </w:tcBorders>
          </w:tcPr>
          <w:p w:rsidR="00F56CD0" w:rsidRDefault="00F56CD0" w:rsidP="00943F01">
            <w:pPr>
              <w:pStyle w:val="BodyText"/>
              <w:jc w:val="both"/>
              <w:rPr>
                <w:b/>
                <w:bCs/>
                <w:sz w:val="20"/>
                <w:szCs w:val="20"/>
              </w:rPr>
            </w:pPr>
          </w:p>
          <w:p w:rsidR="008C4500" w:rsidRPr="00F56CD0" w:rsidRDefault="00F56CD0" w:rsidP="00943F01">
            <w:pPr>
              <w:pStyle w:val="BodyText"/>
              <w:jc w:val="both"/>
              <w:rPr>
                <w:bCs/>
                <w:sz w:val="20"/>
                <w:szCs w:val="20"/>
              </w:rPr>
            </w:pPr>
            <w:r w:rsidRPr="00F56CD0">
              <w:rPr>
                <w:bCs/>
                <w:sz w:val="20"/>
                <w:szCs w:val="20"/>
              </w:rPr>
              <w:t xml:space="preserve">Pennine Lancashire wish to commission a Provider to deliver </w:t>
            </w:r>
            <w:r w:rsidR="00695915">
              <w:rPr>
                <w:bCs/>
                <w:sz w:val="20"/>
                <w:szCs w:val="20"/>
              </w:rPr>
              <w:t>DEXA</w:t>
            </w:r>
            <w:r w:rsidRPr="00F56CD0">
              <w:rPr>
                <w:bCs/>
                <w:sz w:val="20"/>
                <w:szCs w:val="20"/>
              </w:rPr>
              <w:t xml:space="preserve"> scanning services for patients registered with an East Lancashire or Blackburn with Darwen GP.</w:t>
            </w:r>
          </w:p>
          <w:p w:rsidR="00F56CD0" w:rsidRPr="00A440A0" w:rsidRDefault="00F56CD0" w:rsidP="00943F01">
            <w:pPr>
              <w:pStyle w:val="BodyText"/>
              <w:jc w:val="both"/>
              <w:rPr>
                <w:b/>
                <w:bCs/>
                <w:sz w:val="20"/>
                <w:szCs w:val="20"/>
              </w:rPr>
            </w:pPr>
          </w:p>
          <w:p w:rsidR="008C4500" w:rsidRDefault="00985C92" w:rsidP="00147309">
            <w:pPr>
              <w:jc w:val="both"/>
              <w:rPr>
                <w:rFonts w:ascii="Arial Bold" w:hAnsi="Arial Bold" w:cs="Arial Bold"/>
                <w:b/>
                <w:bCs/>
                <w:color w:val="339966"/>
                <w:sz w:val="20"/>
                <w:szCs w:val="20"/>
              </w:rPr>
            </w:pPr>
            <w:r>
              <w:rPr>
                <w:rFonts w:ascii="Arial Bold" w:hAnsi="Arial Bold" w:cs="Arial Bold"/>
                <w:b/>
                <w:bCs/>
                <w:color w:val="339966"/>
                <w:sz w:val="20"/>
                <w:szCs w:val="20"/>
              </w:rPr>
              <w:t>3</w:t>
            </w:r>
            <w:r w:rsidR="008C4500">
              <w:rPr>
                <w:rFonts w:ascii="Arial Bold" w:hAnsi="Arial Bold" w:cs="Arial Bold"/>
                <w:b/>
                <w:bCs/>
                <w:color w:val="339966"/>
                <w:sz w:val="20"/>
                <w:szCs w:val="20"/>
              </w:rPr>
              <w:t>.1 Aims and objectives of service</w:t>
            </w:r>
          </w:p>
          <w:p w:rsidR="00BD21A4" w:rsidRDefault="00BD21A4" w:rsidP="00147309">
            <w:pPr>
              <w:jc w:val="both"/>
              <w:rPr>
                <w:rFonts w:ascii="Arial Bold" w:hAnsi="Arial Bold" w:cs="Arial Bold"/>
                <w:b/>
                <w:bCs/>
                <w:color w:val="339966"/>
                <w:sz w:val="20"/>
                <w:szCs w:val="20"/>
              </w:rPr>
            </w:pPr>
          </w:p>
          <w:p w:rsidR="00BD21A4" w:rsidRPr="00BD21A4" w:rsidRDefault="009C35DF" w:rsidP="00244EE1">
            <w:pPr>
              <w:numPr>
                <w:ilvl w:val="0"/>
                <w:numId w:val="4"/>
              </w:numPr>
              <w:jc w:val="both"/>
              <w:rPr>
                <w:rFonts w:ascii="Arial" w:hAnsi="Arial" w:cs="Arial"/>
                <w:bCs/>
                <w:sz w:val="20"/>
                <w:szCs w:val="20"/>
              </w:rPr>
            </w:pPr>
            <w:r>
              <w:rPr>
                <w:rFonts w:ascii="Arial" w:hAnsi="Arial" w:cs="Arial"/>
                <w:bCs/>
                <w:sz w:val="20"/>
                <w:szCs w:val="20"/>
              </w:rPr>
              <w:t>To provide</w:t>
            </w:r>
            <w:r w:rsidR="00DF16FB">
              <w:rPr>
                <w:rFonts w:ascii="Arial" w:hAnsi="Arial" w:cs="Arial"/>
                <w:bCs/>
                <w:sz w:val="20"/>
                <w:szCs w:val="20"/>
              </w:rPr>
              <w:t xml:space="preserve"> access to </w:t>
            </w:r>
            <w:r w:rsidR="00695915">
              <w:rPr>
                <w:rFonts w:ascii="Arial" w:hAnsi="Arial" w:cs="Arial"/>
                <w:bCs/>
                <w:sz w:val="20"/>
                <w:szCs w:val="20"/>
              </w:rPr>
              <w:t>DEXA</w:t>
            </w:r>
            <w:r w:rsidR="006A191E">
              <w:rPr>
                <w:rFonts w:ascii="Arial" w:hAnsi="Arial" w:cs="Arial"/>
                <w:bCs/>
                <w:sz w:val="20"/>
                <w:szCs w:val="20"/>
              </w:rPr>
              <w:t xml:space="preserve"> scan service</w:t>
            </w:r>
            <w:r w:rsidR="00BD21A4" w:rsidRPr="00BD21A4">
              <w:rPr>
                <w:rFonts w:ascii="Arial" w:hAnsi="Arial" w:cs="Arial"/>
                <w:bCs/>
                <w:sz w:val="20"/>
                <w:szCs w:val="20"/>
              </w:rPr>
              <w:t xml:space="preserve"> as part of a wider elective care reform programme to help reduce waiting times in </w:t>
            </w:r>
            <w:r w:rsidR="006A191E">
              <w:rPr>
                <w:rFonts w:ascii="Arial" w:hAnsi="Arial" w:cs="Arial"/>
                <w:bCs/>
                <w:sz w:val="20"/>
                <w:szCs w:val="20"/>
              </w:rPr>
              <w:t xml:space="preserve">primary and </w:t>
            </w:r>
            <w:r w:rsidR="00BD21A4" w:rsidRPr="00BD21A4">
              <w:rPr>
                <w:rFonts w:ascii="Arial" w:hAnsi="Arial" w:cs="Arial"/>
                <w:bCs/>
                <w:sz w:val="20"/>
                <w:szCs w:val="20"/>
              </w:rPr>
              <w:t>secondary care.</w:t>
            </w:r>
          </w:p>
          <w:p w:rsidR="00BD21A4" w:rsidRPr="00BD21A4" w:rsidRDefault="00BD21A4" w:rsidP="00147309">
            <w:pPr>
              <w:jc w:val="both"/>
              <w:rPr>
                <w:rFonts w:ascii="Arial" w:hAnsi="Arial" w:cs="Arial"/>
                <w:bCs/>
                <w:sz w:val="20"/>
                <w:szCs w:val="20"/>
              </w:rPr>
            </w:pPr>
          </w:p>
          <w:p w:rsidR="00BD21A4" w:rsidRPr="00BD21A4" w:rsidRDefault="00BD21A4" w:rsidP="00244EE1">
            <w:pPr>
              <w:numPr>
                <w:ilvl w:val="0"/>
                <w:numId w:val="3"/>
              </w:numPr>
              <w:jc w:val="both"/>
              <w:rPr>
                <w:rFonts w:ascii="Arial" w:hAnsi="Arial" w:cs="Arial"/>
                <w:bCs/>
                <w:sz w:val="20"/>
                <w:szCs w:val="20"/>
              </w:rPr>
            </w:pPr>
            <w:r w:rsidRPr="00BD21A4">
              <w:rPr>
                <w:rFonts w:ascii="Arial" w:hAnsi="Arial" w:cs="Arial"/>
                <w:bCs/>
                <w:sz w:val="20"/>
                <w:szCs w:val="20"/>
              </w:rPr>
              <w:t xml:space="preserve">To provide an equitable service that undertakes the receipt of referrals and reports </w:t>
            </w:r>
            <w:r w:rsidR="00695915">
              <w:rPr>
                <w:rFonts w:ascii="Arial" w:hAnsi="Arial" w:cs="Arial"/>
                <w:bCs/>
                <w:sz w:val="20"/>
                <w:szCs w:val="20"/>
              </w:rPr>
              <w:t>DEXA</w:t>
            </w:r>
            <w:r w:rsidRPr="00BD21A4">
              <w:rPr>
                <w:rFonts w:ascii="Arial" w:hAnsi="Arial" w:cs="Arial"/>
                <w:bCs/>
                <w:sz w:val="20"/>
                <w:szCs w:val="20"/>
              </w:rPr>
              <w:t xml:space="preserve"> scans of the </w:t>
            </w:r>
            <w:r w:rsidR="009C35DF">
              <w:rPr>
                <w:rFonts w:ascii="Arial" w:hAnsi="Arial" w:cs="Arial"/>
                <w:bCs/>
                <w:sz w:val="20"/>
                <w:szCs w:val="20"/>
              </w:rPr>
              <w:t>lumbar spine and proximal femur.</w:t>
            </w:r>
          </w:p>
          <w:p w:rsidR="00BD21A4" w:rsidRPr="00BD21A4" w:rsidRDefault="00BD21A4" w:rsidP="00147309">
            <w:pPr>
              <w:jc w:val="both"/>
              <w:rPr>
                <w:rFonts w:ascii="Arial" w:hAnsi="Arial" w:cs="Arial"/>
                <w:bCs/>
                <w:sz w:val="20"/>
                <w:szCs w:val="20"/>
              </w:rPr>
            </w:pPr>
          </w:p>
          <w:p w:rsidR="008C4500" w:rsidRPr="00BD21A4" w:rsidRDefault="00DF16FB" w:rsidP="00244EE1">
            <w:pPr>
              <w:numPr>
                <w:ilvl w:val="0"/>
                <w:numId w:val="2"/>
              </w:numPr>
              <w:jc w:val="both"/>
              <w:rPr>
                <w:rFonts w:ascii="Arial" w:hAnsi="Arial" w:cs="Arial"/>
                <w:bCs/>
                <w:sz w:val="20"/>
                <w:szCs w:val="20"/>
              </w:rPr>
            </w:pPr>
            <w:r>
              <w:rPr>
                <w:rFonts w:ascii="Arial" w:hAnsi="Arial" w:cs="Arial"/>
                <w:bCs/>
                <w:sz w:val="20"/>
                <w:szCs w:val="20"/>
              </w:rPr>
              <w:t>Maintain</w:t>
            </w:r>
            <w:r w:rsidR="00BD21A4" w:rsidRPr="00BD21A4">
              <w:rPr>
                <w:rFonts w:ascii="Arial" w:hAnsi="Arial" w:cs="Arial"/>
                <w:bCs/>
                <w:sz w:val="20"/>
                <w:szCs w:val="20"/>
              </w:rPr>
              <w:t xml:space="preserve"> scanning rates, to a level which is in line with recognised good practice for the identification and management of osteoporosis.</w:t>
            </w:r>
          </w:p>
          <w:p w:rsidR="008C4500" w:rsidRDefault="008C4500" w:rsidP="00147309">
            <w:pPr>
              <w:jc w:val="both"/>
              <w:rPr>
                <w:rFonts w:ascii="Arial Bold" w:hAnsi="Arial Bold" w:cs="Arial Bold"/>
                <w:b/>
                <w:bCs/>
                <w:color w:val="339966"/>
                <w:sz w:val="20"/>
                <w:szCs w:val="20"/>
              </w:rPr>
            </w:pPr>
          </w:p>
          <w:p w:rsidR="00BD21A4" w:rsidRPr="00BD21A4" w:rsidRDefault="00BD21A4" w:rsidP="00147309">
            <w:pPr>
              <w:numPr>
                <w:ilvl w:val="0"/>
                <w:numId w:val="1"/>
              </w:numPr>
              <w:jc w:val="both"/>
              <w:rPr>
                <w:rFonts w:ascii="Arial" w:hAnsi="Arial" w:cs="Arial"/>
                <w:bCs/>
                <w:sz w:val="20"/>
                <w:szCs w:val="20"/>
              </w:rPr>
            </w:pPr>
            <w:r w:rsidRPr="00BD21A4">
              <w:rPr>
                <w:rFonts w:ascii="Arial" w:hAnsi="Arial" w:cs="Arial"/>
                <w:bCs/>
                <w:sz w:val="20"/>
                <w:szCs w:val="20"/>
              </w:rPr>
              <w:t xml:space="preserve">To provide high quality GP, primary care and acute sector, direct access to a diagnostic </w:t>
            </w:r>
            <w:r w:rsidR="00695915">
              <w:rPr>
                <w:rFonts w:ascii="Arial" w:hAnsi="Arial" w:cs="Arial"/>
                <w:bCs/>
                <w:sz w:val="20"/>
                <w:szCs w:val="20"/>
              </w:rPr>
              <w:t>DEXA</w:t>
            </w:r>
            <w:r w:rsidRPr="00BD21A4">
              <w:rPr>
                <w:rFonts w:ascii="Arial" w:hAnsi="Arial" w:cs="Arial"/>
                <w:bCs/>
                <w:sz w:val="20"/>
                <w:szCs w:val="20"/>
              </w:rPr>
              <w:t xml:space="preserve"> scanning service.</w:t>
            </w:r>
          </w:p>
          <w:p w:rsidR="00BD21A4" w:rsidRPr="00BD21A4" w:rsidRDefault="00BD21A4" w:rsidP="00147309">
            <w:pPr>
              <w:jc w:val="both"/>
              <w:rPr>
                <w:rFonts w:ascii="Arial" w:hAnsi="Arial" w:cs="Arial"/>
                <w:bCs/>
                <w:sz w:val="20"/>
                <w:szCs w:val="20"/>
              </w:rPr>
            </w:pPr>
          </w:p>
          <w:p w:rsidR="00BD21A4" w:rsidRPr="00BD21A4" w:rsidRDefault="00BD21A4" w:rsidP="00147309">
            <w:pPr>
              <w:numPr>
                <w:ilvl w:val="0"/>
                <w:numId w:val="1"/>
              </w:numPr>
              <w:jc w:val="both"/>
              <w:rPr>
                <w:rFonts w:ascii="Arial" w:hAnsi="Arial" w:cs="Arial"/>
                <w:bCs/>
                <w:sz w:val="20"/>
                <w:szCs w:val="20"/>
              </w:rPr>
            </w:pPr>
            <w:r w:rsidRPr="00BD21A4">
              <w:rPr>
                <w:rFonts w:ascii="Arial" w:hAnsi="Arial" w:cs="Arial"/>
                <w:bCs/>
                <w:sz w:val="20"/>
                <w:szCs w:val="20"/>
              </w:rPr>
              <w:t>To provide a clear</w:t>
            </w:r>
            <w:r w:rsidR="009C35DF">
              <w:rPr>
                <w:rFonts w:ascii="Arial" w:hAnsi="Arial" w:cs="Arial"/>
                <w:bCs/>
                <w:sz w:val="20"/>
                <w:szCs w:val="20"/>
              </w:rPr>
              <w:t xml:space="preserve">, determined, </w:t>
            </w:r>
            <w:r w:rsidRPr="00BD21A4">
              <w:rPr>
                <w:rFonts w:ascii="Arial" w:hAnsi="Arial" w:cs="Arial"/>
                <w:bCs/>
                <w:sz w:val="20"/>
                <w:szCs w:val="20"/>
              </w:rPr>
              <w:t>agreed treatment pathway for the patients, for use by referrers, and to ensure patients move smoothly through the pathway.</w:t>
            </w:r>
          </w:p>
          <w:p w:rsidR="00BD21A4" w:rsidRPr="00BD21A4" w:rsidRDefault="00BD21A4" w:rsidP="00147309">
            <w:pPr>
              <w:jc w:val="both"/>
              <w:rPr>
                <w:rFonts w:ascii="Arial" w:hAnsi="Arial" w:cs="Arial"/>
                <w:bCs/>
                <w:sz w:val="20"/>
                <w:szCs w:val="20"/>
              </w:rPr>
            </w:pPr>
          </w:p>
          <w:p w:rsidR="00BD21A4" w:rsidRPr="00BD21A4" w:rsidRDefault="00BD21A4" w:rsidP="00147309">
            <w:pPr>
              <w:numPr>
                <w:ilvl w:val="0"/>
                <w:numId w:val="1"/>
              </w:numPr>
              <w:jc w:val="both"/>
              <w:rPr>
                <w:rFonts w:ascii="Arial" w:hAnsi="Arial" w:cs="Arial"/>
                <w:bCs/>
                <w:sz w:val="20"/>
                <w:szCs w:val="20"/>
              </w:rPr>
            </w:pPr>
            <w:r w:rsidRPr="00BD21A4">
              <w:rPr>
                <w:rFonts w:ascii="Arial" w:hAnsi="Arial" w:cs="Arial"/>
                <w:bCs/>
                <w:sz w:val="20"/>
                <w:szCs w:val="20"/>
              </w:rPr>
              <w:t xml:space="preserve">Support the onward management of patients.  </w:t>
            </w:r>
          </w:p>
          <w:p w:rsidR="00BD21A4" w:rsidRPr="00BD21A4" w:rsidRDefault="00BD21A4" w:rsidP="00147309">
            <w:pPr>
              <w:jc w:val="both"/>
              <w:rPr>
                <w:rFonts w:ascii="Arial" w:hAnsi="Arial" w:cs="Arial"/>
                <w:bCs/>
                <w:sz w:val="20"/>
                <w:szCs w:val="20"/>
              </w:rPr>
            </w:pPr>
          </w:p>
          <w:p w:rsidR="00BD21A4" w:rsidRPr="00DB6AFD" w:rsidRDefault="00DB6AFD" w:rsidP="00147309">
            <w:pPr>
              <w:numPr>
                <w:ilvl w:val="0"/>
                <w:numId w:val="1"/>
              </w:numPr>
              <w:jc w:val="both"/>
              <w:rPr>
                <w:rFonts w:ascii="Arial" w:hAnsi="Arial" w:cs="Arial"/>
                <w:bCs/>
                <w:sz w:val="20"/>
                <w:szCs w:val="20"/>
              </w:rPr>
            </w:pPr>
            <w:r w:rsidRPr="00DB6AFD">
              <w:rPr>
                <w:rFonts w:ascii="Arial" w:hAnsi="Arial" w:cs="Arial"/>
                <w:bCs/>
                <w:sz w:val="20"/>
                <w:szCs w:val="20"/>
              </w:rPr>
              <w:t>Maintain</w:t>
            </w:r>
            <w:r w:rsidR="00BD21A4" w:rsidRPr="00DB6AFD">
              <w:rPr>
                <w:rFonts w:ascii="Arial" w:hAnsi="Arial" w:cs="Arial"/>
                <w:bCs/>
                <w:sz w:val="20"/>
                <w:szCs w:val="20"/>
              </w:rPr>
              <w:t xml:space="preserve"> </w:t>
            </w:r>
            <w:r w:rsidR="00695915">
              <w:rPr>
                <w:rFonts w:ascii="Arial" w:hAnsi="Arial" w:cs="Arial"/>
                <w:bCs/>
                <w:sz w:val="20"/>
                <w:szCs w:val="20"/>
              </w:rPr>
              <w:t>DEXA</w:t>
            </w:r>
            <w:r w:rsidR="00BD21A4" w:rsidRPr="00DB6AFD">
              <w:rPr>
                <w:rFonts w:ascii="Arial" w:hAnsi="Arial" w:cs="Arial"/>
                <w:bCs/>
                <w:sz w:val="20"/>
                <w:szCs w:val="20"/>
              </w:rPr>
              <w:t xml:space="preserve"> scanning capacity within the local health economy, to accommodate </w:t>
            </w:r>
            <w:r w:rsidR="004B7F47">
              <w:rPr>
                <w:rFonts w:ascii="Arial" w:hAnsi="Arial" w:cs="Arial"/>
                <w:bCs/>
                <w:sz w:val="20"/>
                <w:szCs w:val="20"/>
              </w:rPr>
              <w:t xml:space="preserve">any </w:t>
            </w:r>
            <w:r w:rsidR="00BD21A4" w:rsidRPr="00DB6AFD">
              <w:rPr>
                <w:rFonts w:ascii="Arial" w:hAnsi="Arial" w:cs="Arial"/>
                <w:bCs/>
                <w:sz w:val="20"/>
                <w:szCs w:val="20"/>
              </w:rPr>
              <w:t>anticipated increases in scanning rates.</w:t>
            </w:r>
          </w:p>
          <w:p w:rsidR="00BD21A4" w:rsidRPr="00BD21A4" w:rsidRDefault="00BD21A4" w:rsidP="00147309">
            <w:pPr>
              <w:jc w:val="both"/>
              <w:rPr>
                <w:rFonts w:ascii="Arial" w:hAnsi="Arial" w:cs="Arial"/>
                <w:bCs/>
                <w:sz w:val="20"/>
                <w:szCs w:val="20"/>
              </w:rPr>
            </w:pPr>
          </w:p>
          <w:p w:rsidR="00BD21A4" w:rsidRPr="00BD21A4" w:rsidRDefault="004B7F47" w:rsidP="00147309">
            <w:pPr>
              <w:numPr>
                <w:ilvl w:val="0"/>
                <w:numId w:val="1"/>
              </w:numPr>
              <w:jc w:val="both"/>
              <w:rPr>
                <w:rFonts w:ascii="Arial" w:hAnsi="Arial" w:cs="Arial"/>
                <w:bCs/>
                <w:sz w:val="20"/>
                <w:szCs w:val="20"/>
              </w:rPr>
            </w:pPr>
            <w:r>
              <w:rPr>
                <w:rFonts w:ascii="Arial" w:hAnsi="Arial" w:cs="Arial"/>
                <w:bCs/>
                <w:sz w:val="20"/>
                <w:szCs w:val="20"/>
              </w:rPr>
              <w:t>E</w:t>
            </w:r>
            <w:r w:rsidR="00BD21A4" w:rsidRPr="00BD21A4">
              <w:rPr>
                <w:rFonts w:ascii="Arial" w:hAnsi="Arial" w:cs="Arial"/>
                <w:bCs/>
                <w:sz w:val="20"/>
                <w:szCs w:val="20"/>
              </w:rPr>
              <w:t>nsur</w:t>
            </w:r>
            <w:r>
              <w:rPr>
                <w:rFonts w:ascii="Arial" w:hAnsi="Arial" w:cs="Arial"/>
                <w:bCs/>
                <w:sz w:val="20"/>
                <w:szCs w:val="20"/>
              </w:rPr>
              <w:t>e</w:t>
            </w:r>
            <w:r w:rsidR="00BD21A4" w:rsidRPr="00BD21A4">
              <w:rPr>
                <w:rFonts w:ascii="Arial" w:hAnsi="Arial" w:cs="Arial"/>
                <w:bCs/>
                <w:sz w:val="20"/>
                <w:szCs w:val="20"/>
              </w:rPr>
              <w:t xml:space="preserve"> the service is </w:t>
            </w:r>
            <w:r>
              <w:rPr>
                <w:rFonts w:ascii="Arial" w:hAnsi="Arial" w:cs="Arial"/>
                <w:bCs/>
                <w:sz w:val="20"/>
                <w:szCs w:val="20"/>
              </w:rPr>
              <w:t>centrally located</w:t>
            </w:r>
            <w:r w:rsidR="00BD21A4" w:rsidRPr="00BD21A4">
              <w:rPr>
                <w:rFonts w:ascii="Arial" w:hAnsi="Arial" w:cs="Arial"/>
                <w:bCs/>
                <w:sz w:val="20"/>
                <w:szCs w:val="20"/>
              </w:rPr>
              <w:t xml:space="preserve"> </w:t>
            </w:r>
            <w:r>
              <w:rPr>
                <w:rFonts w:ascii="Arial" w:hAnsi="Arial" w:cs="Arial"/>
                <w:bCs/>
                <w:sz w:val="20"/>
                <w:szCs w:val="20"/>
              </w:rPr>
              <w:t>to serve the population of Pennine Lancashire</w:t>
            </w:r>
          </w:p>
          <w:p w:rsidR="00BD21A4" w:rsidRPr="00BD21A4" w:rsidRDefault="00BD21A4" w:rsidP="00147309">
            <w:pPr>
              <w:jc w:val="both"/>
              <w:rPr>
                <w:rFonts w:ascii="Arial" w:hAnsi="Arial" w:cs="Arial"/>
                <w:bCs/>
                <w:sz w:val="20"/>
                <w:szCs w:val="20"/>
              </w:rPr>
            </w:pPr>
          </w:p>
          <w:p w:rsidR="00BD21A4" w:rsidRPr="00BD21A4" w:rsidRDefault="009C35DF" w:rsidP="00147309">
            <w:pPr>
              <w:numPr>
                <w:ilvl w:val="0"/>
                <w:numId w:val="1"/>
              </w:numPr>
              <w:jc w:val="both"/>
              <w:rPr>
                <w:rFonts w:ascii="Arial" w:hAnsi="Arial" w:cs="Arial"/>
                <w:bCs/>
                <w:sz w:val="20"/>
                <w:szCs w:val="20"/>
              </w:rPr>
            </w:pPr>
            <w:r>
              <w:rPr>
                <w:rFonts w:ascii="Arial" w:hAnsi="Arial" w:cs="Arial"/>
                <w:bCs/>
                <w:sz w:val="20"/>
                <w:szCs w:val="20"/>
              </w:rPr>
              <w:t xml:space="preserve">Provide effective patient </w:t>
            </w:r>
            <w:r w:rsidR="00BD21A4" w:rsidRPr="00BD21A4">
              <w:rPr>
                <w:rFonts w:ascii="Arial" w:hAnsi="Arial" w:cs="Arial"/>
                <w:bCs/>
                <w:sz w:val="20"/>
                <w:szCs w:val="20"/>
              </w:rPr>
              <w:t>experience, by improving integration within a comprehensive falls service.</w:t>
            </w:r>
          </w:p>
          <w:p w:rsidR="00DF16FB" w:rsidRDefault="00DF16FB" w:rsidP="00147309">
            <w:pPr>
              <w:jc w:val="both"/>
              <w:rPr>
                <w:rFonts w:ascii="Arial" w:hAnsi="Arial" w:cs="Arial"/>
                <w:bCs/>
                <w:sz w:val="20"/>
                <w:szCs w:val="20"/>
              </w:rPr>
            </w:pPr>
          </w:p>
          <w:p w:rsidR="00BD21A4" w:rsidRPr="00BD21A4" w:rsidRDefault="009C35DF" w:rsidP="00147309">
            <w:pPr>
              <w:numPr>
                <w:ilvl w:val="0"/>
                <w:numId w:val="1"/>
              </w:numPr>
              <w:jc w:val="both"/>
              <w:rPr>
                <w:rFonts w:ascii="Arial" w:hAnsi="Arial" w:cs="Arial"/>
                <w:bCs/>
                <w:sz w:val="20"/>
                <w:szCs w:val="20"/>
              </w:rPr>
            </w:pPr>
            <w:r>
              <w:rPr>
                <w:rFonts w:ascii="Arial" w:hAnsi="Arial" w:cs="Arial"/>
                <w:bCs/>
                <w:sz w:val="20"/>
                <w:szCs w:val="20"/>
              </w:rPr>
              <w:t>Effective management</w:t>
            </w:r>
            <w:r w:rsidR="00BD21A4" w:rsidRPr="00BD21A4">
              <w:rPr>
                <w:rFonts w:ascii="Arial" w:hAnsi="Arial" w:cs="Arial"/>
                <w:bCs/>
                <w:sz w:val="20"/>
                <w:szCs w:val="20"/>
              </w:rPr>
              <w:t xml:space="preserve"> of resources by reducing unnecessary costs.</w:t>
            </w:r>
          </w:p>
          <w:p w:rsidR="00BD21A4" w:rsidRPr="00BD21A4" w:rsidRDefault="00BD21A4" w:rsidP="00147309">
            <w:pPr>
              <w:jc w:val="both"/>
              <w:rPr>
                <w:rFonts w:ascii="Arial" w:hAnsi="Arial" w:cs="Arial"/>
                <w:bCs/>
                <w:sz w:val="20"/>
                <w:szCs w:val="20"/>
              </w:rPr>
            </w:pPr>
          </w:p>
          <w:p w:rsidR="00BD21A4" w:rsidRPr="00BD21A4" w:rsidRDefault="009C35DF" w:rsidP="00147309">
            <w:pPr>
              <w:numPr>
                <w:ilvl w:val="0"/>
                <w:numId w:val="1"/>
              </w:numPr>
              <w:jc w:val="both"/>
              <w:rPr>
                <w:rFonts w:ascii="Arial" w:hAnsi="Arial" w:cs="Arial"/>
                <w:bCs/>
                <w:sz w:val="20"/>
                <w:szCs w:val="20"/>
              </w:rPr>
            </w:pPr>
            <w:r>
              <w:rPr>
                <w:rFonts w:ascii="Arial" w:hAnsi="Arial" w:cs="Arial"/>
                <w:bCs/>
                <w:sz w:val="20"/>
                <w:szCs w:val="20"/>
              </w:rPr>
              <w:t>Provide safe, high quality care, which is managed/monitored.</w:t>
            </w:r>
          </w:p>
          <w:p w:rsidR="00BD21A4" w:rsidRPr="00BD21A4" w:rsidRDefault="00BD21A4" w:rsidP="00147309">
            <w:pPr>
              <w:jc w:val="both"/>
              <w:rPr>
                <w:rFonts w:ascii="Arial" w:hAnsi="Arial" w:cs="Arial"/>
                <w:bCs/>
                <w:sz w:val="20"/>
                <w:szCs w:val="20"/>
              </w:rPr>
            </w:pPr>
          </w:p>
          <w:p w:rsidR="00BD21A4" w:rsidRDefault="00BD21A4" w:rsidP="00147309">
            <w:pPr>
              <w:numPr>
                <w:ilvl w:val="0"/>
                <w:numId w:val="1"/>
              </w:numPr>
              <w:jc w:val="both"/>
              <w:rPr>
                <w:rFonts w:ascii="Arial" w:hAnsi="Arial" w:cs="Arial"/>
                <w:bCs/>
                <w:sz w:val="20"/>
                <w:szCs w:val="20"/>
              </w:rPr>
            </w:pPr>
            <w:r w:rsidRPr="00BD21A4">
              <w:rPr>
                <w:rFonts w:ascii="Arial" w:hAnsi="Arial" w:cs="Arial"/>
                <w:bCs/>
                <w:sz w:val="20"/>
                <w:szCs w:val="20"/>
              </w:rPr>
              <w:t>To provide patient choice of appointment</w:t>
            </w:r>
          </w:p>
          <w:p w:rsidR="005052CB" w:rsidRDefault="005052CB" w:rsidP="005052CB">
            <w:pPr>
              <w:pStyle w:val="ListParagraph"/>
              <w:rPr>
                <w:bCs/>
                <w:sz w:val="20"/>
                <w:szCs w:val="20"/>
              </w:rPr>
            </w:pPr>
          </w:p>
          <w:p w:rsidR="005052CB" w:rsidRPr="00BD21A4" w:rsidRDefault="005052CB" w:rsidP="00147309">
            <w:pPr>
              <w:numPr>
                <w:ilvl w:val="0"/>
                <w:numId w:val="1"/>
              </w:numPr>
              <w:jc w:val="both"/>
              <w:rPr>
                <w:rFonts w:ascii="Arial" w:hAnsi="Arial" w:cs="Arial"/>
                <w:bCs/>
                <w:sz w:val="20"/>
                <w:szCs w:val="20"/>
              </w:rPr>
            </w:pPr>
            <w:r>
              <w:rPr>
                <w:rFonts w:ascii="Arial" w:hAnsi="Arial" w:cs="Arial"/>
                <w:bCs/>
                <w:sz w:val="20"/>
                <w:szCs w:val="20"/>
              </w:rPr>
              <w:t>The service must be available on the national choice menu via e-referrals</w:t>
            </w:r>
          </w:p>
          <w:p w:rsidR="00BD21A4" w:rsidRDefault="00BD21A4" w:rsidP="00147309">
            <w:pPr>
              <w:jc w:val="both"/>
              <w:rPr>
                <w:rFonts w:ascii="Arial Bold" w:hAnsi="Arial Bold" w:cs="Arial Bold"/>
                <w:b/>
                <w:bCs/>
                <w:color w:val="339966"/>
                <w:sz w:val="20"/>
                <w:szCs w:val="20"/>
              </w:rPr>
            </w:pPr>
          </w:p>
          <w:p w:rsidR="00BD21A4" w:rsidRPr="00F56CD0" w:rsidRDefault="00985C92" w:rsidP="00147309">
            <w:pPr>
              <w:jc w:val="both"/>
              <w:rPr>
                <w:rFonts w:ascii="Arial Bold" w:hAnsi="Arial Bold" w:cs="Arial Bold"/>
                <w:b/>
                <w:bCs/>
                <w:color w:val="339966"/>
                <w:sz w:val="20"/>
                <w:szCs w:val="20"/>
              </w:rPr>
            </w:pPr>
            <w:r>
              <w:rPr>
                <w:rFonts w:ascii="Arial Bold" w:hAnsi="Arial Bold" w:cs="Arial Bold"/>
                <w:b/>
                <w:bCs/>
                <w:color w:val="339966"/>
                <w:sz w:val="20"/>
                <w:szCs w:val="20"/>
              </w:rPr>
              <w:t>3</w:t>
            </w:r>
            <w:r w:rsidR="008C4500" w:rsidRPr="0048231D">
              <w:rPr>
                <w:rFonts w:ascii="Arial Bold" w:hAnsi="Arial Bold" w:cs="Arial Bold"/>
                <w:b/>
                <w:bCs/>
                <w:color w:val="339966"/>
                <w:sz w:val="20"/>
                <w:szCs w:val="20"/>
              </w:rPr>
              <w:t>.</w:t>
            </w:r>
            <w:r w:rsidR="008C4500">
              <w:rPr>
                <w:rFonts w:ascii="Arial Bold" w:hAnsi="Arial Bold" w:cs="Arial Bold"/>
                <w:b/>
                <w:bCs/>
                <w:color w:val="339966"/>
                <w:sz w:val="20"/>
                <w:szCs w:val="20"/>
              </w:rPr>
              <w:t>2</w:t>
            </w:r>
            <w:r w:rsidR="008C4500" w:rsidRPr="0048231D">
              <w:rPr>
                <w:rFonts w:ascii="Arial Bold" w:hAnsi="Arial Bold" w:cs="Arial Bold"/>
                <w:b/>
                <w:bCs/>
                <w:color w:val="339966"/>
                <w:sz w:val="20"/>
                <w:szCs w:val="20"/>
              </w:rPr>
              <w:t xml:space="preserve"> Service </w:t>
            </w:r>
            <w:r w:rsidR="008C4500">
              <w:rPr>
                <w:rFonts w:ascii="Arial Bold" w:hAnsi="Arial Bold" w:cs="Arial Bold"/>
                <w:b/>
                <w:bCs/>
                <w:color w:val="339966"/>
                <w:sz w:val="20"/>
                <w:szCs w:val="20"/>
              </w:rPr>
              <w:t>d</w:t>
            </w:r>
            <w:r w:rsidR="008C4500" w:rsidRPr="0048231D">
              <w:rPr>
                <w:rFonts w:ascii="Arial Bold" w:hAnsi="Arial Bold" w:cs="Arial Bold"/>
                <w:b/>
                <w:bCs/>
                <w:color w:val="339966"/>
                <w:sz w:val="20"/>
                <w:szCs w:val="20"/>
              </w:rPr>
              <w:t>escription</w:t>
            </w:r>
            <w:r w:rsidR="00F56CD0">
              <w:rPr>
                <w:rFonts w:ascii="Arial Bold" w:hAnsi="Arial Bold" w:cs="Arial Bold"/>
                <w:b/>
                <w:bCs/>
                <w:color w:val="339966"/>
                <w:sz w:val="20"/>
                <w:szCs w:val="20"/>
              </w:rPr>
              <w:t>/care pathway</w:t>
            </w:r>
          </w:p>
          <w:p w:rsidR="00477CDD" w:rsidRDefault="00F56CD0" w:rsidP="00147309">
            <w:pPr>
              <w:jc w:val="both"/>
              <w:rPr>
                <w:rFonts w:ascii="Arial" w:hAnsi="Arial" w:cs="Arial"/>
                <w:b/>
                <w:bCs/>
                <w:sz w:val="20"/>
                <w:szCs w:val="20"/>
              </w:rPr>
            </w:pPr>
            <w:r>
              <w:rPr>
                <w:rFonts w:ascii="Arial" w:hAnsi="Arial" w:cs="Arial"/>
                <w:b/>
                <w:bCs/>
                <w:sz w:val="20"/>
                <w:szCs w:val="20"/>
              </w:rPr>
              <w:t xml:space="preserve">3.2.1 </w:t>
            </w:r>
            <w:r w:rsidR="004823F6">
              <w:rPr>
                <w:rFonts w:ascii="Arial" w:hAnsi="Arial" w:cs="Arial"/>
                <w:b/>
                <w:bCs/>
                <w:sz w:val="20"/>
                <w:szCs w:val="20"/>
              </w:rPr>
              <w:t>Activity</w:t>
            </w:r>
          </w:p>
          <w:p w:rsidR="009227AA" w:rsidRPr="009227AA" w:rsidRDefault="007912A3" w:rsidP="009227AA">
            <w:pPr>
              <w:jc w:val="both"/>
              <w:rPr>
                <w:rFonts w:ascii="Arial" w:hAnsi="Arial" w:cs="Arial"/>
                <w:bCs/>
                <w:sz w:val="20"/>
                <w:szCs w:val="20"/>
              </w:rPr>
            </w:pPr>
            <w:r>
              <w:rPr>
                <w:rFonts w:ascii="Arial" w:hAnsi="Arial" w:cs="Arial"/>
                <w:bCs/>
                <w:sz w:val="20"/>
                <w:szCs w:val="20"/>
              </w:rPr>
              <w:t>The contract offered will</w:t>
            </w:r>
            <w:r w:rsidR="009227AA" w:rsidRPr="009227AA">
              <w:rPr>
                <w:rFonts w:ascii="Arial" w:hAnsi="Arial" w:cs="Arial"/>
                <w:bCs/>
                <w:sz w:val="20"/>
                <w:szCs w:val="20"/>
              </w:rPr>
              <w:t xml:space="preserve"> be a ‘pay as you go contract’ with no guaranteed income to the Provider. </w:t>
            </w:r>
          </w:p>
          <w:p w:rsidR="009227AA" w:rsidRDefault="009227AA" w:rsidP="009227AA">
            <w:pPr>
              <w:jc w:val="both"/>
              <w:rPr>
                <w:rFonts w:ascii="Arial" w:hAnsi="Arial" w:cs="Arial"/>
                <w:bCs/>
                <w:sz w:val="20"/>
                <w:szCs w:val="20"/>
              </w:rPr>
            </w:pPr>
          </w:p>
          <w:p w:rsidR="007912A3" w:rsidRDefault="007912A3" w:rsidP="009227AA">
            <w:pPr>
              <w:jc w:val="both"/>
              <w:rPr>
                <w:rFonts w:ascii="Arial" w:hAnsi="Arial" w:cs="Arial"/>
                <w:bCs/>
                <w:sz w:val="20"/>
                <w:szCs w:val="20"/>
              </w:rPr>
            </w:pPr>
            <w:r w:rsidRPr="007912A3">
              <w:rPr>
                <w:rFonts w:ascii="Arial" w:hAnsi="Arial" w:cs="Arial"/>
                <w:bCs/>
                <w:sz w:val="20"/>
                <w:szCs w:val="20"/>
              </w:rPr>
              <w:t xml:space="preserve">Note that any DNA appointments will not be chargeable to the CCG.  </w:t>
            </w:r>
          </w:p>
          <w:p w:rsidR="00D17F08" w:rsidRDefault="00D17F08" w:rsidP="009227AA">
            <w:pPr>
              <w:jc w:val="both"/>
              <w:rPr>
                <w:rFonts w:ascii="Arial" w:hAnsi="Arial" w:cs="Arial"/>
                <w:bCs/>
                <w:sz w:val="20"/>
                <w:szCs w:val="20"/>
              </w:rPr>
            </w:pPr>
          </w:p>
          <w:p w:rsidR="00D17F08" w:rsidRDefault="00D17F08" w:rsidP="009227AA">
            <w:pPr>
              <w:jc w:val="both"/>
              <w:rPr>
                <w:rFonts w:ascii="Arial" w:hAnsi="Arial" w:cs="Arial"/>
                <w:bCs/>
                <w:sz w:val="20"/>
                <w:szCs w:val="20"/>
              </w:rPr>
            </w:pPr>
            <w:r w:rsidRPr="00D17F08">
              <w:rPr>
                <w:rFonts w:ascii="Arial" w:hAnsi="Arial" w:cs="Arial"/>
                <w:bCs/>
                <w:sz w:val="20"/>
                <w:szCs w:val="20"/>
              </w:rPr>
              <w:t>Based on the last 12 months activity it is expected that the Provider will address the following activity:</w:t>
            </w:r>
          </w:p>
          <w:p w:rsidR="007912A3" w:rsidRPr="009227AA" w:rsidRDefault="007912A3" w:rsidP="009227AA">
            <w:pPr>
              <w:jc w:val="both"/>
              <w:rPr>
                <w:rFonts w:ascii="Arial" w:hAnsi="Arial" w:cs="Arial"/>
                <w:bCs/>
                <w:sz w:val="20"/>
                <w:szCs w:val="20"/>
              </w:rPr>
            </w:pPr>
          </w:p>
          <w:tbl>
            <w:tblPr>
              <w:tblStyle w:val="TableGrid"/>
              <w:tblW w:w="0" w:type="auto"/>
              <w:tblLook w:val="04A0" w:firstRow="1" w:lastRow="0" w:firstColumn="1" w:lastColumn="0" w:noHBand="0" w:noVBand="1"/>
            </w:tblPr>
            <w:tblGrid>
              <w:gridCol w:w="2194"/>
              <w:gridCol w:w="1984"/>
              <w:gridCol w:w="2552"/>
            </w:tblGrid>
            <w:tr w:rsidR="00FA3A9A" w:rsidTr="00FA3A9A">
              <w:tc>
                <w:tcPr>
                  <w:tcW w:w="2194" w:type="dxa"/>
                </w:tcPr>
                <w:p w:rsidR="00FA3A9A" w:rsidRPr="00FA3A9A" w:rsidRDefault="00FA3A9A" w:rsidP="00FB5292">
                  <w:pPr>
                    <w:jc w:val="both"/>
                    <w:rPr>
                      <w:rFonts w:ascii="Arial" w:hAnsi="Arial" w:cs="Arial"/>
                      <w:b/>
                      <w:sz w:val="20"/>
                      <w:szCs w:val="20"/>
                    </w:rPr>
                  </w:pPr>
                </w:p>
              </w:tc>
              <w:tc>
                <w:tcPr>
                  <w:tcW w:w="1984" w:type="dxa"/>
                </w:tcPr>
                <w:p w:rsidR="00FA3A9A" w:rsidRPr="00FA3A9A" w:rsidRDefault="00FA3A9A" w:rsidP="00FB5292">
                  <w:pPr>
                    <w:jc w:val="both"/>
                    <w:rPr>
                      <w:rFonts w:ascii="Arial" w:hAnsi="Arial" w:cs="Arial"/>
                      <w:b/>
                      <w:sz w:val="20"/>
                      <w:szCs w:val="20"/>
                    </w:rPr>
                  </w:pPr>
                  <w:r w:rsidRPr="00FA3A9A">
                    <w:rPr>
                      <w:rFonts w:ascii="Arial" w:hAnsi="Arial" w:cs="Arial"/>
                      <w:b/>
                      <w:sz w:val="20"/>
                      <w:szCs w:val="20"/>
                    </w:rPr>
                    <w:t>East Lancashire</w:t>
                  </w:r>
                </w:p>
              </w:tc>
              <w:tc>
                <w:tcPr>
                  <w:tcW w:w="2552" w:type="dxa"/>
                </w:tcPr>
                <w:p w:rsidR="00FA3A9A" w:rsidRPr="00FA3A9A" w:rsidRDefault="00FA3A9A" w:rsidP="00FB5292">
                  <w:pPr>
                    <w:jc w:val="both"/>
                    <w:rPr>
                      <w:rFonts w:ascii="Arial" w:hAnsi="Arial" w:cs="Arial"/>
                      <w:b/>
                      <w:sz w:val="20"/>
                      <w:szCs w:val="20"/>
                    </w:rPr>
                  </w:pPr>
                  <w:r w:rsidRPr="00FA3A9A">
                    <w:rPr>
                      <w:rFonts w:ascii="Arial" w:hAnsi="Arial" w:cs="Arial"/>
                      <w:b/>
                      <w:sz w:val="20"/>
                      <w:szCs w:val="20"/>
                    </w:rPr>
                    <w:t>Blackburn with Darwen</w:t>
                  </w:r>
                </w:p>
              </w:tc>
            </w:tr>
            <w:tr w:rsidR="00FA3A9A" w:rsidTr="00FA3A9A">
              <w:tc>
                <w:tcPr>
                  <w:tcW w:w="2194" w:type="dxa"/>
                </w:tcPr>
                <w:p w:rsidR="00FA3A9A" w:rsidRPr="00FA3A9A" w:rsidRDefault="00FA3A9A" w:rsidP="00FB5292">
                  <w:pPr>
                    <w:jc w:val="both"/>
                    <w:rPr>
                      <w:rFonts w:ascii="Arial" w:hAnsi="Arial" w:cs="Arial"/>
                      <w:b/>
                      <w:sz w:val="20"/>
                      <w:szCs w:val="20"/>
                    </w:rPr>
                  </w:pPr>
                  <w:r w:rsidRPr="00FA3A9A">
                    <w:rPr>
                      <w:rFonts w:ascii="Arial" w:hAnsi="Arial" w:cs="Arial"/>
                      <w:b/>
                      <w:sz w:val="20"/>
                      <w:szCs w:val="20"/>
                    </w:rPr>
                    <w:t>Total Referrals</w:t>
                  </w:r>
                </w:p>
              </w:tc>
              <w:tc>
                <w:tcPr>
                  <w:tcW w:w="1984" w:type="dxa"/>
                </w:tcPr>
                <w:p w:rsidR="00FA3A9A" w:rsidRPr="00FA3A9A" w:rsidRDefault="00FA3A9A" w:rsidP="00FB5292">
                  <w:pPr>
                    <w:jc w:val="both"/>
                    <w:rPr>
                      <w:rFonts w:ascii="Arial" w:hAnsi="Arial" w:cs="Arial"/>
                      <w:sz w:val="20"/>
                      <w:szCs w:val="20"/>
                    </w:rPr>
                  </w:pPr>
                  <w:r w:rsidRPr="00FA3A9A">
                    <w:rPr>
                      <w:rFonts w:ascii="Arial" w:hAnsi="Arial" w:cs="Arial"/>
                      <w:sz w:val="20"/>
                      <w:szCs w:val="20"/>
                    </w:rPr>
                    <w:t>2437</w:t>
                  </w:r>
                </w:p>
              </w:tc>
              <w:tc>
                <w:tcPr>
                  <w:tcW w:w="2552" w:type="dxa"/>
                </w:tcPr>
                <w:p w:rsidR="00FA3A9A" w:rsidRPr="00FA3A9A" w:rsidRDefault="00FA3A9A" w:rsidP="00FB5292">
                  <w:pPr>
                    <w:jc w:val="both"/>
                    <w:rPr>
                      <w:rFonts w:ascii="Arial" w:hAnsi="Arial" w:cs="Arial"/>
                      <w:sz w:val="20"/>
                      <w:szCs w:val="20"/>
                    </w:rPr>
                  </w:pPr>
                  <w:r w:rsidRPr="00FA3A9A">
                    <w:rPr>
                      <w:rFonts w:ascii="Arial" w:hAnsi="Arial" w:cs="Arial"/>
                      <w:sz w:val="20"/>
                      <w:szCs w:val="20"/>
                    </w:rPr>
                    <w:t>699</w:t>
                  </w:r>
                </w:p>
              </w:tc>
            </w:tr>
            <w:tr w:rsidR="00FA3A9A" w:rsidRPr="00F1330F" w:rsidTr="00FA3A9A">
              <w:tc>
                <w:tcPr>
                  <w:tcW w:w="2194" w:type="dxa"/>
                </w:tcPr>
                <w:p w:rsidR="00FA3A9A" w:rsidRPr="00F1330F" w:rsidRDefault="00FA3A9A" w:rsidP="00FB5292">
                  <w:pPr>
                    <w:jc w:val="both"/>
                    <w:rPr>
                      <w:rFonts w:ascii="Arial" w:hAnsi="Arial" w:cs="Arial"/>
                      <w:b/>
                      <w:sz w:val="20"/>
                      <w:szCs w:val="20"/>
                    </w:rPr>
                  </w:pPr>
                  <w:r w:rsidRPr="00F1330F">
                    <w:rPr>
                      <w:rFonts w:ascii="Arial" w:hAnsi="Arial" w:cs="Arial"/>
                      <w:b/>
                      <w:sz w:val="20"/>
                      <w:szCs w:val="20"/>
                    </w:rPr>
                    <w:t>Referrals returned</w:t>
                  </w:r>
                </w:p>
              </w:tc>
              <w:tc>
                <w:tcPr>
                  <w:tcW w:w="1984" w:type="dxa"/>
                </w:tcPr>
                <w:p w:rsidR="00FA3A9A" w:rsidRPr="00F1330F" w:rsidRDefault="00FA3A9A" w:rsidP="00FB5292">
                  <w:pPr>
                    <w:jc w:val="both"/>
                    <w:rPr>
                      <w:rFonts w:ascii="Arial" w:hAnsi="Arial" w:cs="Arial"/>
                      <w:sz w:val="20"/>
                      <w:szCs w:val="20"/>
                    </w:rPr>
                  </w:pPr>
                  <w:r w:rsidRPr="00F1330F">
                    <w:rPr>
                      <w:rFonts w:ascii="Arial" w:hAnsi="Arial" w:cs="Arial"/>
                      <w:sz w:val="20"/>
                      <w:szCs w:val="20"/>
                    </w:rPr>
                    <w:t>207</w:t>
                  </w:r>
                </w:p>
              </w:tc>
              <w:tc>
                <w:tcPr>
                  <w:tcW w:w="2552" w:type="dxa"/>
                </w:tcPr>
                <w:p w:rsidR="00FA3A9A" w:rsidRPr="00F1330F" w:rsidRDefault="00FA3A9A" w:rsidP="00FB5292">
                  <w:pPr>
                    <w:jc w:val="both"/>
                    <w:rPr>
                      <w:rFonts w:ascii="Arial" w:hAnsi="Arial" w:cs="Arial"/>
                      <w:sz w:val="20"/>
                      <w:szCs w:val="20"/>
                    </w:rPr>
                  </w:pPr>
                  <w:r w:rsidRPr="00F1330F">
                    <w:rPr>
                      <w:rFonts w:ascii="Arial" w:hAnsi="Arial" w:cs="Arial"/>
                      <w:sz w:val="20"/>
                      <w:szCs w:val="20"/>
                    </w:rPr>
                    <w:t>68</w:t>
                  </w:r>
                </w:p>
              </w:tc>
            </w:tr>
            <w:tr w:rsidR="00FA3A9A" w:rsidRPr="00F1330F" w:rsidTr="00FA3A9A">
              <w:tc>
                <w:tcPr>
                  <w:tcW w:w="2194" w:type="dxa"/>
                </w:tcPr>
                <w:p w:rsidR="00FA3A9A" w:rsidRPr="00F1330F" w:rsidRDefault="00FA3A9A" w:rsidP="00FB5292">
                  <w:pPr>
                    <w:jc w:val="both"/>
                    <w:rPr>
                      <w:rFonts w:ascii="Arial" w:hAnsi="Arial" w:cs="Arial"/>
                      <w:b/>
                      <w:sz w:val="20"/>
                      <w:szCs w:val="20"/>
                    </w:rPr>
                  </w:pPr>
                  <w:r w:rsidRPr="00F1330F">
                    <w:rPr>
                      <w:rFonts w:ascii="Arial" w:hAnsi="Arial" w:cs="Arial"/>
                      <w:b/>
                      <w:sz w:val="20"/>
                      <w:szCs w:val="20"/>
                    </w:rPr>
                    <w:t>DNAs</w:t>
                  </w:r>
                </w:p>
              </w:tc>
              <w:tc>
                <w:tcPr>
                  <w:tcW w:w="1984" w:type="dxa"/>
                </w:tcPr>
                <w:p w:rsidR="00FA3A9A" w:rsidRPr="00F1330F" w:rsidRDefault="00FA3A9A" w:rsidP="00FB5292">
                  <w:pPr>
                    <w:jc w:val="both"/>
                    <w:rPr>
                      <w:rFonts w:ascii="Arial" w:hAnsi="Arial" w:cs="Arial"/>
                      <w:sz w:val="20"/>
                      <w:szCs w:val="20"/>
                    </w:rPr>
                  </w:pPr>
                  <w:r w:rsidRPr="00F1330F">
                    <w:rPr>
                      <w:rFonts w:ascii="Arial" w:hAnsi="Arial" w:cs="Arial"/>
                      <w:sz w:val="20"/>
                      <w:szCs w:val="20"/>
                    </w:rPr>
                    <w:t>222</w:t>
                  </w:r>
                </w:p>
              </w:tc>
              <w:tc>
                <w:tcPr>
                  <w:tcW w:w="2552" w:type="dxa"/>
                </w:tcPr>
                <w:p w:rsidR="00FA3A9A" w:rsidRPr="00F1330F" w:rsidRDefault="00FA3A9A" w:rsidP="00FB5292">
                  <w:pPr>
                    <w:jc w:val="both"/>
                    <w:rPr>
                      <w:rFonts w:ascii="Arial" w:hAnsi="Arial" w:cs="Arial"/>
                      <w:sz w:val="20"/>
                      <w:szCs w:val="20"/>
                    </w:rPr>
                  </w:pPr>
                  <w:r w:rsidRPr="00F1330F">
                    <w:rPr>
                      <w:rFonts w:ascii="Arial" w:hAnsi="Arial" w:cs="Arial"/>
                      <w:sz w:val="20"/>
                      <w:szCs w:val="20"/>
                    </w:rPr>
                    <w:t>77</w:t>
                  </w:r>
                </w:p>
              </w:tc>
            </w:tr>
            <w:tr w:rsidR="00FA3A9A" w:rsidTr="00FA3A9A">
              <w:tc>
                <w:tcPr>
                  <w:tcW w:w="2194" w:type="dxa"/>
                </w:tcPr>
                <w:p w:rsidR="00FA3A9A" w:rsidRPr="00FA3A9A" w:rsidRDefault="00FA3A9A" w:rsidP="00FB5292">
                  <w:pPr>
                    <w:jc w:val="both"/>
                    <w:rPr>
                      <w:rFonts w:ascii="Arial" w:hAnsi="Arial" w:cs="Arial"/>
                      <w:b/>
                      <w:sz w:val="20"/>
                      <w:szCs w:val="20"/>
                    </w:rPr>
                  </w:pPr>
                  <w:r w:rsidRPr="00FA3A9A">
                    <w:rPr>
                      <w:rFonts w:ascii="Arial" w:hAnsi="Arial" w:cs="Arial"/>
                      <w:b/>
                      <w:sz w:val="20"/>
                      <w:szCs w:val="20"/>
                    </w:rPr>
                    <w:t>Total scanned</w:t>
                  </w:r>
                </w:p>
              </w:tc>
              <w:tc>
                <w:tcPr>
                  <w:tcW w:w="1984" w:type="dxa"/>
                </w:tcPr>
                <w:p w:rsidR="00FA3A9A" w:rsidRPr="00FA3A9A" w:rsidRDefault="00FA3A9A" w:rsidP="00FB5292">
                  <w:pPr>
                    <w:jc w:val="both"/>
                    <w:rPr>
                      <w:rFonts w:ascii="Arial" w:hAnsi="Arial" w:cs="Arial"/>
                      <w:sz w:val="20"/>
                      <w:szCs w:val="20"/>
                    </w:rPr>
                  </w:pPr>
                  <w:r w:rsidRPr="00FA3A9A">
                    <w:rPr>
                      <w:rFonts w:ascii="Arial" w:hAnsi="Arial" w:cs="Arial"/>
                      <w:sz w:val="20"/>
                      <w:szCs w:val="20"/>
                    </w:rPr>
                    <w:t>1767</w:t>
                  </w:r>
                </w:p>
              </w:tc>
              <w:tc>
                <w:tcPr>
                  <w:tcW w:w="2552" w:type="dxa"/>
                </w:tcPr>
                <w:p w:rsidR="00FA3A9A" w:rsidRPr="00FA3A9A" w:rsidRDefault="00FA3A9A" w:rsidP="00FB5292">
                  <w:pPr>
                    <w:jc w:val="both"/>
                    <w:rPr>
                      <w:rFonts w:ascii="Arial" w:hAnsi="Arial" w:cs="Arial"/>
                      <w:sz w:val="20"/>
                      <w:szCs w:val="20"/>
                    </w:rPr>
                  </w:pPr>
                  <w:r w:rsidRPr="00FA3A9A">
                    <w:rPr>
                      <w:rFonts w:ascii="Arial" w:hAnsi="Arial" w:cs="Arial"/>
                      <w:sz w:val="20"/>
                      <w:szCs w:val="20"/>
                    </w:rPr>
                    <w:t>568</w:t>
                  </w:r>
                </w:p>
              </w:tc>
            </w:tr>
          </w:tbl>
          <w:p w:rsidR="009227AA" w:rsidRPr="00D444EB" w:rsidRDefault="009227AA" w:rsidP="009227AA">
            <w:pPr>
              <w:jc w:val="both"/>
              <w:rPr>
                <w:rFonts w:ascii="Arial" w:hAnsi="Arial" w:cs="Arial"/>
                <w:bCs/>
                <w:sz w:val="20"/>
                <w:szCs w:val="20"/>
                <w:highlight w:val="yellow"/>
              </w:rPr>
            </w:pPr>
          </w:p>
          <w:p w:rsidR="004823F6" w:rsidRDefault="004823F6" w:rsidP="009227AA">
            <w:pPr>
              <w:jc w:val="both"/>
              <w:rPr>
                <w:rFonts w:ascii="Arial" w:hAnsi="Arial" w:cs="Arial"/>
                <w:bCs/>
                <w:sz w:val="20"/>
                <w:szCs w:val="20"/>
              </w:rPr>
            </w:pPr>
          </w:p>
          <w:p w:rsidR="004823F6" w:rsidRPr="004823F6" w:rsidRDefault="004823F6" w:rsidP="004823F6">
            <w:pPr>
              <w:jc w:val="both"/>
              <w:rPr>
                <w:rFonts w:ascii="Arial" w:hAnsi="Arial" w:cs="Arial"/>
                <w:bCs/>
                <w:sz w:val="20"/>
                <w:szCs w:val="20"/>
              </w:rPr>
            </w:pPr>
            <w:r w:rsidRPr="004823F6">
              <w:rPr>
                <w:rFonts w:ascii="Arial" w:hAnsi="Arial" w:cs="Arial"/>
                <w:bCs/>
                <w:sz w:val="20"/>
                <w:szCs w:val="20"/>
              </w:rPr>
              <w:t xml:space="preserve">Payment will be at an </w:t>
            </w:r>
            <w:r w:rsidRPr="00A57C7B">
              <w:rPr>
                <w:rFonts w:ascii="Arial" w:hAnsi="Arial" w:cs="Arial"/>
                <w:b/>
                <w:bCs/>
                <w:sz w:val="20"/>
                <w:szCs w:val="20"/>
                <w:u w:val="single"/>
              </w:rPr>
              <w:t>agreed single cost per case for a patient episode</w:t>
            </w:r>
            <w:r w:rsidRPr="00A57C7B">
              <w:rPr>
                <w:rFonts w:ascii="Arial" w:hAnsi="Arial" w:cs="Arial"/>
                <w:bCs/>
                <w:sz w:val="20"/>
                <w:szCs w:val="20"/>
              </w:rPr>
              <w:t>,</w:t>
            </w:r>
            <w:r w:rsidRPr="004823F6">
              <w:rPr>
                <w:rFonts w:ascii="Arial" w:hAnsi="Arial" w:cs="Arial"/>
                <w:bCs/>
                <w:sz w:val="20"/>
                <w:szCs w:val="20"/>
              </w:rPr>
              <w:t xml:space="preserve"> which would include the following items:</w:t>
            </w:r>
          </w:p>
          <w:p w:rsidR="004823F6" w:rsidRPr="004823F6" w:rsidRDefault="004823F6" w:rsidP="004823F6">
            <w:pPr>
              <w:jc w:val="both"/>
              <w:rPr>
                <w:rFonts w:ascii="Arial" w:hAnsi="Arial" w:cs="Arial"/>
                <w:bCs/>
                <w:sz w:val="20"/>
                <w:szCs w:val="20"/>
              </w:rPr>
            </w:pPr>
          </w:p>
          <w:p w:rsidR="004823F6" w:rsidRPr="004823F6" w:rsidRDefault="004823F6" w:rsidP="004823F6">
            <w:pPr>
              <w:jc w:val="both"/>
              <w:rPr>
                <w:rFonts w:ascii="Arial" w:hAnsi="Arial" w:cs="Arial"/>
                <w:bCs/>
                <w:sz w:val="20"/>
                <w:szCs w:val="20"/>
              </w:rPr>
            </w:pPr>
            <w:r w:rsidRPr="004823F6">
              <w:rPr>
                <w:rFonts w:ascii="Arial" w:hAnsi="Arial" w:cs="Arial"/>
                <w:bCs/>
                <w:sz w:val="20"/>
                <w:szCs w:val="20"/>
              </w:rPr>
              <w:t>•</w:t>
            </w:r>
            <w:r w:rsidRPr="004823F6">
              <w:rPr>
                <w:rFonts w:ascii="Arial" w:hAnsi="Arial" w:cs="Arial"/>
                <w:bCs/>
                <w:sz w:val="20"/>
                <w:szCs w:val="20"/>
              </w:rPr>
              <w:tab/>
              <w:t xml:space="preserve">Premises, staff, including reception </w:t>
            </w:r>
          </w:p>
          <w:p w:rsidR="004823F6" w:rsidRPr="004823F6" w:rsidRDefault="004823F6" w:rsidP="004823F6">
            <w:pPr>
              <w:jc w:val="both"/>
              <w:rPr>
                <w:rFonts w:ascii="Arial" w:hAnsi="Arial" w:cs="Arial"/>
                <w:bCs/>
                <w:sz w:val="20"/>
                <w:szCs w:val="20"/>
              </w:rPr>
            </w:pPr>
            <w:r w:rsidRPr="004823F6">
              <w:rPr>
                <w:rFonts w:ascii="Arial" w:hAnsi="Arial" w:cs="Arial"/>
                <w:bCs/>
                <w:sz w:val="20"/>
                <w:szCs w:val="20"/>
              </w:rPr>
              <w:t>•</w:t>
            </w:r>
            <w:r w:rsidRPr="004823F6">
              <w:rPr>
                <w:rFonts w:ascii="Arial" w:hAnsi="Arial" w:cs="Arial"/>
                <w:bCs/>
                <w:sz w:val="20"/>
                <w:szCs w:val="20"/>
              </w:rPr>
              <w:tab/>
              <w:t>Equipment</w:t>
            </w:r>
          </w:p>
          <w:p w:rsidR="004823F6" w:rsidRPr="004823F6" w:rsidRDefault="004823F6" w:rsidP="004823F6">
            <w:pPr>
              <w:jc w:val="both"/>
              <w:rPr>
                <w:rFonts w:ascii="Arial" w:hAnsi="Arial" w:cs="Arial"/>
                <w:bCs/>
                <w:sz w:val="20"/>
                <w:szCs w:val="20"/>
              </w:rPr>
            </w:pPr>
            <w:r w:rsidRPr="004823F6">
              <w:rPr>
                <w:rFonts w:ascii="Arial" w:hAnsi="Arial" w:cs="Arial"/>
                <w:bCs/>
                <w:sz w:val="20"/>
                <w:szCs w:val="20"/>
              </w:rPr>
              <w:t>•</w:t>
            </w:r>
            <w:r w:rsidRPr="004823F6">
              <w:rPr>
                <w:rFonts w:ascii="Arial" w:hAnsi="Arial" w:cs="Arial"/>
                <w:bCs/>
                <w:sz w:val="20"/>
                <w:szCs w:val="20"/>
              </w:rPr>
              <w:tab/>
              <w:t>Provision of language interpretation services</w:t>
            </w:r>
          </w:p>
          <w:p w:rsidR="004823F6" w:rsidRPr="004823F6" w:rsidRDefault="004823F6" w:rsidP="004823F6">
            <w:pPr>
              <w:jc w:val="both"/>
              <w:rPr>
                <w:rFonts w:ascii="Arial" w:hAnsi="Arial" w:cs="Arial"/>
                <w:bCs/>
                <w:sz w:val="20"/>
                <w:szCs w:val="20"/>
              </w:rPr>
            </w:pPr>
            <w:r w:rsidRPr="004823F6">
              <w:rPr>
                <w:rFonts w:ascii="Arial" w:hAnsi="Arial" w:cs="Arial"/>
                <w:bCs/>
                <w:sz w:val="20"/>
                <w:szCs w:val="20"/>
              </w:rPr>
              <w:t>•</w:t>
            </w:r>
            <w:r w:rsidRPr="004823F6">
              <w:rPr>
                <w:rFonts w:ascii="Arial" w:hAnsi="Arial" w:cs="Arial"/>
                <w:bCs/>
                <w:sz w:val="20"/>
                <w:szCs w:val="20"/>
              </w:rPr>
              <w:tab/>
              <w:t>Clinical validation of referral</w:t>
            </w:r>
          </w:p>
          <w:p w:rsidR="004823F6" w:rsidRPr="004823F6" w:rsidRDefault="004823F6" w:rsidP="004823F6">
            <w:pPr>
              <w:jc w:val="both"/>
              <w:rPr>
                <w:rFonts w:ascii="Arial" w:hAnsi="Arial" w:cs="Arial"/>
                <w:bCs/>
                <w:sz w:val="20"/>
                <w:szCs w:val="20"/>
              </w:rPr>
            </w:pPr>
            <w:r w:rsidRPr="004823F6">
              <w:rPr>
                <w:rFonts w:ascii="Arial" w:hAnsi="Arial" w:cs="Arial"/>
                <w:bCs/>
                <w:sz w:val="20"/>
                <w:szCs w:val="20"/>
              </w:rPr>
              <w:t>•</w:t>
            </w:r>
            <w:r w:rsidRPr="004823F6">
              <w:rPr>
                <w:rFonts w:ascii="Arial" w:hAnsi="Arial" w:cs="Arial"/>
                <w:bCs/>
                <w:sz w:val="20"/>
                <w:szCs w:val="20"/>
              </w:rPr>
              <w:tab/>
              <w:t>Scheduling and administrative costs</w:t>
            </w:r>
          </w:p>
          <w:p w:rsidR="004823F6" w:rsidRPr="004823F6" w:rsidRDefault="004823F6" w:rsidP="004823F6">
            <w:pPr>
              <w:jc w:val="both"/>
              <w:rPr>
                <w:rFonts w:ascii="Arial" w:hAnsi="Arial" w:cs="Arial"/>
                <w:bCs/>
                <w:sz w:val="20"/>
                <w:szCs w:val="20"/>
              </w:rPr>
            </w:pPr>
            <w:r w:rsidRPr="004823F6">
              <w:rPr>
                <w:rFonts w:ascii="Arial" w:hAnsi="Arial" w:cs="Arial"/>
                <w:bCs/>
                <w:sz w:val="20"/>
                <w:szCs w:val="20"/>
              </w:rPr>
              <w:t>•</w:t>
            </w:r>
            <w:r w:rsidRPr="004823F6">
              <w:rPr>
                <w:rFonts w:ascii="Arial" w:hAnsi="Arial" w:cs="Arial"/>
                <w:bCs/>
                <w:sz w:val="20"/>
                <w:szCs w:val="20"/>
              </w:rPr>
              <w:tab/>
            </w:r>
            <w:r w:rsidR="00695915">
              <w:rPr>
                <w:rFonts w:ascii="Arial" w:hAnsi="Arial" w:cs="Arial"/>
                <w:bCs/>
                <w:sz w:val="20"/>
                <w:szCs w:val="20"/>
              </w:rPr>
              <w:t>DEXA</w:t>
            </w:r>
            <w:r w:rsidRPr="004823F6">
              <w:rPr>
                <w:rFonts w:ascii="Arial" w:hAnsi="Arial" w:cs="Arial"/>
                <w:bCs/>
                <w:sz w:val="20"/>
                <w:szCs w:val="20"/>
              </w:rPr>
              <w:t xml:space="preserve"> Scanning</w:t>
            </w:r>
          </w:p>
          <w:p w:rsidR="004823F6" w:rsidRPr="004823F6" w:rsidRDefault="004823F6" w:rsidP="004823F6">
            <w:pPr>
              <w:jc w:val="both"/>
              <w:rPr>
                <w:rFonts w:ascii="Arial" w:hAnsi="Arial" w:cs="Arial"/>
                <w:bCs/>
                <w:sz w:val="20"/>
                <w:szCs w:val="20"/>
              </w:rPr>
            </w:pPr>
            <w:r w:rsidRPr="004823F6">
              <w:rPr>
                <w:rFonts w:ascii="Arial" w:hAnsi="Arial" w:cs="Arial"/>
                <w:bCs/>
                <w:sz w:val="20"/>
                <w:szCs w:val="20"/>
              </w:rPr>
              <w:t>•</w:t>
            </w:r>
            <w:r w:rsidRPr="004823F6">
              <w:rPr>
                <w:rFonts w:ascii="Arial" w:hAnsi="Arial" w:cs="Arial"/>
                <w:bCs/>
                <w:sz w:val="20"/>
                <w:szCs w:val="20"/>
              </w:rPr>
              <w:tab/>
              <w:t>Report</w:t>
            </w:r>
          </w:p>
          <w:p w:rsidR="004823F6" w:rsidRPr="004823F6" w:rsidRDefault="004823F6" w:rsidP="004823F6">
            <w:pPr>
              <w:jc w:val="both"/>
              <w:rPr>
                <w:rFonts w:ascii="Arial" w:hAnsi="Arial" w:cs="Arial"/>
                <w:bCs/>
                <w:sz w:val="20"/>
                <w:szCs w:val="20"/>
              </w:rPr>
            </w:pPr>
            <w:r w:rsidRPr="004823F6">
              <w:rPr>
                <w:rFonts w:ascii="Arial" w:hAnsi="Arial" w:cs="Arial"/>
                <w:bCs/>
                <w:sz w:val="20"/>
                <w:szCs w:val="20"/>
              </w:rPr>
              <w:t>•</w:t>
            </w:r>
            <w:r w:rsidRPr="004823F6">
              <w:rPr>
                <w:rFonts w:ascii="Arial" w:hAnsi="Arial" w:cs="Arial"/>
                <w:bCs/>
                <w:sz w:val="20"/>
                <w:szCs w:val="20"/>
              </w:rPr>
              <w:tab/>
              <w:t>Patient information/literature*</w:t>
            </w:r>
          </w:p>
          <w:p w:rsidR="004823F6" w:rsidRPr="004823F6" w:rsidRDefault="004823F6" w:rsidP="004823F6">
            <w:pPr>
              <w:jc w:val="both"/>
              <w:rPr>
                <w:rFonts w:ascii="Arial" w:hAnsi="Arial" w:cs="Arial"/>
                <w:bCs/>
                <w:sz w:val="20"/>
                <w:szCs w:val="20"/>
              </w:rPr>
            </w:pPr>
            <w:r w:rsidRPr="004823F6">
              <w:rPr>
                <w:rFonts w:ascii="Arial" w:hAnsi="Arial" w:cs="Arial"/>
                <w:bCs/>
                <w:sz w:val="20"/>
                <w:szCs w:val="20"/>
              </w:rPr>
              <w:t>•</w:t>
            </w:r>
            <w:r w:rsidRPr="004823F6">
              <w:rPr>
                <w:rFonts w:ascii="Arial" w:hAnsi="Arial" w:cs="Arial"/>
                <w:bCs/>
                <w:sz w:val="20"/>
                <w:szCs w:val="20"/>
              </w:rPr>
              <w:tab/>
              <w:t>Consumables</w:t>
            </w:r>
          </w:p>
          <w:p w:rsidR="004823F6" w:rsidRPr="004823F6" w:rsidRDefault="004823F6" w:rsidP="004823F6">
            <w:pPr>
              <w:jc w:val="both"/>
              <w:rPr>
                <w:rFonts w:ascii="Arial" w:hAnsi="Arial" w:cs="Arial"/>
                <w:bCs/>
                <w:sz w:val="20"/>
                <w:szCs w:val="20"/>
              </w:rPr>
            </w:pPr>
            <w:r w:rsidRPr="004823F6">
              <w:rPr>
                <w:rFonts w:ascii="Arial" w:hAnsi="Arial" w:cs="Arial"/>
                <w:bCs/>
                <w:sz w:val="20"/>
                <w:szCs w:val="20"/>
              </w:rPr>
              <w:t>•</w:t>
            </w:r>
            <w:r w:rsidRPr="004823F6">
              <w:rPr>
                <w:rFonts w:ascii="Arial" w:hAnsi="Arial" w:cs="Arial"/>
                <w:bCs/>
                <w:sz w:val="20"/>
                <w:szCs w:val="20"/>
              </w:rPr>
              <w:tab/>
              <w:t>Cost of re-</w:t>
            </w:r>
            <w:r w:rsidR="00077602">
              <w:rPr>
                <w:rFonts w:ascii="Arial" w:hAnsi="Arial" w:cs="Arial"/>
                <w:bCs/>
                <w:sz w:val="20"/>
                <w:szCs w:val="20"/>
              </w:rPr>
              <w:t>scan**</w:t>
            </w:r>
          </w:p>
          <w:p w:rsidR="004823F6" w:rsidRPr="004823F6" w:rsidRDefault="004823F6" w:rsidP="004823F6">
            <w:pPr>
              <w:jc w:val="both"/>
              <w:rPr>
                <w:rFonts w:ascii="Arial" w:hAnsi="Arial" w:cs="Arial"/>
                <w:bCs/>
                <w:sz w:val="20"/>
                <w:szCs w:val="20"/>
              </w:rPr>
            </w:pPr>
            <w:r w:rsidRPr="004823F6">
              <w:rPr>
                <w:rFonts w:ascii="Arial" w:hAnsi="Arial" w:cs="Arial"/>
                <w:bCs/>
                <w:sz w:val="20"/>
                <w:szCs w:val="20"/>
              </w:rPr>
              <w:t>•</w:t>
            </w:r>
            <w:r w:rsidRPr="004823F6">
              <w:rPr>
                <w:rFonts w:ascii="Arial" w:hAnsi="Arial" w:cs="Arial"/>
                <w:bCs/>
                <w:sz w:val="20"/>
                <w:szCs w:val="20"/>
              </w:rPr>
              <w:tab/>
              <w:t>Lifestyle guidance</w:t>
            </w:r>
          </w:p>
          <w:p w:rsidR="004823F6" w:rsidRPr="004823F6" w:rsidRDefault="004823F6" w:rsidP="004823F6">
            <w:pPr>
              <w:jc w:val="both"/>
              <w:rPr>
                <w:rFonts w:ascii="Arial" w:hAnsi="Arial" w:cs="Arial"/>
                <w:bCs/>
                <w:sz w:val="20"/>
                <w:szCs w:val="20"/>
              </w:rPr>
            </w:pPr>
          </w:p>
          <w:p w:rsidR="004823F6" w:rsidRPr="004823F6" w:rsidRDefault="004823F6" w:rsidP="004823F6">
            <w:pPr>
              <w:jc w:val="both"/>
              <w:rPr>
                <w:rFonts w:ascii="Arial" w:hAnsi="Arial" w:cs="Arial"/>
                <w:bCs/>
                <w:sz w:val="20"/>
                <w:szCs w:val="20"/>
              </w:rPr>
            </w:pPr>
            <w:r w:rsidRPr="004823F6">
              <w:rPr>
                <w:rFonts w:ascii="Arial" w:hAnsi="Arial" w:cs="Arial"/>
                <w:bCs/>
                <w:sz w:val="20"/>
                <w:szCs w:val="20"/>
              </w:rPr>
              <w:t xml:space="preserve">*Cost of patient information/literature regarding </w:t>
            </w:r>
            <w:r w:rsidR="00695915">
              <w:rPr>
                <w:rFonts w:ascii="Arial" w:hAnsi="Arial" w:cs="Arial"/>
                <w:bCs/>
                <w:sz w:val="20"/>
                <w:szCs w:val="20"/>
              </w:rPr>
              <w:t>DEXA</w:t>
            </w:r>
            <w:r w:rsidRPr="004823F6">
              <w:rPr>
                <w:rFonts w:ascii="Arial" w:hAnsi="Arial" w:cs="Arial"/>
                <w:bCs/>
                <w:sz w:val="20"/>
                <w:szCs w:val="20"/>
              </w:rPr>
              <w:t xml:space="preserve"> procedures, maps</w:t>
            </w:r>
            <w:r w:rsidR="007912A3">
              <w:rPr>
                <w:rFonts w:ascii="Arial" w:hAnsi="Arial" w:cs="Arial"/>
                <w:bCs/>
                <w:sz w:val="20"/>
                <w:szCs w:val="20"/>
              </w:rPr>
              <w:t>, self-care leaflets</w:t>
            </w:r>
            <w:r w:rsidRPr="004823F6">
              <w:rPr>
                <w:rFonts w:ascii="Arial" w:hAnsi="Arial" w:cs="Arial"/>
                <w:bCs/>
                <w:sz w:val="20"/>
                <w:szCs w:val="20"/>
              </w:rPr>
              <w:t xml:space="preserve">  </w:t>
            </w:r>
          </w:p>
          <w:p w:rsidR="004823F6" w:rsidRPr="004823F6" w:rsidRDefault="004823F6" w:rsidP="004823F6">
            <w:pPr>
              <w:jc w:val="both"/>
              <w:rPr>
                <w:rFonts w:ascii="Arial" w:hAnsi="Arial" w:cs="Arial"/>
                <w:bCs/>
                <w:sz w:val="20"/>
                <w:szCs w:val="20"/>
              </w:rPr>
            </w:pPr>
          </w:p>
          <w:p w:rsidR="004823F6" w:rsidRPr="004823F6" w:rsidRDefault="004823F6" w:rsidP="004823F6">
            <w:pPr>
              <w:jc w:val="both"/>
              <w:rPr>
                <w:rFonts w:ascii="Arial" w:hAnsi="Arial" w:cs="Arial"/>
                <w:bCs/>
                <w:sz w:val="20"/>
                <w:szCs w:val="20"/>
              </w:rPr>
            </w:pPr>
            <w:r w:rsidRPr="004823F6">
              <w:rPr>
                <w:rFonts w:ascii="Arial" w:hAnsi="Arial" w:cs="Arial"/>
                <w:bCs/>
                <w:sz w:val="20"/>
                <w:szCs w:val="20"/>
              </w:rPr>
              <w:t>**Re-scan costs would be met by the Provider in the event of machinery breakdown or administrative error resulting in the patient being given repeat appointments</w:t>
            </w:r>
          </w:p>
          <w:p w:rsidR="004823F6" w:rsidRPr="004823F6" w:rsidRDefault="004823F6" w:rsidP="004823F6">
            <w:pPr>
              <w:jc w:val="both"/>
              <w:rPr>
                <w:rFonts w:ascii="Arial" w:hAnsi="Arial" w:cs="Arial"/>
                <w:bCs/>
                <w:sz w:val="20"/>
                <w:szCs w:val="20"/>
              </w:rPr>
            </w:pPr>
            <w:r w:rsidRPr="004823F6">
              <w:rPr>
                <w:rFonts w:ascii="Arial" w:hAnsi="Arial" w:cs="Arial"/>
                <w:bCs/>
                <w:sz w:val="20"/>
                <w:szCs w:val="20"/>
              </w:rPr>
              <w:tab/>
            </w:r>
          </w:p>
          <w:p w:rsidR="004823F6" w:rsidRPr="009227AA" w:rsidRDefault="004823F6" w:rsidP="004823F6">
            <w:pPr>
              <w:jc w:val="both"/>
              <w:rPr>
                <w:rFonts w:ascii="Arial" w:hAnsi="Arial" w:cs="Arial"/>
                <w:bCs/>
                <w:sz w:val="20"/>
                <w:szCs w:val="20"/>
              </w:rPr>
            </w:pPr>
            <w:r w:rsidRPr="004823F6">
              <w:rPr>
                <w:rFonts w:ascii="Arial" w:hAnsi="Arial" w:cs="Arial"/>
                <w:bCs/>
                <w:sz w:val="20"/>
                <w:szCs w:val="20"/>
              </w:rPr>
              <w:t>The CCG will be contracting for a period of three y</w:t>
            </w:r>
            <w:r w:rsidR="00D444EB">
              <w:rPr>
                <w:rFonts w:ascii="Arial" w:hAnsi="Arial" w:cs="Arial"/>
                <w:bCs/>
                <w:sz w:val="20"/>
                <w:szCs w:val="20"/>
              </w:rPr>
              <w:t xml:space="preserve">ears with an option to extend for a further 2 years. </w:t>
            </w:r>
            <w:r w:rsidRPr="004823F6">
              <w:rPr>
                <w:rFonts w:ascii="Arial" w:hAnsi="Arial" w:cs="Arial"/>
                <w:bCs/>
                <w:sz w:val="20"/>
                <w:szCs w:val="20"/>
              </w:rPr>
              <w:t>The contract will be monitored quarterly. At month 27 a full review will take place and potentially renewed, based on need and previous performance.</w:t>
            </w:r>
          </w:p>
          <w:p w:rsidR="009227AA" w:rsidRPr="009227AA" w:rsidRDefault="009227AA" w:rsidP="009227AA">
            <w:pPr>
              <w:jc w:val="both"/>
              <w:rPr>
                <w:rFonts w:ascii="Arial" w:hAnsi="Arial" w:cs="Arial"/>
                <w:b/>
                <w:bCs/>
                <w:sz w:val="20"/>
                <w:szCs w:val="20"/>
              </w:rPr>
            </w:pP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 xml:space="preserve">The Provider </w:t>
            </w:r>
            <w:r w:rsidR="00533AC1">
              <w:rPr>
                <w:rFonts w:ascii="Arial" w:hAnsi="Arial" w:cs="Arial"/>
                <w:bCs/>
                <w:sz w:val="20"/>
                <w:szCs w:val="20"/>
              </w:rPr>
              <w:t>will</w:t>
            </w:r>
            <w:r w:rsidRPr="00477CDD">
              <w:rPr>
                <w:rFonts w:ascii="Arial" w:hAnsi="Arial" w:cs="Arial"/>
                <w:bCs/>
                <w:sz w:val="20"/>
                <w:szCs w:val="20"/>
              </w:rPr>
              <w:t xml:space="preserve"> strictly manage their capacity according to the commissioned number of scans each year.  There is a </w:t>
            </w:r>
            <w:r w:rsidR="00F1330F">
              <w:rPr>
                <w:rFonts w:ascii="Arial" w:hAnsi="Arial" w:cs="Arial"/>
                <w:bCs/>
                <w:sz w:val="20"/>
                <w:szCs w:val="20"/>
              </w:rPr>
              <w:t xml:space="preserve">financial </w:t>
            </w:r>
            <w:r w:rsidRPr="00477CDD">
              <w:rPr>
                <w:rFonts w:ascii="Arial" w:hAnsi="Arial" w:cs="Arial"/>
                <w:bCs/>
                <w:sz w:val="20"/>
                <w:szCs w:val="20"/>
              </w:rPr>
              <w:t xml:space="preserve">cap to the service and the Provider will manage their capacity according to demand.  The Provider should plan their </w:t>
            </w:r>
            <w:r w:rsidR="00695915">
              <w:rPr>
                <w:rFonts w:ascii="Arial" w:hAnsi="Arial" w:cs="Arial"/>
                <w:bCs/>
                <w:sz w:val="20"/>
                <w:szCs w:val="20"/>
              </w:rPr>
              <w:t>DEXA</w:t>
            </w:r>
            <w:r w:rsidRPr="00477CDD">
              <w:rPr>
                <w:rFonts w:ascii="Arial" w:hAnsi="Arial" w:cs="Arial"/>
                <w:bCs/>
                <w:sz w:val="20"/>
                <w:szCs w:val="20"/>
              </w:rPr>
              <w:t xml:space="preserve"> scanning schedules and patient slots taking into account the proportion o</w:t>
            </w:r>
            <w:r w:rsidR="009227AA">
              <w:rPr>
                <w:rFonts w:ascii="Arial" w:hAnsi="Arial" w:cs="Arial"/>
                <w:bCs/>
                <w:sz w:val="20"/>
                <w:szCs w:val="20"/>
              </w:rPr>
              <w:t>f the contract value by each CCG</w:t>
            </w:r>
            <w:r w:rsidR="000802CD">
              <w:rPr>
                <w:rFonts w:ascii="Arial" w:hAnsi="Arial" w:cs="Arial"/>
                <w:bCs/>
                <w:sz w:val="20"/>
                <w:szCs w:val="20"/>
              </w:rPr>
              <w:t xml:space="preserve"> (East Lancashire 80</w:t>
            </w:r>
            <w:r w:rsidR="00222228">
              <w:rPr>
                <w:rFonts w:ascii="Arial" w:hAnsi="Arial" w:cs="Arial"/>
                <w:bCs/>
                <w:sz w:val="20"/>
                <w:szCs w:val="20"/>
              </w:rPr>
              <w:t>% and Blackburn with Darwen 2</w:t>
            </w:r>
            <w:r w:rsidR="000802CD">
              <w:rPr>
                <w:rFonts w:ascii="Arial" w:hAnsi="Arial" w:cs="Arial"/>
                <w:bCs/>
                <w:sz w:val="20"/>
                <w:szCs w:val="20"/>
              </w:rPr>
              <w:t>0</w:t>
            </w:r>
            <w:r w:rsidRPr="00477CDD">
              <w:rPr>
                <w:rFonts w:ascii="Arial" w:hAnsi="Arial" w:cs="Arial"/>
                <w:bCs/>
                <w:sz w:val="20"/>
                <w:szCs w:val="20"/>
              </w:rPr>
              <w:t>%).</w:t>
            </w:r>
          </w:p>
          <w:p w:rsidR="004823F6" w:rsidRDefault="004823F6" w:rsidP="00147309">
            <w:pPr>
              <w:jc w:val="both"/>
              <w:rPr>
                <w:rFonts w:ascii="Arial" w:hAnsi="Arial" w:cs="Arial"/>
                <w:bCs/>
                <w:sz w:val="20"/>
                <w:szCs w:val="20"/>
              </w:rPr>
            </w:pPr>
          </w:p>
          <w:p w:rsidR="00B1233B" w:rsidRPr="00B1233B" w:rsidRDefault="00F56CD0" w:rsidP="00147309">
            <w:pPr>
              <w:jc w:val="both"/>
              <w:rPr>
                <w:rFonts w:ascii="Arial" w:hAnsi="Arial" w:cs="Arial"/>
                <w:b/>
                <w:bCs/>
                <w:sz w:val="20"/>
                <w:szCs w:val="20"/>
              </w:rPr>
            </w:pPr>
            <w:r>
              <w:rPr>
                <w:rFonts w:ascii="Arial" w:hAnsi="Arial" w:cs="Arial"/>
                <w:b/>
                <w:bCs/>
                <w:sz w:val="20"/>
                <w:szCs w:val="20"/>
              </w:rPr>
              <w:t>3.2.2</w:t>
            </w:r>
            <w:r w:rsidR="00B1233B">
              <w:rPr>
                <w:rFonts w:ascii="Arial" w:hAnsi="Arial" w:cs="Arial"/>
                <w:b/>
                <w:bCs/>
                <w:sz w:val="20"/>
                <w:szCs w:val="20"/>
              </w:rPr>
              <w:t xml:space="preserve"> Service Model</w:t>
            </w: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The Provider will supply all equipment necessary to carry out scans and produce reports.  The scanning machine(s) must meet, at least as a minimum, the specification equal to a Hologic 4500 scanner with morphometry.</w:t>
            </w:r>
          </w:p>
          <w:p w:rsidR="00BD21A4" w:rsidRPr="00BD21A4" w:rsidRDefault="00BD21A4" w:rsidP="00147309">
            <w:pPr>
              <w:jc w:val="both"/>
              <w:rPr>
                <w:rFonts w:ascii="Arial" w:hAnsi="Arial" w:cs="Arial"/>
                <w:bCs/>
                <w:sz w:val="20"/>
                <w:szCs w:val="20"/>
              </w:rPr>
            </w:pP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 xml:space="preserve">All equipment must be fit for purpose and must be capable of providing high resolution images. </w:t>
            </w:r>
          </w:p>
          <w:p w:rsidR="00BD21A4" w:rsidRPr="00BD21A4" w:rsidRDefault="00BD21A4" w:rsidP="00147309">
            <w:pPr>
              <w:jc w:val="both"/>
              <w:rPr>
                <w:rFonts w:ascii="Arial" w:hAnsi="Arial" w:cs="Arial"/>
                <w:bCs/>
                <w:sz w:val="20"/>
                <w:szCs w:val="20"/>
              </w:rPr>
            </w:pP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 xml:space="preserve">Providers will maximise the use of new innovations and technology where there is an evidence base. </w:t>
            </w:r>
          </w:p>
          <w:p w:rsidR="00BD21A4" w:rsidRPr="00BD21A4" w:rsidRDefault="00BD21A4" w:rsidP="00147309">
            <w:pPr>
              <w:jc w:val="both"/>
              <w:rPr>
                <w:rFonts w:ascii="Arial" w:hAnsi="Arial" w:cs="Arial"/>
                <w:bCs/>
                <w:sz w:val="20"/>
                <w:szCs w:val="20"/>
              </w:rPr>
            </w:pP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The maintenance, purchase, quality control and cross calibration with any pre-existing equipment and consumables necessary for the provision of the service will be the responsibility of the Provider and should conform to nationally recognised standards of health and safety and appropriate clinical standards.</w:t>
            </w:r>
          </w:p>
          <w:p w:rsidR="00BD21A4" w:rsidRPr="00BD21A4" w:rsidRDefault="00BD21A4" w:rsidP="00147309">
            <w:pPr>
              <w:jc w:val="both"/>
              <w:rPr>
                <w:rFonts w:ascii="Arial" w:hAnsi="Arial" w:cs="Arial"/>
                <w:bCs/>
                <w:sz w:val="20"/>
                <w:szCs w:val="20"/>
              </w:rPr>
            </w:pP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The Provider will be responsible for provision of reception services or where available contributing proportionate costs to existing reception services.</w:t>
            </w: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 xml:space="preserve"> </w:t>
            </w: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 xml:space="preserve">The Provider </w:t>
            </w:r>
            <w:r w:rsidR="00533AC1">
              <w:rPr>
                <w:rFonts w:ascii="Arial" w:hAnsi="Arial" w:cs="Arial"/>
                <w:bCs/>
                <w:sz w:val="20"/>
                <w:szCs w:val="20"/>
              </w:rPr>
              <w:t>must</w:t>
            </w:r>
            <w:r w:rsidR="00D17F08">
              <w:rPr>
                <w:rFonts w:ascii="Arial" w:hAnsi="Arial" w:cs="Arial"/>
                <w:bCs/>
                <w:sz w:val="20"/>
                <w:szCs w:val="20"/>
              </w:rPr>
              <w:t xml:space="preserve"> provide all consumables</w:t>
            </w:r>
            <w:r w:rsidRPr="00BD21A4">
              <w:rPr>
                <w:rFonts w:ascii="Arial" w:hAnsi="Arial" w:cs="Arial"/>
                <w:bCs/>
                <w:sz w:val="20"/>
                <w:szCs w:val="20"/>
              </w:rPr>
              <w:t xml:space="preserve"> required for the service.</w:t>
            </w:r>
          </w:p>
          <w:p w:rsidR="00BD21A4" w:rsidRPr="00BD21A4" w:rsidRDefault="00BD21A4" w:rsidP="00147309">
            <w:pPr>
              <w:jc w:val="both"/>
              <w:rPr>
                <w:rFonts w:ascii="Arial" w:hAnsi="Arial" w:cs="Arial"/>
                <w:bCs/>
                <w:sz w:val="20"/>
                <w:szCs w:val="20"/>
              </w:rPr>
            </w:pP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 xml:space="preserve">The Provider </w:t>
            </w:r>
            <w:r w:rsidR="00533AC1">
              <w:rPr>
                <w:rFonts w:ascii="Arial" w:hAnsi="Arial" w:cs="Arial"/>
                <w:bCs/>
                <w:sz w:val="20"/>
                <w:szCs w:val="20"/>
              </w:rPr>
              <w:t xml:space="preserve">must ensure that </w:t>
            </w:r>
            <w:r w:rsidR="00D17F08">
              <w:rPr>
                <w:rFonts w:ascii="Arial" w:hAnsi="Arial" w:cs="Arial"/>
                <w:bCs/>
                <w:sz w:val="20"/>
                <w:szCs w:val="20"/>
              </w:rPr>
              <w:t>their service is</w:t>
            </w:r>
            <w:r w:rsidRPr="00BD21A4">
              <w:rPr>
                <w:rFonts w:ascii="Arial" w:hAnsi="Arial" w:cs="Arial"/>
                <w:bCs/>
                <w:sz w:val="20"/>
                <w:szCs w:val="20"/>
              </w:rPr>
              <w:t xml:space="preserve"> available </w:t>
            </w:r>
            <w:r w:rsidR="00D17F08">
              <w:rPr>
                <w:rFonts w:ascii="Arial" w:hAnsi="Arial" w:cs="Arial"/>
                <w:bCs/>
                <w:sz w:val="20"/>
                <w:szCs w:val="20"/>
              </w:rPr>
              <w:t xml:space="preserve">on the national choice menu </w:t>
            </w:r>
            <w:r w:rsidRPr="00BD21A4">
              <w:rPr>
                <w:rFonts w:ascii="Arial" w:hAnsi="Arial" w:cs="Arial"/>
                <w:bCs/>
                <w:sz w:val="20"/>
                <w:szCs w:val="20"/>
              </w:rPr>
              <w:t xml:space="preserve">via </w:t>
            </w:r>
            <w:r w:rsidR="00D17F08">
              <w:rPr>
                <w:rFonts w:ascii="Arial" w:hAnsi="Arial" w:cs="Arial"/>
                <w:bCs/>
                <w:sz w:val="20"/>
                <w:szCs w:val="20"/>
              </w:rPr>
              <w:t xml:space="preserve">e-referral. </w:t>
            </w:r>
          </w:p>
          <w:p w:rsidR="00BD21A4" w:rsidRPr="00BD21A4" w:rsidRDefault="00BD21A4" w:rsidP="00147309">
            <w:pPr>
              <w:jc w:val="both"/>
              <w:rPr>
                <w:rFonts w:ascii="Arial" w:hAnsi="Arial" w:cs="Arial"/>
                <w:bCs/>
                <w:sz w:val="20"/>
                <w:szCs w:val="20"/>
              </w:rPr>
            </w:pP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 xml:space="preserve">Ability to </w:t>
            </w:r>
            <w:r w:rsidR="00D444EB">
              <w:rPr>
                <w:rFonts w:ascii="Arial" w:hAnsi="Arial" w:cs="Arial"/>
                <w:bCs/>
                <w:sz w:val="20"/>
                <w:szCs w:val="20"/>
              </w:rPr>
              <w:t xml:space="preserve">fully implement service within </w:t>
            </w:r>
            <w:r w:rsidR="00D444EB" w:rsidRPr="009714A5">
              <w:rPr>
                <w:rFonts w:ascii="Arial" w:hAnsi="Arial" w:cs="Arial"/>
                <w:bCs/>
                <w:sz w:val="20"/>
                <w:szCs w:val="20"/>
              </w:rPr>
              <w:t>1 month</w:t>
            </w:r>
            <w:r w:rsidRPr="00BD21A4">
              <w:rPr>
                <w:rFonts w:ascii="Arial" w:hAnsi="Arial" w:cs="Arial"/>
                <w:bCs/>
                <w:sz w:val="20"/>
                <w:szCs w:val="20"/>
              </w:rPr>
              <w:t xml:space="preserve"> of award of contract.</w:t>
            </w:r>
          </w:p>
          <w:p w:rsidR="00BD21A4" w:rsidRPr="00BD21A4" w:rsidRDefault="00BD21A4" w:rsidP="00147309">
            <w:pPr>
              <w:jc w:val="both"/>
              <w:rPr>
                <w:rFonts w:ascii="Arial" w:hAnsi="Arial" w:cs="Arial"/>
                <w:bCs/>
                <w:sz w:val="20"/>
                <w:szCs w:val="20"/>
              </w:rPr>
            </w:pP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 xml:space="preserve">Bone mass density BMD should be measured by </w:t>
            </w:r>
            <w:r w:rsidR="00695915">
              <w:rPr>
                <w:rFonts w:ascii="Arial" w:hAnsi="Arial" w:cs="Arial"/>
                <w:bCs/>
                <w:sz w:val="20"/>
                <w:szCs w:val="20"/>
              </w:rPr>
              <w:t>DEXA</w:t>
            </w:r>
            <w:r w:rsidRPr="00BD21A4">
              <w:rPr>
                <w:rFonts w:ascii="Arial" w:hAnsi="Arial" w:cs="Arial"/>
                <w:bCs/>
                <w:sz w:val="20"/>
                <w:szCs w:val="20"/>
              </w:rPr>
              <w:t xml:space="preserve"> scanning performed on anteroposterior spine and proximal femur (hip).</w:t>
            </w:r>
          </w:p>
          <w:p w:rsidR="00BD21A4" w:rsidRPr="00BD21A4" w:rsidRDefault="00BD21A4" w:rsidP="00147309">
            <w:pPr>
              <w:jc w:val="both"/>
              <w:rPr>
                <w:rFonts w:ascii="Arial" w:hAnsi="Arial" w:cs="Arial"/>
                <w:bCs/>
                <w:sz w:val="20"/>
                <w:szCs w:val="20"/>
              </w:rPr>
            </w:pP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 xml:space="preserve">Lateral spine scans (e.g. acquired with fan-beam </w:t>
            </w:r>
            <w:r w:rsidR="00695915">
              <w:rPr>
                <w:rFonts w:ascii="Arial" w:hAnsi="Arial" w:cs="Arial"/>
                <w:bCs/>
                <w:sz w:val="20"/>
                <w:szCs w:val="20"/>
              </w:rPr>
              <w:t>DEXA</w:t>
            </w:r>
            <w:r w:rsidRPr="00BD21A4">
              <w:rPr>
                <w:rFonts w:ascii="Arial" w:hAnsi="Arial" w:cs="Arial"/>
                <w:bCs/>
                <w:sz w:val="20"/>
                <w:szCs w:val="20"/>
              </w:rPr>
              <w:t>) for visual assessment of prevalent vertebral fractures.</w:t>
            </w:r>
            <w:r w:rsidR="00B80B78">
              <w:rPr>
                <w:rFonts w:ascii="Arial" w:hAnsi="Arial" w:cs="Arial"/>
                <w:bCs/>
                <w:sz w:val="20"/>
                <w:szCs w:val="20"/>
              </w:rPr>
              <w:t xml:space="preserve"> </w:t>
            </w:r>
          </w:p>
          <w:p w:rsidR="00BD21A4" w:rsidRPr="00BD21A4" w:rsidRDefault="00BD21A4" w:rsidP="00147309">
            <w:pPr>
              <w:jc w:val="both"/>
              <w:rPr>
                <w:rFonts w:ascii="Arial" w:hAnsi="Arial" w:cs="Arial"/>
                <w:bCs/>
                <w:sz w:val="20"/>
                <w:szCs w:val="20"/>
              </w:rPr>
            </w:pP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Anatomic areas of known prior fracture or surgery should be excluded from measurement.</w:t>
            </w:r>
          </w:p>
          <w:p w:rsidR="00BD21A4" w:rsidRPr="00BD21A4" w:rsidRDefault="00BD21A4" w:rsidP="00147309">
            <w:pPr>
              <w:jc w:val="both"/>
              <w:rPr>
                <w:rFonts w:ascii="Arial" w:hAnsi="Arial" w:cs="Arial"/>
                <w:bCs/>
                <w:sz w:val="20"/>
                <w:szCs w:val="20"/>
              </w:rPr>
            </w:pP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The Provider will ensure that the following will be achieved to facilitate the quality and safety of care delivered:</w:t>
            </w: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w:t>
            </w:r>
            <w:r w:rsidRPr="00BD21A4">
              <w:rPr>
                <w:rFonts w:ascii="Arial" w:hAnsi="Arial" w:cs="Arial"/>
                <w:bCs/>
                <w:sz w:val="20"/>
                <w:szCs w:val="20"/>
              </w:rPr>
              <w:tab/>
              <w:t>The service will be effective and efficient</w:t>
            </w: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w:t>
            </w:r>
            <w:r w:rsidRPr="00BD21A4">
              <w:rPr>
                <w:rFonts w:ascii="Arial" w:hAnsi="Arial" w:cs="Arial"/>
                <w:bCs/>
                <w:sz w:val="20"/>
                <w:szCs w:val="20"/>
              </w:rPr>
              <w:tab/>
              <w:t>It will be responsive to patients needs and carers</w:t>
            </w: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w:t>
            </w:r>
            <w:r w:rsidRPr="00BD21A4">
              <w:rPr>
                <w:rFonts w:ascii="Arial" w:hAnsi="Arial" w:cs="Arial"/>
                <w:bCs/>
                <w:sz w:val="20"/>
                <w:szCs w:val="20"/>
              </w:rPr>
              <w:tab/>
              <w:t xml:space="preserve">It will provide treatment and care based on best practice </w:t>
            </w: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w:t>
            </w:r>
            <w:r w:rsidRPr="00BD21A4">
              <w:rPr>
                <w:rFonts w:ascii="Arial" w:hAnsi="Arial" w:cs="Arial"/>
                <w:bCs/>
                <w:sz w:val="20"/>
                <w:szCs w:val="20"/>
              </w:rPr>
              <w:tab/>
              <w:t>It will deliver the required capacity</w:t>
            </w: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w:t>
            </w:r>
            <w:r w:rsidRPr="00BD21A4">
              <w:rPr>
                <w:rFonts w:ascii="Arial" w:hAnsi="Arial" w:cs="Arial"/>
                <w:bCs/>
                <w:sz w:val="20"/>
                <w:szCs w:val="20"/>
              </w:rPr>
              <w:tab/>
              <w:t xml:space="preserve">It will be fully integrated with other services /care for patients with Osteoporosis </w:t>
            </w: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w:t>
            </w:r>
            <w:r w:rsidRPr="00BD21A4">
              <w:rPr>
                <w:rFonts w:ascii="Arial" w:hAnsi="Arial" w:cs="Arial"/>
                <w:bCs/>
                <w:sz w:val="20"/>
                <w:szCs w:val="20"/>
              </w:rPr>
              <w:tab/>
              <w:t>There will be agreed and defined local protocols for referral</w:t>
            </w:r>
          </w:p>
          <w:p w:rsidR="009F64D4" w:rsidRDefault="00BD21A4" w:rsidP="00147309">
            <w:pPr>
              <w:jc w:val="both"/>
              <w:rPr>
                <w:rFonts w:ascii="Arial" w:hAnsi="Arial" w:cs="Arial"/>
                <w:bCs/>
                <w:sz w:val="20"/>
                <w:szCs w:val="20"/>
              </w:rPr>
            </w:pPr>
            <w:r w:rsidRPr="00BD21A4">
              <w:rPr>
                <w:rFonts w:ascii="Arial" w:hAnsi="Arial" w:cs="Arial"/>
                <w:bCs/>
                <w:sz w:val="20"/>
                <w:szCs w:val="20"/>
              </w:rPr>
              <w:t>•</w:t>
            </w:r>
            <w:r w:rsidRPr="00BD21A4">
              <w:rPr>
                <w:rFonts w:ascii="Arial" w:hAnsi="Arial" w:cs="Arial"/>
                <w:bCs/>
                <w:sz w:val="20"/>
                <w:szCs w:val="20"/>
              </w:rPr>
              <w:tab/>
              <w:t xml:space="preserve">The service will provide equitable access and be patient </w:t>
            </w:r>
            <w:r w:rsidR="009F64D4">
              <w:rPr>
                <w:rFonts w:ascii="Arial" w:hAnsi="Arial" w:cs="Arial"/>
                <w:bCs/>
                <w:sz w:val="20"/>
                <w:szCs w:val="20"/>
              </w:rPr>
              <w:t>centred. Patients will be fully</w:t>
            </w:r>
          </w:p>
          <w:p w:rsidR="00BD21A4" w:rsidRDefault="005634B3" w:rsidP="00147309">
            <w:pPr>
              <w:jc w:val="both"/>
              <w:rPr>
                <w:rFonts w:ascii="Arial" w:hAnsi="Arial" w:cs="Arial"/>
                <w:bCs/>
                <w:sz w:val="20"/>
                <w:szCs w:val="20"/>
              </w:rPr>
            </w:pPr>
            <w:r>
              <w:rPr>
                <w:rFonts w:ascii="Arial" w:hAnsi="Arial" w:cs="Arial"/>
                <w:bCs/>
                <w:sz w:val="20"/>
                <w:szCs w:val="20"/>
              </w:rPr>
              <w:t xml:space="preserve">            </w:t>
            </w:r>
            <w:r w:rsidR="009F64D4">
              <w:rPr>
                <w:rFonts w:ascii="Arial" w:hAnsi="Arial" w:cs="Arial"/>
                <w:bCs/>
                <w:sz w:val="20"/>
                <w:szCs w:val="20"/>
              </w:rPr>
              <w:t>i</w:t>
            </w:r>
            <w:r w:rsidR="00BD21A4" w:rsidRPr="00BD21A4">
              <w:rPr>
                <w:rFonts w:ascii="Arial" w:hAnsi="Arial" w:cs="Arial"/>
                <w:bCs/>
                <w:sz w:val="20"/>
                <w:szCs w:val="20"/>
              </w:rPr>
              <w:t>nformed about their care, encouraged to participate in the de</w:t>
            </w:r>
            <w:r w:rsidR="009F64D4">
              <w:rPr>
                <w:rFonts w:ascii="Arial" w:hAnsi="Arial" w:cs="Arial"/>
                <w:bCs/>
                <w:sz w:val="20"/>
                <w:szCs w:val="20"/>
              </w:rPr>
              <w:t xml:space="preserve">cision making and treated with </w:t>
            </w:r>
          </w:p>
          <w:p w:rsidR="009F64D4" w:rsidRPr="00BD21A4" w:rsidRDefault="005634B3" w:rsidP="00147309">
            <w:pPr>
              <w:jc w:val="both"/>
              <w:rPr>
                <w:rFonts w:ascii="Arial" w:hAnsi="Arial" w:cs="Arial"/>
                <w:bCs/>
                <w:sz w:val="20"/>
                <w:szCs w:val="20"/>
              </w:rPr>
            </w:pPr>
            <w:r>
              <w:rPr>
                <w:rFonts w:ascii="Arial" w:hAnsi="Arial" w:cs="Arial"/>
                <w:bCs/>
                <w:sz w:val="20"/>
                <w:szCs w:val="20"/>
              </w:rPr>
              <w:t xml:space="preserve">            </w:t>
            </w:r>
            <w:r w:rsidR="009F64D4">
              <w:rPr>
                <w:rFonts w:ascii="Arial" w:hAnsi="Arial" w:cs="Arial"/>
                <w:bCs/>
                <w:sz w:val="20"/>
                <w:szCs w:val="20"/>
              </w:rPr>
              <w:t>dignity and respect</w:t>
            </w:r>
          </w:p>
          <w:p w:rsidR="009F64D4" w:rsidRDefault="00BD21A4" w:rsidP="00147309">
            <w:pPr>
              <w:jc w:val="both"/>
              <w:rPr>
                <w:rFonts w:ascii="Arial" w:hAnsi="Arial" w:cs="Arial"/>
                <w:bCs/>
                <w:sz w:val="20"/>
                <w:szCs w:val="20"/>
              </w:rPr>
            </w:pPr>
            <w:r w:rsidRPr="00BD21A4">
              <w:rPr>
                <w:rFonts w:ascii="Arial" w:hAnsi="Arial" w:cs="Arial"/>
                <w:bCs/>
                <w:sz w:val="20"/>
                <w:szCs w:val="20"/>
              </w:rPr>
              <w:t>•</w:t>
            </w:r>
            <w:r w:rsidRPr="00BD21A4">
              <w:rPr>
                <w:rFonts w:ascii="Arial" w:hAnsi="Arial" w:cs="Arial"/>
                <w:bCs/>
                <w:sz w:val="20"/>
                <w:szCs w:val="20"/>
              </w:rPr>
              <w:tab/>
              <w:t xml:space="preserve">The service will participate in a regular clinical audit and review of clinical services to </w:t>
            </w:r>
          </w:p>
          <w:p w:rsidR="00BD21A4" w:rsidRPr="00BD21A4" w:rsidRDefault="005634B3" w:rsidP="00147309">
            <w:pPr>
              <w:jc w:val="both"/>
              <w:rPr>
                <w:rFonts w:ascii="Arial" w:hAnsi="Arial" w:cs="Arial"/>
                <w:bCs/>
                <w:sz w:val="20"/>
                <w:szCs w:val="20"/>
              </w:rPr>
            </w:pPr>
            <w:r>
              <w:rPr>
                <w:rFonts w:ascii="Arial" w:hAnsi="Arial" w:cs="Arial"/>
                <w:bCs/>
                <w:sz w:val="20"/>
                <w:szCs w:val="20"/>
              </w:rPr>
              <w:t xml:space="preserve">            </w:t>
            </w:r>
            <w:r w:rsidR="00BD21A4" w:rsidRPr="00BD21A4">
              <w:rPr>
                <w:rFonts w:ascii="Arial" w:hAnsi="Arial" w:cs="Arial"/>
                <w:bCs/>
                <w:sz w:val="20"/>
                <w:szCs w:val="20"/>
              </w:rPr>
              <w:t>demonstrate compliance to current standards and accuracy of image capture and report</w:t>
            </w: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w:t>
            </w:r>
            <w:r w:rsidRPr="00BD21A4">
              <w:rPr>
                <w:rFonts w:ascii="Arial" w:hAnsi="Arial" w:cs="Arial"/>
                <w:bCs/>
                <w:sz w:val="20"/>
                <w:szCs w:val="20"/>
              </w:rPr>
              <w:tab/>
              <w:t>The service will be able to demonstrate how it meets requirements under equalities legislation</w:t>
            </w:r>
          </w:p>
          <w:p w:rsidR="00BD21A4" w:rsidRDefault="00BD21A4" w:rsidP="00147309">
            <w:pPr>
              <w:jc w:val="both"/>
              <w:rPr>
                <w:rFonts w:ascii="Arial" w:hAnsi="Arial" w:cs="Arial"/>
                <w:bCs/>
                <w:sz w:val="20"/>
                <w:szCs w:val="20"/>
              </w:rPr>
            </w:pPr>
            <w:r w:rsidRPr="00BD21A4">
              <w:rPr>
                <w:rFonts w:ascii="Arial" w:hAnsi="Arial" w:cs="Arial"/>
                <w:bCs/>
                <w:sz w:val="20"/>
                <w:szCs w:val="20"/>
              </w:rPr>
              <w:t>•</w:t>
            </w:r>
            <w:r w:rsidRPr="00BD21A4">
              <w:rPr>
                <w:rFonts w:ascii="Arial" w:hAnsi="Arial" w:cs="Arial"/>
                <w:bCs/>
                <w:sz w:val="20"/>
                <w:szCs w:val="20"/>
              </w:rPr>
              <w:tab/>
              <w:t>The service will demonstrate value for money</w:t>
            </w:r>
          </w:p>
          <w:p w:rsidR="00403ECD" w:rsidRDefault="00403ECD" w:rsidP="00147309">
            <w:pPr>
              <w:jc w:val="both"/>
              <w:rPr>
                <w:rFonts w:ascii="Arial" w:hAnsi="Arial" w:cs="Arial"/>
                <w:bCs/>
                <w:sz w:val="20"/>
                <w:szCs w:val="20"/>
              </w:rPr>
            </w:pPr>
          </w:p>
          <w:p w:rsidR="00403ECD" w:rsidRPr="0013634B" w:rsidRDefault="00403ECD" w:rsidP="00147309">
            <w:pPr>
              <w:jc w:val="both"/>
              <w:rPr>
                <w:rFonts w:ascii="Arial" w:hAnsi="Arial" w:cs="Arial"/>
                <w:bCs/>
                <w:sz w:val="20"/>
                <w:szCs w:val="20"/>
                <w:u w:val="single"/>
              </w:rPr>
            </w:pPr>
            <w:r w:rsidRPr="0013634B">
              <w:rPr>
                <w:rFonts w:ascii="Arial" w:hAnsi="Arial" w:cs="Arial"/>
                <w:bCs/>
                <w:sz w:val="20"/>
                <w:szCs w:val="20"/>
                <w:u w:val="single"/>
              </w:rPr>
              <w:t>Equality and Diversity</w:t>
            </w:r>
          </w:p>
          <w:p w:rsidR="00403ECD" w:rsidRPr="00403ECD" w:rsidRDefault="00403ECD" w:rsidP="00403ECD">
            <w:pPr>
              <w:jc w:val="both"/>
              <w:rPr>
                <w:rFonts w:ascii="Arial" w:hAnsi="Arial" w:cs="Arial"/>
                <w:bCs/>
                <w:sz w:val="20"/>
                <w:szCs w:val="20"/>
              </w:rPr>
            </w:pPr>
            <w:r w:rsidRPr="00403ECD">
              <w:rPr>
                <w:rFonts w:ascii="Arial" w:hAnsi="Arial" w:cs="Arial"/>
                <w:bCs/>
                <w:sz w:val="20"/>
                <w:szCs w:val="20"/>
              </w:rPr>
              <w:t>The Provider will ensure provision of language interpretation services as</w:t>
            </w:r>
            <w:r w:rsidR="0039273B">
              <w:rPr>
                <w:rFonts w:ascii="Arial" w:hAnsi="Arial" w:cs="Arial"/>
                <w:bCs/>
                <w:sz w:val="20"/>
                <w:szCs w:val="20"/>
              </w:rPr>
              <w:t xml:space="preserve"> and when</w:t>
            </w:r>
            <w:r w:rsidRPr="00403ECD">
              <w:rPr>
                <w:rFonts w:ascii="Arial" w:hAnsi="Arial" w:cs="Arial"/>
                <w:bCs/>
                <w:sz w:val="20"/>
                <w:szCs w:val="20"/>
              </w:rPr>
              <w:t xml:space="preserve"> required. </w:t>
            </w:r>
          </w:p>
          <w:p w:rsidR="00403ECD" w:rsidRPr="00403ECD" w:rsidRDefault="00403ECD" w:rsidP="00403ECD">
            <w:pPr>
              <w:jc w:val="both"/>
              <w:rPr>
                <w:rFonts w:ascii="Arial" w:hAnsi="Arial" w:cs="Arial"/>
                <w:bCs/>
                <w:sz w:val="20"/>
                <w:szCs w:val="20"/>
              </w:rPr>
            </w:pPr>
          </w:p>
          <w:p w:rsidR="00403ECD" w:rsidRPr="00403ECD" w:rsidRDefault="00403ECD" w:rsidP="00403ECD">
            <w:pPr>
              <w:jc w:val="both"/>
              <w:rPr>
                <w:rFonts w:ascii="Arial" w:hAnsi="Arial" w:cs="Arial"/>
                <w:bCs/>
                <w:sz w:val="20"/>
                <w:szCs w:val="20"/>
              </w:rPr>
            </w:pPr>
            <w:r w:rsidRPr="00403ECD">
              <w:rPr>
                <w:rFonts w:ascii="Arial" w:hAnsi="Arial" w:cs="Arial"/>
                <w:bCs/>
                <w:sz w:val="20"/>
                <w:szCs w:val="20"/>
              </w:rPr>
              <w:t xml:space="preserve">The Provider will complete Equality Impact Assessment reports, develop and implement Action Plans where relevant. </w:t>
            </w:r>
          </w:p>
          <w:p w:rsidR="00403ECD" w:rsidRPr="00403ECD" w:rsidRDefault="00403ECD" w:rsidP="00403ECD">
            <w:pPr>
              <w:jc w:val="both"/>
              <w:rPr>
                <w:rFonts w:ascii="Arial" w:hAnsi="Arial" w:cs="Arial"/>
                <w:bCs/>
                <w:sz w:val="20"/>
                <w:szCs w:val="20"/>
              </w:rPr>
            </w:pPr>
          </w:p>
          <w:p w:rsidR="00403ECD" w:rsidRDefault="00403ECD" w:rsidP="00403ECD">
            <w:pPr>
              <w:jc w:val="both"/>
              <w:rPr>
                <w:rFonts w:ascii="Arial" w:hAnsi="Arial" w:cs="Arial"/>
                <w:bCs/>
                <w:sz w:val="20"/>
                <w:szCs w:val="20"/>
              </w:rPr>
            </w:pPr>
            <w:r w:rsidRPr="00403ECD">
              <w:rPr>
                <w:rFonts w:ascii="Arial" w:hAnsi="Arial" w:cs="Arial"/>
                <w:bCs/>
                <w:sz w:val="20"/>
                <w:szCs w:val="20"/>
              </w:rPr>
              <w:t>In addition to Provider in house surveys and audits, the Provider will engage in and undertake audits and surveys as specified by Pennine Lancashire e.g. participation in Patient Opinion; a new social enterprise for the NHS and patient satisfaction surveys.</w:t>
            </w:r>
          </w:p>
          <w:p w:rsidR="00403ECD" w:rsidRDefault="00403ECD" w:rsidP="00403ECD">
            <w:pPr>
              <w:jc w:val="both"/>
              <w:rPr>
                <w:rFonts w:ascii="Arial" w:hAnsi="Arial" w:cs="Arial"/>
                <w:bCs/>
                <w:sz w:val="20"/>
                <w:szCs w:val="20"/>
              </w:rPr>
            </w:pPr>
          </w:p>
          <w:p w:rsidR="00403ECD" w:rsidRPr="0013634B" w:rsidRDefault="00403ECD" w:rsidP="00403ECD">
            <w:pPr>
              <w:jc w:val="both"/>
              <w:rPr>
                <w:rFonts w:ascii="Arial" w:hAnsi="Arial" w:cs="Arial"/>
                <w:bCs/>
                <w:sz w:val="20"/>
                <w:szCs w:val="20"/>
                <w:u w:val="single"/>
              </w:rPr>
            </w:pPr>
            <w:r w:rsidRPr="0013634B">
              <w:rPr>
                <w:rFonts w:ascii="Arial" w:hAnsi="Arial" w:cs="Arial"/>
                <w:bCs/>
                <w:sz w:val="20"/>
                <w:szCs w:val="20"/>
                <w:u w:val="single"/>
              </w:rPr>
              <w:t>Workforce</w:t>
            </w:r>
          </w:p>
          <w:p w:rsidR="00403ECD" w:rsidRPr="00403ECD" w:rsidRDefault="00403ECD" w:rsidP="00403ECD">
            <w:pPr>
              <w:jc w:val="both"/>
              <w:rPr>
                <w:rFonts w:ascii="Arial" w:hAnsi="Arial" w:cs="Arial"/>
                <w:bCs/>
                <w:sz w:val="20"/>
                <w:szCs w:val="20"/>
              </w:rPr>
            </w:pPr>
            <w:r w:rsidRPr="00403ECD">
              <w:rPr>
                <w:rFonts w:ascii="Arial" w:hAnsi="Arial" w:cs="Arial"/>
                <w:bCs/>
                <w:sz w:val="20"/>
                <w:szCs w:val="20"/>
              </w:rPr>
              <w:t>The Provider will ensure that there is sufficient skilled workforce across all areas to ensure service delivery at all times.</w:t>
            </w:r>
          </w:p>
          <w:p w:rsidR="00403ECD" w:rsidRPr="00403ECD" w:rsidRDefault="00403ECD" w:rsidP="00403ECD">
            <w:pPr>
              <w:jc w:val="both"/>
              <w:rPr>
                <w:rFonts w:ascii="Arial" w:hAnsi="Arial" w:cs="Arial"/>
                <w:bCs/>
                <w:sz w:val="20"/>
                <w:szCs w:val="20"/>
              </w:rPr>
            </w:pPr>
            <w:r w:rsidRPr="00403ECD">
              <w:rPr>
                <w:rFonts w:ascii="Arial" w:hAnsi="Arial" w:cs="Arial"/>
                <w:bCs/>
                <w:sz w:val="20"/>
                <w:szCs w:val="20"/>
              </w:rPr>
              <w:t xml:space="preserve"> </w:t>
            </w:r>
          </w:p>
          <w:p w:rsidR="00403ECD" w:rsidRPr="00403ECD" w:rsidRDefault="00403ECD" w:rsidP="00403ECD">
            <w:pPr>
              <w:jc w:val="both"/>
              <w:rPr>
                <w:rFonts w:ascii="Arial" w:hAnsi="Arial" w:cs="Arial"/>
                <w:bCs/>
                <w:sz w:val="20"/>
                <w:szCs w:val="20"/>
              </w:rPr>
            </w:pPr>
            <w:r w:rsidRPr="00403ECD">
              <w:rPr>
                <w:rFonts w:ascii="Arial" w:hAnsi="Arial" w:cs="Arial"/>
                <w:bCs/>
                <w:sz w:val="20"/>
                <w:szCs w:val="20"/>
              </w:rPr>
              <w:t xml:space="preserve">Providers must ensure clinical staff are appropriately registered with the relevant UK regulatory body and have the necessary training, qualifications, experience and current competence. </w:t>
            </w:r>
          </w:p>
          <w:p w:rsidR="00403ECD" w:rsidRDefault="00403ECD" w:rsidP="00403ECD">
            <w:pPr>
              <w:jc w:val="both"/>
              <w:rPr>
                <w:rFonts w:ascii="Arial" w:hAnsi="Arial" w:cs="Arial"/>
                <w:bCs/>
                <w:sz w:val="20"/>
                <w:szCs w:val="20"/>
              </w:rPr>
            </w:pPr>
          </w:p>
          <w:p w:rsidR="00403ECD" w:rsidRPr="0013634B" w:rsidRDefault="00403ECD" w:rsidP="00403ECD">
            <w:pPr>
              <w:jc w:val="both"/>
              <w:rPr>
                <w:rFonts w:ascii="Arial" w:hAnsi="Arial" w:cs="Arial"/>
                <w:bCs/>
                <w:sz w:val="20"/>
                <w:szCs w:val="20"/>
                <w:u w:val="single"/>
              </w:rPr>
            </w:pPr>
            <w:r w:rsidRPr="0013634B">
              <w:rPr>
                <w:rFonts w:ascii="Arial" w:hAnsi="Arial" w:cs="Arial"/>
                <w:bCs/>
                <w:sz w:val="20"/>
                <w:szCs w:val="20"/>
                <w:u w:val="single"/>
              </w:rPr>
              <w:t>Liability</w:t>
            </w:r>
          </w:p>
          <w:p w:rsidR="00403ECD" w:rsidRPr="00403ECD" w:rsidRDefault="00403ECD" w:rsidP="00403ECD">
            <w:pPr>
              <w:jc w:val="both"/>
              <w:rPr>
                <w:rFonts w:ascii="Arial" w:hAnsi="Arial" w:cs="Arial"/>
                <w:bCs/>
                <w:sz w:val="20"/>
                <w:szCs w:val="20"/>
              </w:rPr>
            </w:pPr>
            <w:r w:rsidRPr="00403ECD">
              <w:rPr>
                <w:rFonts w:ascii="Arial" w:hAnsi="Arial" w:cs="Arial"/>
                <w:bCs/>
                <w:sz w:val="20"/>
                <w:szCs w:val="20"/>
              </w:rPr>
              <w:t xml:space="preserve">The Provider shall be liable </w:t>
            </w:r>
            <w:r w:rsidR="00F76739">
              <w:rPr>
                <w:rFonts w:ascii="Arial" w:hAnsi="Arial" w:cs="Arial"/>
                <w:bCs/>
                <w:sz w:val="20"/>
                <w:szCs w:val="20"/>
              </w:rPr>
              <w:t>for, and shall indemnify the CCG</w:t>
            </w:r>
            <w:r w:rsidRPr="00403ECD">
              <w:rPr>
                <w:rFonts w:ascii="Arial" w:hAnsi="Arial" w:cs="Arial"/>
                <w:bCs/>
                <w:sz w:val="20"/>
                <w:szCs w:val="20"/>
              </w:rPr>
              <w:t>, its officers and agents, against any loss, claim or proceedings arising under any statue or common law in respect of:</w:t>
            </w:r>
          </w:p>
          <w:p w:rsidR="00403ECD" w:rsidRPr="00403ECD" w:rsidRDefault="00403ECD" w:rsidP="00403ECD">
            <w:pPr>
              <w:jc w:val="both"/>
              <w:rPr>
                <w:rFonts w:ascii="Arial" w:hAnsi="Arial" w:cs="Arial"/>
                <w:bCs/>
                <w:sz w:val="20"/>
                <w:szCs w:val="20"/>
              </w:rPr>
            </w:pPr>
          </w:p>
          <w:p w:rsidR="00403ECD" w:rsidRDefault="00403ECD" w:rsidP="00403ECD">
            <w:pPr>
              <w:jc w:val="both"/>
              <w:rPr>
                <w:rFonts w:ascii="Arial" w:hAnsi="Arial" w:cs="Arial"/>
                <w:bCs/>
                <w:sz w:val="20"/>
                <w:szCs w:val="20"/>
              </w:rPr>
            </w:pPr>
            <w:r w:rsidRPr="00403ECD">
              <w:rPr>
                <w:rFonts w:ascii="Arial" w:hAnsi="Arial" w:cs="Arial"/>
                <w:bCs/>
                <w:sz w:val="20"/>
                <w:szCs w:val="20"/>
              </w:rPr>
              <w:t>Any damage to property or persons.</w:t>
            </w:r>
          </w:p>
          <w:p w:rsidR="0039273B" w:rsidRPr="00403ECD" w:rsidRDefault="0039273B" w:rsidP="00403ECD">
            <w:pPr>
              <w:jc w:val="both"/>
              <w:rPr>
                <w:rFonts w:ascii="Arial" w:hAnsi="Arial" w:cs="Arial"/>
                <w:bCs/>
                <w:sz w:val="20"/>
                <w:szCs w:val="20"/>
              </w:rPr>
            </w:pPr>
          </w:p>
          <w:p w:rsidR="00582BF8" w:rsidRDefault="00403ECD" w:rsidP="00582BF8">
            <w:pPr>
              <w:jc w:val="both"/>
              <w:rPr>
                <w:rFonts w:ascii="Arial" w:hAnsi="Arial" w:cs="Arial"/>
                <w:bCs/>
                <w:sz w:val="20"/>
                <w:szCs w:val="20"/>
              </w:rPr>
            </w:pPr>
            <w:r w:rsidRPr="00403ECD">
              <w:rPr>
                <w:rFonts w:ascii="Arial" w:hAnsi="Arial" w:cs="Arial"/>
                <w:bCs/>
                <w:sz w:val="20"/>
                <w:szCs w:val="20"/>
              </w:rPr>
              <w:t>Any injury to persons, including injury resulting in death, where this is due to any act of negligence on behalf of the Provider or of any person for whom the Provider is responsible.</w:t>
            </w:r>
          </w:p>
          <w:p w:rsidR="0013634B" w:rsidRDefault="0013634B" w:rsidP="00582BF8">
            <w:pPr>
              <w:jc w:val="both"/>
              <w:rPr>
                <w:rFonts w:ascii="Arial" w:hAnsi="Arial" w:cs="Arial"/>
                <w:bCs/>
                <w:sz w:val="20"/>
                <w:szCs w:val="20"/>
              </w:rPr>
            </w:pPr>
          </w:p>
          <w:p w:rsidR="00582BF8" w:rsidRPr="00582BF8" w:rsidRDefault="009227AA" w:rsidP="00582BF8">
            <w:pPr>
              <w:jc w:val="both"/>
              <w:rPr>
                <w:rFonts w:ascii="Arial" w:hAnsi="Arial" w:cs="Arial"/>
                <w:b/>
                <w:bCs/>
                <w:sz w:val="20"/>
                <w:szCs w:val="20"/>
              </w:rPr>
            </w:pPr>
            <w:r>
              <w:rPr>
                <w:rFonts w:ascii="Arial" w:hAnsi="Arial" w:cs="Arial"/>
                <w:b/>
                <w:bCs/>
                <w:sz w:val="20"/>
                <w:szCs w:val="20"/>
              </w:rPr>
              <w:t>3.2.</w:t>
            </w:r>
            <w:r w:rsidR="0013634B">
              <w:rPr>
                <w:rFonts w:ascii="Arial" w:hAnsi="Arial" w:cs="Arial"/>
                <w:b/>
                <w:bCs/>
                <w:sz w:val="20"/>
                <w:szCs w:val="20"/>
              </w:rPr>
              <w:t>3</w:t>
            </w:r>
            <w:r w:rsidR="00582BF8" w:rsidRPr="00582BF8">
              <w:rPr>
                <w:rFonts w:ascii="Arial" w:hAnsi="Arial" w:cs="Arial"/>
                <w:b/>
                <w:bCs/>
                <w:sz w:val="20"/>
                <w:szCs w:val="20"/>
              </w:rPr>
              <w:t xml:space="preserve"> Discharge criteria and planning</w:t>
            </w:r>
          </w:p>
          <w:p w:rsidR="00582BF8" w:rsidRPr="00582BF8" w:rsidRDefault="00582BF8" w:rsidP="00582BF8">
            <w:pPr>
              <w:jc w:val="both"/>
              <w:rPr>
                <w:rFonts w:ascii="Arial" w:hAnsi="Arial" w:cs="Arial"/>
                <w:bCs/>
                <w:sz w:val="20"/>
                <w:szCs w:val="20"/>
              </w:rPr>
            </w:pPr>
            <w:r w:rsidRPr="00582BF8">
              <w:rPr>
                <w:rFonts w:ascii="Arial" w:hAnsi="Arial" w:cs="Arial"/>
                <w:bCs/>
                <w:sz w:val="20"/>
                <w:szCs w:val="20"/>
              </w:rPr>
              <w:t xml:space="preserve">The Provider must be capable of sending electronic reports which must be designed and supplied by the Provider and  must be authenticated by a clinician on the specialist register or under the clinical supervision direct/indirect of a clinician on the UK GMC specialist register.  This will only apply when the examination is reported by a UK Registered Radiographer, who is registered with the Health Professions Council, and undertakes </w:t>
            </w:r>
            <w:r w:rsidR="00695915">
              <w:rPr>
                <w:rFonts w:ascii="Arial" w:hAnsi="Arial" w:cs="Arial"/>
                <w:bCs/>
                <w:sz w:val="20"/>
                <w:szCs w:val="20"/>
              </w:rPr>
              <w:t>DEXA</w:t>
            </w:r>
            <w:r w:rsidRPr="00582BF8">
              <w:rPr>
                <w:rFonts w:ascii="Arial" w:hAnsi="Arial" w:cs="Arial"/>
                <w:bCs/>
                <w:sz w:val="20"/>
                <w:szCs w:val="20"/>
              </w:rPr>
              <w:t xml:space="preserve"> reporting within their professional scope of practice, or when the examination is </w:t>
            </w:r>
            <w:r w:rsidR="00831C22">
              <w:rPr>
                <w:rFonts w:ascii="Arial" w:hAnsi="Arial" w:cs="Arial"/>
                <w:bCs/>
                <w:sz w:val="20"/>
                <w:szCs w:val="20"/>
              </w:rPr>
              <w:t>reported by a Medical Physicist. P</w:t>
            </w:r>
            <w:r w:rsidRPr="00582BF8">
              <w:rPr>
                <w:rFonts w:ascii="Arial" w:hAnsi="Arial" w:cs="Arial"/>
                <w:bCs/>
                <w:sz w:val="20"/>
                <w:szCs w:val="20"/>
              </w:rPr>
              <w:t xml:space="preserve">ractitioners must have successfully completed and appropriate </w:t>
            </w:r>
            <w:r w:rsidR="00695915">
              <w:rPr>
                <w:rFonts w:ascii="Arial" w:hAnsi="Arial" w:cs="Arial"/>
                <w:bCs/>
                <w:sz w:val="20"/>
                <w:szCs w:val="20"/>
              </w:rPr>
              <w:t>DEXA</w:t>
            </w:r>
            <w:r w:rsidRPr="00582BF8">
              <w:rPr>
                <w:rFonts w:ascii="Arial" w:hAnsi="Arial" w:cs="Arial"/>
                <w:bCs/>
                <w:sz w:val="20"/>
                <w:szCs w:val="20"/>
              </w:rPr>
              <w:t xml:space="preserve"> reporting training, demonstrating that they have attained clinical competency, on a recognised training course.</w:t>
            </w:r>
            <w:r w:rsidR="00444876">
              <w:rPr>
                <w:rFonts w:ascii="Arial" w:hAnsi="Arial" w:cs="Arial"/>
                <w:bCs/>
                <w:sz w:val="20"/>
                <w:szCs w:val="20"/>
              </w:rPr>
              <w:t xml:space="preserve"> </w:t>
            </w:r>
          </w:p>
          <w:p w:rsidR="00582BF8" w:rsidRPr="00582BF8" w:rsidRDefault="00582BF8" w:rsidP="00582BF8">
            <w:pPr>
              <w:jc w:val="both"/>
              <w:rPr>
                <w:rFonts w:ascii="Arial" w:hAnsi="Arial" w:cs="Arial"/>
                <w:bCs/>
                <w:sz w:val="20"/>
                <w:szCs w:val="20"/>
              </w:rPr>
            </w:pPr>
          </w:p>
          <w:p w:rsidR="00582BF8" w:rsidRPr="00582BF8" w:rsidRDefault="00582BF8" w:rsidP="00582BF8">
            <w:pPr>
              <w:jc w:val="both"/>
              <w:rPr>
                <w:rFonts w:ascii="Arial" w:hAnsi="Arial" w:cs="Arial"/>
                <w:bCs/>
                <w:sz w:val="20"/>
                <w:szCs w:val="20"/>
              </w:rPr>
            </w:pPr>
            <w:r w:rsidRPr="00582BF8">
              <w:rPr>
                <w:rFonts w:ascii="Arial" w:hAnsi="Arial" w:cs="Arial"/>
                <w:bCs/>
                <w:sz w:val="20"/>
                <w:szCs w:val="20"/>
              </w:rPr>
              <w:t>The Proforma reports shall include:</w:t>
            </w:r>
          </w:p>
          <w:p w:rsidR="00582BF8" w:rsidRPr="00582BF8" w:rsidRDefault="00582BF8" w:rsidP="00582BF8">
            <w:pPr>
              <w:jc w:val="both"/>
              <w:rPr>
                <w:rFonts w:ascii="Arial" w:hAnsi="Arial" w:cs="Arial"/>
                <w:bCs/>
                <w:sz w:val="20"/>
                <w:szCs w:val="20"/>
              </w:rPr>
            </w:pPr>
          </w:p>
          <w:p w:rsidR="00CC5671" w:rsidRDefault="00582BF8" w:rsidP="00582BF8">
            <w:pPr>
              <w:numPr>
                <w:ilvl w:val="0"/>
                <w:numId w:val="5"/>
              </w:numPr>
              <w:jc w:val="both"/>
              <w:rPr>
                <w:rFonts w:ascii="Arial" w:hAnsi="Arial" w:cs="Arial"/>
                <w:bCs/>
                <w:sz w:val="20"/>
                <w:szCs w:val="20"/>
              </w:rPr>
            </w:pPr>
            <w:r w:rsidRPr="00582BF8">
              <w:rPr>
                <w:rFonts w:ascii="Arial" w:hAnsi="Arial" w:cs="Arial"/>
                <w:bCs/>
                <w:sz w:val="20"/>
                <w:szCs w:val="20"/>
              </w:rPr>
              <w:t>Bone mineral density</w:t>
            </w:r>
          </w:p>
          <w:p w:rsidR="00CC5671" w:rsidRDefault="00582BF8" w:rsidP="00582BF8">
            <w:pPr>
              <w:numPr>
                <w:ilvl w:val="0"/>
                <w:numId w:val="5"/>
              </w:numPr>
              <w:jc w:val="both"/>
              <w:rPr>
                <w:rFonts w:ascii="Arial" w:hAnsi="Arial" w:cs="Arial"/>
                <w:bCs/>
                <w:sz w:val="20"/>
                <w:szCs w:val="20"/>
              </w:rPr>
            </w:pPr>
            <w:r w:rsidRPr="00CC5671">
              <w:rPr>
                <w:rFonts w:ascii="Arial" w:hAnsi="Arial" w:cs="Arial"/>
                <w:bCs/>
                <w:sz w:val="20"/>
                <w:szCs w:val="20"/>
              </w:rPr>
              <w:t>T-score/Z- score</w:t>
            </w:r>
          </w:p>
          <w:p w:rsidR="00CC5671" w:rsidRDefault="00582BF8" w:rsidP="00582BF8">
            <w:pPr>
              <w:numPr>
                <w:ilvl w:val="0"/>
                <w:numId w:val="5"/>
              </w:numPr>
              <w:jc w:val="both"/>
              <w:rPr>
                <w:rFonts w:ascii="Arial" w:hAnsi="Arial" w:cs="Arial"/>
                <w:bCs/>
                <w:sz w:val="20"/>
                <w:szCs w:val="20"/>
              </w:rPr>
            </w:pPr>
            <w:r w:rsidRPr="00CC5671">
              <w:rPr>
                <w:rFonts w:ascii="Arial" w:hAnsi="Arial" w:cs="Arial"/>
                <w:bCs/>
                <w:sz w:val="20"/>
                <w:szCs w:val="20"/>
              </w:rPr>
              <w:t>Corresponding percentages of mean</w:t>
            </w:r>
          </w:p>
          <w:p w:rsidR="00CC5671" w:rsidRDefault="00582BF8" w:rsidP="00582BF8">
            <w:pPr>
              <w:numPr>
                <w:ilvl w:val="0"/>
                <w:numId w:val="5"/>
              </w:numPr>
              <w:jc w:val="both"/>
              <w:rPr>
                <w:rFonts w:ascii="Arial" w:hAnsi="Arial" w:cs="Arial"/>
                <w:bCs/>
                <w:sz w:val="20"/>
                <w:szCs w:val="20"/>
              </w:rPr>
            </w:pPr>
            <w:r w:rsidRPr="00CC5671">
              <w:rPr>
                <w:rFonts w:ascii="Arial" w:hAnsi="Arial" w:cs="Arial"/>
                <w:bCs/>
                <w:sz w:val="20"/>
                <w:szCs w:val="20"/>
              </w:rPr>
              <w:t>Annual hip fracture risk (or 10 year fracture risk)</w:t>
            </w:r>
          </w:p>
          <w:p w:rsidR="00CC5671" w:rsidRDefault="00582BF8" w:rsidP="00582BF8">
            <w:pPr>
              <w:numPr>
                <w:ilvl w:val="0"/>
                <w:numId w:val="5"/>
              </w:numPr>
              <w:jc w:val="both"/>
              <w:rPr>
                <w:rFonts w:ascii="Arial" w:hAnsi="Arial" w:cs="Arial"/>
                <w:bCs/>
                <w:sz w:val="20"/>
                <w:szCs w:val="20"/>
              </w:rPr>
            </w:pPr>
            <w:r w:rsidRPr="00CC5671">
              <w:rPr>
                <w:rFonts w:ascii="Arial" w:hAnsi="Arial" w:cs="Arial"/>
                <w:bCs/>
                <w:sz w:val="20"/>
                <w:szCs w:val="20"/>
              </w:rPr>
              <w:t>Visual assessment of prevalent vertebral fractures</w:t>
            </w:r>
          </w:p>
          <w:p w:rsidR="00CC5671" w:rsidRDefault="00582BF8" w:rsidP="00582BF8">
            <w:pPr>
              <w:numPr>
                <w:ilvl w:val="0"/>
                <w:numId w:val="5"/>
              </w:numPr>
              <w:jc w:val="both"/>
              <w:rPr>
                <w:rFonts w:ascii="Arial" w:hAnsi="Arial" w:cs="Arial"/>
                <w:bCs/>
                <w:sz w:val="20"/>
                <w:szCs w:val="20"/>
              </w:rPr>
            </w:pPr>
            <w:r w:rsidRPr="00CC5671">
              <w:rPr>
                <w:rFonts w:ascii="Arial" w:hAnsi="Arial" w:cs="Arial"/>
                <w:bCs/>
                <w:sz w:val="20"/>
                <w:szCs w:val="20"/>
              </w:rPr>
              <w:t>Classification according to World Health Organisation criteria</w:t>
            </w:r>
          </w:p>
          <w:p w:rsidR="00CC5671" w:rsidRDefault="00582BF8" w:rsidP="00582BF8">
            <w:pPr>
              <w:numPr>
                <w:ilvl w:val="0"/>
                <w:numId w:val="5"/>
              </w:numPr>
              <w:jc w:val="both"/>
              <w:rPr>
                <w:rFonts w:ascii="Arial" w:hAnsi="Arial" w:cs="Arial"/>
                <w:bCs/>
                <w:sz w:val="20"/>
                <w:szCs w:val="20"/>
              </w:rPr>
            </w:pPr>
            <w:r w:rsidRPr="00CC5671">
              <w:rPr>
                <w:rFonts w:ascii="Arial" w:hAnsi="Arial" w:cs="Arial"/>
                <w:bCs/>
                <w:sz w:val="20"/>
                <w:szCs w:val="20"/>
              </w:rPr>
              <w:t>A statement of whether a change in BMD is significant</w:t>
            </w:r>
            <w:r w:rsidR="00CC5671" w:rsidRPr="00CC5671">
              <w:rPr>
                <w:rFonts w:ascii="Arial" w:hAnsi="Arial" w:cs="Arial"/>
                <w:bCs/>
                <w:sz w:val="20"/>
                <w:szCs w:val="20"/>
              </w:rPr>
              <w:t xml:space="preserve">, where serial examinations are </w:t>
            </w:r>
            <w:r w:rsidRPr="00CC5671">
              <w:rPr>
                <w:rFonts w:ascii="Arial" w:hAnsi="Arial" w:cs="Arial"/>
                <w:bCs/>
                <w:sz w:val="20"/>
                <w:szCs w:val="20"/>
              </w:rPr>
              <w:t>reviewed</w:t>
            </w:r>
          </w:p>
          <w:p w:rsidR="00582BF8" w:rsidRPr="00CC5671" w:rsidRDefault="00582BF8" w:rsidP="00582BF8">
            <w:pPr>
              <w:numPr>
                <w:ilvl w:val="0"/>
                <w:numId w:val="5"/>
              </w:numPr>
              <w:jc w:val="both"/>
              <w:rPr>
                <w:rFonts w:ascii="Arial" w:hAnsi="Arial" w:cs="Arial"/>
                <w:bCs/>
                <w:sz w:val="20"/>
                <w:szCs w:val="20"/>
              </w:rPr>
            </w:pPr>
            <w:r w:rsidRPr="00CC5671">
              <w:rPr>
                <w:rFonts w:ascii="Arial" w:hAnsi="Arial" w:cs="Arial"/>
                <w:bCs/>
                <w:sz w:val="20"/>
                <w:szCs w:val="20"/>
              </w:rPr>
              <w:t>A recommendation of patient management appropriate for the referring clinician</w:t>
            </w:r>
          </w:p>
          <w:p w:rsidR="00582BF8" w:rsidRPr="00582BF8" w:rsidRDefault="00582BF8" w:rsidP="00582BF8">
            <w:pPr>
              <w:jc w:val="both"/>
              <w:rPr>
                <w:rFonts w:ascii="Arial" w:hAnsi="Arial" w:cs="Arial"/>
                <w:bCs/>
                <w:sz w:val="20"/>
                <w:szCs w:val="20"/>
              </w:rPr>
            </w:pPr>
          </w:p>
          <w:p w:rsidR="00582BF8" w:rsidRPr="00582BF8" w:rsidRDefault="00582BF8" w:rsidP="00582BF8">
            <w:pPr>
              <w:jc w:val="both"/>
              <w:rPr>
                <w:rFonts w:ascii="Arial" w:hAnsi="Arial" w:cs="Arial"/>
                <w:bCs/>
                <w:sz w:val="20"/>
                <w:szCs w:val="20"/>
              </w:rPr>
            </w:pPr>
            <w:r w:rsidRPr="00B654DF">
              <w:rPr>
                <w:rFonts w:ascii="Arial" w:hAnsi="Arial" w:cs="Arial"/>
                <w:bCs/>
                <w:sz w:val="20"/>
                <w:szCs w:val="20"/>
              </w:rPr>
              <w:t xml:space="preserve">Provider will be capable of transferring structured </w:t>
            </w:r>
            <w:r w:rsidR="00695915">
              <w:rPr>
                <w:rFonts w:ascii="Arial" w:hAnsi="Arial" w:cs="Arial"/>
                <w:bCs/>
                <w:sz w:val="20"/>
                <w:szCs w:val="20"/>
              </w:rPr>
              <w:t>DEXA</w:t>
            </w:r>
            <w:r w:rsidRPr="00B654DF">
              <w:rPr>
                <w:rFonts w:ascii="Arial" w:hAnsi="Arial" w:cs="Arial"/>
                <w:bCs/>
                <w:sz w:val="20"/>
                <w:szCs w:val="20"/>
              </w:rPr>
              <w:t xml:space="preserve"> scan reports with graphs and images into the PACS/RIS system.</w:t>
            </w:r>
            <w:r w:rsidRPr="00582BF8">
              <w:rPr>
                <w:rFonts w:ascii="Arial" w:hAnsi="Arial" w:cs="Arial"/>
                <w:bCs/>
                <w:sz w:val="20"/>
                <w:szCs w:val="20"/>
              </w:rPr>
              <w:t xml:space="preserve">  </w:t>
            </w:r>
          </w:p>
          <w:p w:rsidR="00582BF8" w:rsidRPr="00582BF8" w:rsidRDefault="00582BF8" w:rsidP="00582BF8">
            <w:pPr>
              <w:jc w:val="both"/>
              <w:rPr>
                <w:rFonts w:ascii="Arial" w:hAnsi="Arial" w:cs="Arial"/>
                <w:bCs/>
                <w:sz w:val="20"/>
                <w:szCs w:val="20"/>
              </w:rPr>
            </w:pPr>
          </w:p>
          <w:p w:rsidR="00582BF8" w:rsidRPr="00582BF8" w:rsidRDefault="00582BF8" w:rsidP="00582BF8">
            <w:pPr>
              <w:jc w:val="both"/>
              <w:rPr>
                <w:rFonts w:ascii="Arial" w:hAnsi="Arial" w:cs="Arial"/>
                <w:bCs/>
                <w:sz w:val="20"/>
                <w:szCs w:val="20"/>
              </w:rPr>
            </w:pPr>
            <w:r w:rsidRPr="00582BF8">
              <w:rPr>
                <w:rFonts w:ascii="Arial" w:hAnsi="Arial" w:cs="Arial"/>
                <w:bCs/>
                <w:sz w:val="20"/>
                <w:szCs w:val="20"/>
              </w:rPr>
              <w:t>The Provider must audit a minimum of 10% of reporting by a second appropriate qualified clinician as standard, discuss the findings and upon request to s</w:t>
            </w:r>
            <w:r w:rsidR="00B229B7">
              <w:rPr>
                <w:rFonts w:ascii="Arial" w:hAnsi="Arial" w:cs="Arial"/>
                <w:bCs/>
                <w:sz w:val="20"/>
                <w:szCs w:val="20"/>
              </w:rPr>
              <w:t>hare these findings with the CCG</w:t>
            </w:r>
            <w:r w:rsidRPr="00582BF8">
              <w:rPr>
                <w:rFonts w:ascii="Arial" w:hAnsi="Arial" w:cs="Arial"/>
                <w:bCs/>
                <w:sz w:val="20"/>
                <w:szCs w:val="20"/>
              </w:rPr>
              <w:t>.</w:t>
            </w:r>
          </w:p>
          <w:p w:rsidR="00582BF8" w:rsidRPr="00582BF8" w:rsidRDefault="00582BF8" w:rsidP="00582BF8">
            <w:pPr>
              <w:jc w:val="both"/>
              <w:rPr>
                <w:rFonts w:ascii="Arial" w:hAnsi="Arial" w:cs="Arial"/>
                <w:bCs/>
                <w:sz w:val="20"/>
                <w:szCs w:val="20"/>
              </w:rPr>
            </w:pPr>
          </w:p>
          <w:p w:rsidR="00582BF8" w:rsidRPr="00582BF8" w:rsidRDefault="00582BF8" w:rsidP="00582BF8">
            <w:pPr>
              <w:jc w:val="both"/>
              <w:rPr>
                <w:rFonts w:ascii="Arial" w:hAnsi="Arial" w:cs="Arial"/>
                <w:bCs/>
                <w:sz w:val="20"/>
                <w:szCs w:val="20"/>
              </w:rPr>
            </w:pPr>
            <w:r w:rsidRPr="00582BF8">
              <w:rPr>
                <w:rFonts w:ascii="Arial" w:hAnsi="Arial" w:cs="Arial"/>
                <w:bCs/>
                <w:sz w:val="20"/>
                <w:szCs w:val="20"/>
              </w:rPr>
              <w:t>The Provider must carry out the service in accordance with national minimum standards, IRMER guidelines, NICE, Royal college of Radiologists Guidelines, Health and Safety Executive Guidance, Essence of Care and Standards for Better Health.</w:t>
            </w:r>
          </w:p>
          <w:p w:rsidR="00582BF8" w:rsidRPr="00582BF8" w:rsidRDefault="00582BF8" w:rsidP="00582BF8">
            <w:pPr>
              <w:jc w:val="both"/>
              <w:rPr>
                <w:rFonts w:ascii="Arial" w:hAnsi="Arial" w:cs="Arial"/>
                <w:bCs/>
                <w:sz w:val="20"/>
                <w:szCs w:val="20"/>
              </w:rPr>
            </w:pPr>
          </w:p>
          <w:p w:rsidR="00A91A7A" w:rsidRDefault="00A91A7A" w:rsidP="00582BF8">
            <w:pPr>
              <w:jc w:val="both"/>
              <w:rPr>
                <w:rFonts w:ascii="Arial" w:hAnsi="Arial" w:cs="Arial"/>
                <w:bCs/>
                <w:sz w:val="20"/>
                <w:szCs w:val="20"/>
              </w:rPr>
            </w:pPr>
          </w:p>
          <w:p w:rsidR="00A91A7A" w:rsidRPr="00782087" w:rsidRDefault="0013634B" w:rsidP="00582BF8">
            <w:pPr>
              <w:jc w:val="both"/>
              <w:rPr>
                <w:rFonts w:ascii="Arial" w:hAnsi="Arial" w:cs="Arial"/>
                <w:b/>
                <w:bCs/>
                <w:sz w:val="20"/>
                <w:szCs w:val="20"/>
              </w:rPr>
            </w:pPr>
            <w:r>
              <w:rPr>
                <w:rFonts w:ascii="Arial" w:hAnsi="Arial" w:cs="Arial"/>
                <w:b/>
                <w:bCs/>
                <w:sz w:val="20"/>
                <w:szCs w:val="20"/>
              </w:rPr>
              <w:t>3.2.4</w:t>
            </w:r>
            <w:r w:rsidR="00A91A7A" w:rsidRPr="00782087">
              <w:rPr>
                <w:rFonts w:ascii="Arial" w:hAnsi="Arial" w:cs="Arial"/>
                <w:b/>
                <w:bCs/>
                <w:sz w:val="20"/>
                <w:szCs w:val="20"/>
              </w:rPr>
              <w:t xml:space="preserve"> Monitoring and Reporting</w:t>
            </w:r>
          </w:p>
          <w:p w:rsidR="00A91A7A" w:rsidRDefault="00A91A7A" w:rsidP="00582BF8">
            <w:pPr>
              <w:jc w:val="both"/>
              <w:rPr>
                <w:rFonts w:ascii="Arial" w:hAnsi="Arial" w:cs="Arial"/>
                <w:bCs/>
                <w:sz w:val="20"/>
                <w:szCs w:val="20"/>
              </w:rPr>
            </w:pPr>
          </w:p>
          <w:p w:rsidR="00831C22" w:rsidRDefault="00A91A7A" w:rsidP="00582BF8">
            <w:pPr>
              <w:jc w:val="both"/>
              <w:rPr>
                <w:rFonts w:ascii="Arial" w:hAnsi="Arial" w:cs="Arial"/>
                <w:bCs/>
                <w:sz w:val="20"/>
                <w:szCs w:val="20"/>
              </w:rPr>
            </w:pPr>
            <w:r>
              <w:rPr>
                <w:rFonts w:ascii="Arial" w:hAnsi="Arial" w:cs="Arial"/>
                <w:bCs/>
                <w:sz w:val="20"/>
                <w:szCs w:val="20"/>
              </w:rPr>
              <w:t xml:space="preserve">The Provider will submit electronically, in an agreed format, </w:t>
            </w:r>
            <w:r w:rsidR="00E67285">
              <w:rPr>
                <w:rFonts w:ascii="Arial" w:hAnsi="Arial" w:cs="Arial"/>
                <w:bCs/>
                <w:sz w:val="20"/>
                <w:szCs w:val="20"/>
              </w:rPr>
              <w:t xml:space="preserve">two separate reports. One for the service provided for patients registered with East Lancashire CCG </w:t>
            </w:r>
            <w:r w:rsidR="00403ECD">
              <w:rPr>
                <w:rFonts w:ascii="Arial" w:hAnsi="Arial" w:cs="Arial"/>
                <w:bCs/>
                <w:sz w:val="20"/>
                <w:szCs w:val="20"/>
              </w:rPr>
              <w:t xml:space="preserve">GP </w:t>
            </w:r>
            <w:r w:rsidR="00E67285">
              <w:rPr>
                <w:rFonts w:ascii="Arial" w:hAnsi="Arial" w:cs="Arial"/>
                <w:bCs/>
                <w:sz w:val="20"/>
                <w:szCs w:val="20"/>
              </w:rPr>
              <w:t>and Blackburn with Darwen CCG</w:t>
            </w:r>
            <w:r w:rsidR="00403ECD">
              <w:rPr>
                <w:rFonts w:ascii="Arial" w:hAnsi="Arial" w:cs="Arial"/>
                <w:bCs/>
                <w:sz w:val="20"/>
                <w:szCs w:val="20"/>
              </w:rPr>
              <w:t xml:space="preserve"> GP</w:t>
            </w:r>
            <w:r w:rsidR="00E67285">
              <w:rPr>
                <w:rFonts w:ascii="Arial" w:hAnsi="Arial" w:cs="Arial"/>
                <w:bCs/>
                <w:sz w:val="20"/>
                <w:szCs w:val="20"/>
              </w:rPr>
              <w:t xml:space="preserve">. </w:t>
            </w:r>
          </w:p>
          <w:p w:rsidR="00831C22" w:rsidRDefault="00831C22" w:rsidP="00582BF8">
            <w:pPr>
              <w:jc w:val="both"/>
              <w:rPr>
                <w:rFonts w:ascii="Arial" w:hAnsi="Arial" w:cs="Arial"/>
                <w:bCs/>
                <w:sz w:val="20"/>
                <w:szCs w:val="20"/>
              </w:rPr>
            </w:pPr>
          </w:p>
          <w:p w:rsidR="00A91A7A" w:rsidRDefault="00E67285" w:rsidP="00582BF8">
            <w:pPr>
              <w:jc w:val="both"/>
              <w:rPr>
                <w:rFonts w:ascii="Arial" w:hAnsi="Arial" w:cs="Arial"/>
                <w:bCs/>
                <w:sz w:val="20"/>
                <w:szCs w:val="20"/>
              </w:rPr>
            </w:pPr>
            <w:r>
              <w:rPr>
                <w:rFonts w:ascii="Arial" w:hAnsi="Arial" w:cs="Arial"/>
                <w:bCs/>
                <w:sz w:val="20"/>
                <w:szCs w:val="20"/>
              </w:rPr>
              <w:t>The reports should be submitted monthly</w:t>
            </w:r>
            <w:r w:rsidR="00A91A7A">
              <w:rPr>
                <w:rFonts w:ascii="Arial" w:hAnsi="Arial" w:cs="Arial"/>
                <w:bCs/>
                <w:sz w:val="20"/>
                <w:szCs w:val="20"/>
              </w:rPr>
              <w:t xml:space="preserve"> </w:t>
            </w:r>
            <w:r>
              <w:rPr>
                <w:rFonts w:ascii="Arial" w:hAnsi="Arial" w:cs="Arial"/>
                <w:bCs/>
                <w:sz w:val="20"/>
                <w:szCs w:val="20"/>
              </w:rPr>
              <w:t xml:space="preserve">and contain data relating </w:t>
            </w:r>
            <w:r w:rsidR="00403ECD">
              <w:rPr>
                <w:rFonts w:ascii="Arial" w:hAnsi="Arial" w:cs="Arial"/>
                <w:bCs/>
                <w:sz w:val="20"/>
                <w:szCs w:val="20"/>
              </w:rPr>
              <w:t xml:space="preserve">to </w:t>
            </w:r>
            <w:r>
              <w:rPr>
                <w:rFonts w:ascii="Arial" w:hAnsi="Arial" w:cs="Arial"/>
                <w:bCs/>
                <w:sz w:val="20"/>
                <w:szCs w:val="20"/>
              </w:rPr>
              <w:t>minimum data set</w:t>
            </w:r>
            <w:r w:rsidR="00A91A7A">
              <w:rPr>
                <w:rFonts w:ascii="Arial" w:hAnsi="Arial" w:cs="Arial"/>
                <w:bCs/>
                <w:sz w:val="20"/>
                <w:szCs w:val="20"/>
              </w:rPr>
              <w:t xml:space="preserve"> requirements, activity, capacity and waiting time</w:t>
            </w:r>
            <w:r>
              <w:rPr>
                <w:rFonts w:ascii="Arial" w:hAnsi="Arial" w:cs="Arial"/>
                <w:bCs/>
                <w:sz w:val="20"/>
                <w:szCs w:val="20"/>
              </w:rPr>
              <w:t xml:space="preserve">s, both forecast and actual. </w:t>
            </w:r>
          </w:p>
          <w:p w:rsidR="00477CDD" w:rsidRDefault="00477CDD" w:rsidP="00582BF8">
            <w:pPr>
              <w:jc w:val="both"/>
              <w:rPr>
                <w:rFonts w:ascii="Arial" w:hAnsi="Arial" w:cs="Arial"/>
                <w:bCs/>
                <w:sz w:val="20"/>
                <w:szCs w:val="20"/>
              </w:rPr>
            </w:pPr>
          </w:p>
          <w:p w:rsidR="00477CDD" w:rsidRPr="00477CDD" w:rsidRDefault="00477CDD" w:rsidP="00477CDD">
            <w:pPr>
              <w:jc w:val="both"/>
              <w:rPr>
                <w:rFonts w:ascii="Arial" w:hAnsi="Arial" w:cs="Arial"/>
                <w:bCs/>
                <w:sz w:val="20"/>
                <w:szCs w:val="20"/>
                <w:u w:val="single"/>
              </w:rPr>
            </w:pPr>
            <w:r w:rsidRPr="00477CDD">
              <w:rPr>
                <w:rFonts w:ascii="Arial" w:hAnsi="Arial" w:cs="Arial"/>
                <w:bCs/>
                <w:sz w:val="20"/>
                <w:szCs w:val="20"/>
                <w:u w:val="single"/>
              </w:rPr>
              <w:t>Local reporting requirements</w:t>
            </w:r>
          </w:p>
          <w:p w:rsidR="00477CDD" w:rsidRPr="00477CDD" w:rsidRDefault="00477CDD" w:rsidP="00477CDD">
            <w:pPr>
              <w:jc w:val="both"/>
              <w:rPr>
                <w:rFonts w:ascii="Arial" w:hAnsi="Arial" w:cs="Arial"/>
                <w:bCs/>
                <w:sz w:val="20"/>
                <w:szCs w:val="20"/>
              </w:rPr>
            </w:pP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The Provider will submit agreed mont</w:t>
            </w:r>
            <w:r>
              <w:rPr>
                <w:rFonts w:ascii="Arial" w:hAnsi="Arial" w:cs="Arial"/>
                <w:bCs/>
                <w:sz w:val="20"/>
                <w:szCs w:val="20"/>
              </w:rPr>
              <w:t>hly reporting returns to the CCG</w:t>
            </w:r>
            <w:r w:rsidRPr="00477CDD">
              <w:rPr>
                <w:rFonts w:ascii="Arial" w:hAnsi="Arial" w:cs="Arial"/>
                <w:bCs/>
                <w:sz w:val="20"/>
                <w:szCs w:val="20"/>
              </w:rPr>
              <w:t>s to include the following information:</w:t>
            </w:r>
          </w:p>
          <w:p w:rsidR="00477CDD" w:rsidRPr="00477CDD" w:rsidRDefault="00477CDD" w:rsidP="00477CDD">
            <w:pPr>
              <w:jc w:val="both"/>
              <w:rPr>
                <w:rFonts w:ascii="Arial" w:hAnsi="Arial" w:cs="Arial"/>
                <w:bCs/>
                <w:sz w:val="20"/>
                <w:szCs w:val="20"/>
              </w:rPr>
            </w:pP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Gender</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Referral Date</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D.O.B</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Referring GP Name</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Referring GP Code</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Practice Name</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Practice Code</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r>
            <w:r>
              <w:rPr>
                <w:rFonts w:ascii="Arial" w:hAnsi="Arial" w:cs="Arial"/>
                <w:bCs/>
                <w:sz w:val="20"/>
                <w:szCs w:val="20"/>
              </w:rPr>
              <w:t>CCG</w:t>
            </w:r>
            <w:r w:rsidRPr="00477CDD">
              <w:rPr>
                <w:rFonts w:ascii="Arial" w:hAnsi="Arial" w:cs="Arial"/>
                <w:bCs/>
                <w:sz w:val="20"/>
                <w:szCs w:val="20"/>
              </w:rPr>
              <w:t xml:space="preserve"> Code</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Attended YES/NO</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Date report sent to referring clinician</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Appointment Waiting Time (Days)</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Report Waiting Time (Days)</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 xml:space="preserve">Total numbers of referrals received (by practice and GP) </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Numbers of patients by diagnosis</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Patient demographics and ethnicity – to be collected from the patient satisfaction survey</w:t>
            </w:r>
          </w:p>
          <w:p w:rsidR="00477CDD" w:rsidRPr="00477CDD" w:rsidRDefault="00477CDD" w:rsidP="00477CDD">
            <w:pPr>
              <w:jc w:val="both"/>
              <w:rPr>
                <w:rFonts w:ascii="Arial" w:hAnsi="Arial" w:cs="Arial"/>
                <w:bCs/>
                <w:sz w:val="20"/>
                <w:szCs w:val="20"/>
              </w:rPr>
            </w:pP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Number and nature of:</w:t>
            </w:r>
          </w:p>
          <w:p w:rsidR="00477CDD" w:rsidRPr="00477CDD" w:rsidRDefault="00477CDD" w:rsidP="00477CDD">
            <w:pPr>
              <w:jc w:val="both"/>
              <w:rPr>
                <w:rFonts w:ascii="Arial" w:hAnsi="Arial" w:cs="Arial"/>
                <w:bCs/>
                <w:sz w:val="20"/>
                <w:szCs w:val="20"/>
              </w:rPr>
            </w:pP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 xml:space="preserve">Clinical incidents: </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 xml:space="preserve">Serious untoward events </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Complications</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 xml:space="preserve">Emergency referrals </w:t>
            </w:r>
          </w:p>
          <w:p w:rsidR="00477CDD" w:rsidRPr="00477CDD" w:rsidRDefault="00477CDD" w:rsidP="00477CDD">
            <w:pPr>
              <w:jc w:val="both"/>
              <w:rPr>
                <w:rFonts w:ascii="Arial" w:hAnsi="Arial" w:cs="Arial"/>
                <w:bCs/>
                <w:sz w:val="20"/>
                <w:szCs w:val="20"/>
              </w:rPr>
            </w:pPr>
            <w:r w:rsidRPr="00477CDD">
              <w:rPr>
                <w:rFonts w:ascii="Arial" w:hAnsi="Arial" w:cs="Arial"/>
                <w:bCs/>
                <w:sz w:val="20"/>
                <w:szCs w:val="20"/>
              </w:rPr>
              <w:t>•</w:t>
            </w:r>
            <w:r w:rsidRPr="00477CDD">
              <w:rPr>
                <w:rFonts w:ascii="Arial" w:hAnsi="Arial" w:cs="Arial"/>
                <w:bCs/>
                <w:sz w:val="20"/>
                <w:szCs w:val="20"/>
              </w:rPr>
              <w:tab/>
              <w:t xml:space="preserve">Patient satisfaction results </w:t>
            </w:r>
          </w:p>
          <w:p w:rsidR="00477CDD" w:rsidRPr="00477CDD" w:rsidRDefault="00477CDD" w:rsidP="00477CDD">
            <w:pPr>
              <w:jc w:val="both"/>
              <w:rPr>
                <w:rFonts w:ascii="Arial" w:hAnsi="Arial" w:cs="Arial"/>
                <w:bCs/>
                <w:sz w:val="20"/>
                <w:szCs w:val="20"/>
              </w:rPr>
            </w:pPr>
          </w:p>
          <w:p w:rsidR="00477CDD" w:rsidRDefault="00477CDD" w:rsidP="00477CDD">
            <w:pPr>
              <w:jc w:val="both"/>
              <w:rPr>
                <w:rFonts w:ascii="Arial" w:hAnsi="Arial" w:cs="Arial"/>
                <w:bCs/>
                <w:sz w:val="20"/>
                <w:szCs w:val="20"/>
              </w:rPr>
            </w:pPr>
            <w:r w:rsidRPr="00477CDD">
              <w:rPr>
                <w:rFonts w:ascii="Arial" w:hAnsi="Arial" w:cs="Arial"/>
                <w:bCs/>
                <w:sz w:val="20"/>
                <w:szCs w:val="20"/>
              </w:rPr>
              <w:t xml:space="preserve">The patient level data monthly performance monitoring should be forwarded </w:t>
            </w:r>
            <w:r>
              <w:rPr>
                <w:rFonts w:ascii="Arial" w:hAnsi="Arial" w:cs="Arial"/>
                <w:bCs/>
                <w:sz w:val="20"/>
                <w:szCs w:val="20"/>
              </w:rPr>
              <w:t xml:space="preserve">electronically </w:t>
            </w:r>
            <w:r w:rsidRPr="00477CDD">
              <w:rPr>
                <w:rFonts w:ascii="Arial" w:hAnsi="Arial" w:cs="Arial"/>
                <w:bCs/>
                <w:sz w:val="20"/>
                <w:szCs w:val="20"/>
              </w:rPr>
              <w:t>to the Commissioners no later than 2</w:t>
            </w:r>
            <w:r>
              <w:rPr>
                <w:rFonts w:ascii="Arial" w:hAnsi="Arial" w:cs="Arial"/>
                <w:bCs/>
                <w:sz w:val="20"/>
                <w:szCs w:val="20"/>
              </w:rPr>
              <w:t>1 days after the previous month.</w:t>
            </w:r>
          </w:p>
          <w:p w:rsidR="00782087" w:rsidRDefault="00782087" w:rsidP="00582BF8">
            <w:pPr>
              <w:jc w:val="both"/>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3"/>
              <w:gridCol w:w="2099"/>
            </w:tblGrid>
            <w:tr w:rsidR="00E67285" w:rsidRPr="007F1427" w:rsidTr="003170CD">
              <w:tc>
                <w:tcPr>
                  <w:tcW w:w="6913" w:type="dxa"/>
                  <w:tcBorders>
                    <w:top w:val="single" w:sz="4" w:space="0" w:color="auto"/>
                    <w:left w:val="single" w:sz="4" w:space="0" w:color="auto"/>
                    <w:bottom w:val="single" w:sz="4" w:space="0" w:color="auto"/>
                    <w:right w:val="single" w:sz="4" w:space="0" w:color="auto"/>
                  </w:tcBorders>
                </w:tcPr>
                <w:p w:rsidR="00E67285" w:rsidRDefault="00E67285" w:rsidP="00FC1604">
                  <w:pPr>
                    <w:autoSpaceDE w:val="0"/>
                    <w:autoSpaceDN w:val="0"/>
                    <w:adjustRightInd w:val="0"/>
                    <w:jc w:val="both"/>
                    <w:rPr>
                      <w:rFonts w:ascii="Arial" w:hAnsi="Arial" w:cs="Arial"/>
                      <w:sz w:val="20"/>
                      <w:szCs w:val="20"/>
                    </w:rPr>
                  </w:pPr>
                </w:p>
                <w:p w:rsidR="00E67285" w:rsidRDefault="00E67285" w:rsidP="00FC1604">
                  <w:pPr>
                    <w:autoSpaceDE w:val="0"/>
                    <w:autoSpaceDN w:val="0"/>
                    <w:adjustRightInd w:val="0"/>
                    <w:jc w:val="both"/>
                    <w:rPr>
                      <w:rFonts w:ascii="Arial" w:hAnsi="Arial" w:cs="Arial"/>
                      <w:sz w:val="20"/>
                      <w:szCs w:val="20"/>
                    </w:rPr>
                  </w:pPr>
                  <w:r w:rsidRPr="009D6DD7">
                    <w:rPr>
                      <w:rFonts w:ascii="Arial" w:hAnsi="Arial" w:cs="Arial"/>
                      <w:sz w:val="20"/>
                      <w:szCs w:val="20"/>
                    </w:rPr>
                    <w:t xml:space="preserve">Measurement </w:t>
                  </w:r>
                  <w:r>
                    <w:rPr>
                      <w:rFonts w:ascii="Arial" w:hAnsi="Arial" w:cs="Arial"/>
                      <w:sz w:val="20"/>
                      <w:szCs w:val="20"/>
                    </w:rPr>
                    <w:t>–</w:t>
                  </w:r>
                  <w:r w:rsidRPr="009D6DD7">
                    <w:rPr>
                      <w:rFonts w:ascii="Arial" w:hAnsi="Arial" w:cs="Arial"/>
                      <w:sz w:val="20"/>
                      <w:szCs w:val="20"/>
                    </w:rPr>
                    <w:t xml:space="preserve"> activity per period and cumulative</w:t>
                  </w:r>
                </w:p>
                <w:p w:rsidR="00E67285" w:rsidRPr="009D6DD7" w:rsidRDefault="00E67285" w:rsidP="00FC1604">
                  <w:pPr>
                    <w:autoSpaceDE w:val="0"/>
                    <w:autoSpaceDN w:val="0"/>
                    <w:adjustRightInd w:val="0"/>
                    <w:jc w:val="both"/>
                    <w:rPr>
                      <w:rFonts w:ascii="Arial" w:hAnsi="Arial" w:cs="Arial"/>
                      <w:sz w:val="20"/>
                      <w:szCs w:val="20"/>
                    </w:rPr>
                  </w:pPr>
                </w:p>
              </w:tc>
              <w:tc>
                <w:tcPr>
                  <w:tcW w:w="2099" w:type="dxa"/>
                  <w:tcBorders>
                    <w:top w:val="single" w:sz="4" w:space="0" w:color="auto"/>
                    <w:left w:val="single" w:sz="4" w:space="0" w:color="auto"/>
                    <w:bottom w:val="single" w:sz="4" w:space="0" w:color="auto"/>
                    <w:right w:val="single" w:sz="4" w:space="0" w:color="auto"/>
                  </w:tcBorders>
                </w:tcPr>
                <w:p w:rsidR="00E67285" w:rsidRDefault="00E67285" w:rsidP="00FC1604">
                  <w:pPr>
                    <w:autoSpaceDE w:val="0"/>
                    <w:autoSpaceDN w:val="0"/>
                    <w:adjustRightInd w:val="0"/>
                    <w:jc w:val="both"/>
                    <w:rPr>
                      <w:rFonts w:ascii="Arial" w:hAnsi="Arial" w:cs="Arial"/>
                      <w:sz w:val="20"/>
                      <w:szCs w:val="20"/>
                    </w:rPr>
                  </w:pPr>
                </w:p>
                <w:p w:rsidR="00E67285" w:rsidRDefault="00E67285" w:rsidP="00FC1604">
                  <w:pPr>
                    <w:autoSpaceDE w:val="0"/>
                    <w:autoSpaceDN w:val="0"/>
                    <w:adjustRightInd w:val="0"/>
                    <w:jc w:val="both"/>
                    <w:rPr>
                      <w:rFonts w:ascii="Arial" w:hAnsi="Arial" w:cs="Arial"/>
                      <w:sz w:val="20"/>
                      <w:szCs w:val="20"/>
                    </w:rPr>
                  </w:pPr>
                  <w:r w:rsidRPr="009D6DD7">
                    <w:rPr>
                      <w:rFonts w:ascii="Arial" w:hAnsi="Arial" w:cs="Arial"/>
                      <w:sz w:val="20"/>
                      <w:szCs w:val="20"/>
                    </w:rPr>
                    <w:t>Frequency</w:t>
                  </w:r>
                </w:p>
                <w:p w:rsidR="00E67285" w:rsidRPr="009D6DD7" w:rsidRDefault="00E67285" w:rsidP="00FC1604">
                  <w:pPr>
                    <w:autoSpaceDE w:val="0"/>
                    <w:autoSpaceDN w:val="0"/>
                    <w:adjustRightInd w:val="0"/>
                    <w:jc w:val="both"/>
                    <w:rPr>
                      <w:rFonts w:ascii="Arial" w:hAnsi="Arial" w:cs="Arial"/>
                      <w:sz w:val="20"/>
                      <w:szCs w:val="20"/>
                    </w:rPr>
                  </w:pPr>
                </w:p>
              </w:tc>
            </w:tr>
            <w:tr w:rsidR="00E67285" w:rsidRPr="007F1427" w:rsidTr="003170CD">
              <w:tc>
                <w:tcPr>
                  <w:tcW w:w="6913" w:type="dxa"/>
                  <w:tcBorders>
                    <w:top w:val="single" w:sz="4" w:space="0" w:color="auto"/>
                    <w:left w:val="single" w:sz="4" w:space="0" w:color="auto"/>
                    <w:bottom w:val="single" w:sz="4" w:space="0" w:color="auto"/>
                    <w:right w:val="single" w:sz="4" w:space="0" w:color="auto"/>
                  </w:tcBorders>
                </w:tcPr>
                <w:p w:rsidR="00E67285" w:rsidRPr="009D6DD7" w:rsidRDefault="00E67285" w:rsidP="00FC1604">
                  <w:pPr>
                    <w:autoSpaceDE w:val="0"/>
                    <w:autoSpaceDN w:val="0"/>
                    <w:adjustRightInd w:val="0"/>
                    <w:jc w:val="both"/>
                    <w:rPr>
                      <w:rFonts w:ascii="Arial" w:hAnsi="Arial" w:cs="Arial"/>
                      <w:sz w:val="20"/>
                      <w:szCs w:val="20"/>
                    </w:rPr>
                  </w:pPr>
                  <w:r w:rsidRPr="009D6DD7">
                    <w:rPr>
                      <w:rFonts w:ascii="Arial" w:hAnsi="Arial" w:cs="Arial"/>
                      <w:sz w:val="20"/>
                      <w:szCs w:val="20"/>
                    </w:rPr>
                    <w:t>Number of new referrals</w:t>
                  </w:r>
                  <w:r w:rsidR="00024A93">
                    <w:rPr>
                      <w:rFonts w:ascii="Arial" w:hAnsi="Arial" w:cs="Arial"/>
                      <w:sz w:val="20"/>
                      <w:szCs w:val="20"/>
                    </w:rPr>
                    <w:t xml:space="preserve"> – actual /for</w:t>
                  </w:r>
                  <w:r w:rsidR="00077602">
                    <w:rPr>
                      <w:rFonts w:ascii="Arial" w:hAnsi="Arial" w:cs="Arial"/>
                      <w:sz w:val="20"/>
                      <w:szCs w:val="20"/>
                    </w:rPr>
                    <w:t>e</w:t>
                  </w:r>
                  <w:r w:rsidR="00024A93">
                    <w:rPr>
                      <w:rFonts w:ascii="Arial" w:hAnsi="Arial" w:cs="Arial"/>
                      <w:sz w:val="20"/>
                      <w:szCs w:val="20"/>
                    </w:rPr>
                    <w:t>cast</w:t>
                  </w:r>
                </w:p>
              </w:tc>
              <w:tc>
                <w:tcPr>
                  <w:tcW w:w="2099" w:type="dxa"/>
                  <w:tcBorders>
                    <w:top w:val="single" w:sz="4" w:space="0" w:color="auto"/>
                    <w:left w:val="single" w:sz="4" w:space="0" w:color="auto"/>
                    <w:bottom w:val="single" w:sz="4" w:space="0" w:color="auto"/>
                    <w:right w:val="single" w:sz="4" w:space="0" w:color="auto"/>
                  </w:tcBorders>
                </w:tcPr>
                <w:p w:rsidR="00E67285" w:rsidRPr="009D6DD7" w:rsidRDefault="003170CD" w:rsidP="00FC1604">
                  <w:pPr>
                    <w:autoSpaceDE w:val="0"/>
                    <w:autoSpaceDN w:val="0"/>
                    <w:adjustRightInd w:val="0"/>
                    <w:jc w:val="both"/>
                    <w:rPr>
                      <w:rFonts w:ascii="Arial" w:hAnsi="Arial" w:cs="Arial"/>
                      <w:sz w:val="20"/>
                      <w:szCs w:val="20"/>
                    </w:rPr>
                  </w:pPr>
                  <w:r>
                    <w:rPr>
                      <w:rFonts w:ascii="Arial" w:hAnsi="Arial" w:cs="Arial"/>
                      <w:sz w:val="20"/>
                      <w:szCs w:val="20"/>
                    </w:rPr>
                    <w:t xml:space="preserve">Monthly </w:t>
                  </w:r>
                </w:p>
              </w:tc>
            </w:tr>
            <w:tr w:rsidR="003170CD" w:rsidRPr="007F1427" w:rsidTr="003170CD">
              <w:tc>
                <w:tcPr>
                  <w:tcW w:w="6913" w:type="dxa"/>
                  <w:tcBorders>
                    <w:top w:val="single" w:sz="4" w:space="0" w:color="auto"/>
                    <w:left w:val="single" w:sz="4" w:space="0" w:color="auto"/>
                    <w:bottom w:val="single" w:sz="4" w:space="0" w:color="auto"/>
                    <w:right w:val="single" w:sz="4" w:space="0" w:color="auto"/>
                  </w:tcBorders>
                </w:tcPr>
                <w:p w:rsidR="003170CD" w:rsidRPr="009D6DD7" w:rsidRDefault="003170CD" w:rsidP="00024A93">
                  <w:pPr>
                    <w:autoSpaceDE w:val="0"/>
                    <w:autoSpaceDN w:val="0"/>
                    <w:adjustRightInd w:val="0"/>
                    <w:jc w:val="both"/>
                    <w:rPr>
                      <w:rFonts w:ascii="Arial" w:hAnsi="Arial" w:cs="Arial"/>
                      <w:sz w:val="20"/>
                      <w:szCs w:val="20"/>
                    </w:rPr>
                  </w:pPr>
                  <w:r w:rsidRPr="009D6DD7">
                    <w:rPr>
                      <w:rFonts w:ascii="Arial" w:hAnsi="Arial" w:cs="Arial"/>
                      <w:sz w:val="20"/>
                      <w:szCs w:val="20"/>
                    </w:rPr>
                    <w:t xml:space="preserve">Number of referrals </w:t>
                  </w:r>
                  <w:r>
                    <w:rPr>
                      <w:rFonts w:ascii="Arial" w:hAnsi="Arial" w:cs="Arial"/>
                      <w:sz w:val="20"/>
                      <w:szCs w:val="20"/>
                    </w:rPr>
                    <w:t>GP practice</w:t>
                  </w:r>
                </w:p>
              </w:tc>
              <w:tc>
                <w:tcPr>
                  <w:tcW w:w="2099" w:type="dxa"/>
                  <w:tcBorders>
                    <w:top w:val="single" w:sz="4" w:space="0" w:color="auto"/>
                    <w:left w:val="single" w:sz="4" w:space="0" w:color="auto"/>
                    <w:bottom w:val="single" w:sz="4" w:space="0" w:color="auto"/>
                    <w:right w:val="single" w:sz="4" w:space="0" w:color="auto"/>
                  </w:tcBorders>
                </w:tcPr>
                <w:p w:rsidR="003170CD" w:rsidRPr="003170CD" w:rsidRDefault="003170CD">
                  <w:pPr>
                    <w:rPr>
                      <w:rFonts w:ascii="Arial" w:hAnsi="Arial" w:cs="Arial"/>
                      <w:sz w:val="20"/>
                      <w:szCs w:val="20"/>
                    </w:rPr>
                  </w:pPr>
                  <w:r w:rsidRPr="003170CD">
                    <w:rPr>
                      <w:rFonts w:ascii="Arial" w:hAnsi="Arial" w:cs="Arial"/>
                      <w:sz w:val="20"/>
                      <w:szCs w:val="20"/>
                    </w:rPr>
                    <w:t xml:space="preserve">Monthly </w:t>
                  </w:r>
                </w:p>
              </w:tc>
            </w:tr>
            <w:tr w:rsidR="003170CD" w:rsidRPr="007F1427" w:rsidTr="003170CD">
              <w:tc>
                <w:tcPr>
                  <w:tcW w:w="6913" w:type="dxa"/>
                  <w:tcBorders>
                    <w:top w:val="single" w:sz="4" w:space="0" w:color="auto"/>
                    <w:left w:val="single" w:sz="4" w:space="0" w:color="auto"/>
                    <w:bottom w:val="single" w:sz="4" w:space="0" w:color="auto"/>
                    <w:right w:val="single" w:sz="4" w:space="0" w:color="auto"/>
                  </w:tcBorders>
                </w:tcPr>
                <w:p w:rsidR="003170CD" w:rsidRPr="009D6DD7" w:rsidRDefault="003170CD" w:rsidP="00FC1604">
                  <w:pPr>
                    <w:autoSpaceDE w:val="0"/>
                    <w:autoSpaceDN w:val="0"/>
                    <w:adjustRightInd w:val="0"/>
                    <w:jc w:val="both"/>
                    <w:rPr>
                      <w:rFonts w:ascii="Arial" w:hAnsi="Arial" w:cs="Arial"/>
                      <w:sz w:val="20"/>
                      <w:szCs w:val="20"/>
                    </w:rPr>
                  </w:pPr>
                  <w:r>
                    <w:rPr>
                      <w:rFonts w:ascii="Arial" w:hAnsi="Arial" w:cs="Arial"/>
                      <w:sz w:val="20"/>
                      <w:szCs w:val="20"/>
                    </w:rPr>
                    <w:t>Number of referrals from secondary care</w:t>
                  </w:r>
                </w:p>
              </w:tc>
              <w:tc>
                <w:tcPr>
                  <w:tcW w:w="2099" w:type="dxa"/>
                  <w:tcBorders>
                    <w:top w:val="single" w:sz="4" w:space="0" w:color="auto"/>
                    <w:left w:val="single" w:sz="4" w:space="0" w:color="auto"/>
                    <w:bottom w:val="single" w:sz="4" w:space="0" w:color="auto"/>
                    <w:right w:val="single" w:sz="4" w:space="0" w:color="auto"/>
                  </w:tcBorders>
                </w:tcPr>
                <w:p w:rsidR="003170CD" w:rsidRPr="003170CD" w:rsidRDefault="003170CD">
                  <w:pPr>
                    <w:rPr>
                      <w:rFonts w:ascii="Arial" w:hAnsi="Arial" w:cs="Arial"/>
                      <w:sz w:val="20"/>
                      <w:szCs w:val="20"/>
                    </w:rPr>
                  </w:pPr>
                  <w:r w:rsidRPr="003170CD">
                    <w:rPr>
                      <w:rFonts w:ascii="Arial" w:hAnsi="Arial" w:cs="Arial"/>
                      <w:sz w:val="20"/>
                      <w:szCs w:val="20"/>
                    </w:rPr>
                    <w:t xml:space="preserve">Monthly </w:t>
                  </w:r>
                </w:p>
              </w:tc>
            </w:tr>
            <w:tr w:rsidR="003170CD" w:rsidRPr="007F1427" w:rsidTr="003170CD">
              <w:tc>
                <w:tcPr>
                  <w:tcW w:w="6913" w:type="dxa"/>
                  <w:tcBorders>
                    <w:top w:val="single" w:sz="4" w:space="0" w:color="auto"/>
                    <w:left w:val="single" w:sz="4" w:space="0" w:color="auto"/>
                    <w:bottom w:val="single" w:sz="4" w:space="0" w:color="auto"/>
                    <w:right w:val="single" w:sz="4" w:space="0" w:color="auto"/>
                  </w:tcBorders>
                </w:tcPr>
                <w:p w:rsidR="003170CD" w:rsidRPr="009D6DD7" w:rsidRDefault="003170CD" w:rsidP="00FC1604">
                  <w:pPr>
                    <w:autoSpaceDE w:val="0"/>
                    <w:autoSpaceDN w:val="0"/>
                    <w:adjustRightInd w:val="0"/>
                    <w:jc w:val="both"/>
                    <w:rPr>
                      <w:rFonts w:ascii="Arial" w:hAnsi="Arial" w:cs="Arial"/>
                      <w:sz w:val="20"/>
                      <w:szCs w:val="20"/>
                    </w:rPr>
                  </w:pPr>
                  <w:r>
                    <w:rPr>
                      <w:rFonts w:ascii="Arial" w:hAnsi="Arial" w:cs="Arial"/>
                      <w:sz w:val="20"/>
                      <w:szCs w:val="20"/>
                    </w:rPr>
                    <w:t>Number of referrals from the falls team</w:t>
                  </w:r>
                </w:p>
              </w:tc>
              <w:tc>
                <w:tcPr>
                  <w:tcW w:w="2099" w:type="dxa"/>
                  <w:tcBorders>
                    <w:top w:val="single" w:sz="4" w:space="0" w:color="auto"/>
                    <w:left w:val="single" w:sz="4" w:space="0" w:color="auto"/>
                    <w:bottom w:val="single" w:sz="4" w:space="0" w:color="auto"/>
                    <w:right w:val="single" w:sz="4" w:space="0" w:color="auto"/>
                  </w:tcBorders>
                </w:tcPr>
                <w:p w:rsidR="003170CD" w:rsidRPr="003170CD" w:rsidRDefault="003170CD">
                  <w:pPr>
                    <w:rPr>
                      <w:rFonts w:ascii="Arial" w:hAnsi="Arial" w:cs="Arial"/>
                      <w:sz w:val="20"/>
                      <w:szCs w:val="20"/>
                    </w:rPr>
                  </w:pPr>
                  <w:r w:rsidRPr="003170CD">
                    <w:rPr>
                      <w:rFonts w:ascii="Arial" w:hAnsi="Arial" w:cs="Arial"/>
                      <w:sz w:val="20"/>
                      <w:szCs w:val="20"/>
                    </w:rPr>
                    <w:t xml:space="preserve">Monthly </w:t>
                  </w:r>
                </w:p>
              </w:tc>
            </w:tr>
            <w:tr w:rsidR="003170CD" w:rsidRPr="007F1427" w:rsidTr="003170CD">
              <w:tc>
                <w:tcPr>
                  <w:tcW w:w="6913" w:type="dxa"/>
                  <w:tcBorders>
                    <w:top w:val="single" w:sz="4" w:space="0" w:color="auto"/>
                    <w:left w:val="single" w:sz="4" w:space="0" w:color="auto"/>
                    <w:bottom w:val="single" w:sz="4" w:space="0" w:color="auto"/>
                    <w:right w:val="single" w:sz="4" w:space="0" w:color="auto"/>
                  </w:tcBorders>
                </w:tcPr>
                <w:p w:rsidR="003170CD" w:rsidRDefault="003170CD" w:rsidP="00FC1604">
                  <w:pPr>
                    <w:autoSpaceDE w:val="0"/>
                    <w:autoSpaceDN w:val="0"/>
                    <w:adjustRightInd w:val="0"/>
                    <w:jc w:val="both"/>
                    <w:rPr>
                      <w:rFonts w:ascii="Arial" w:hAnsi="Arial" w:cs="Arial"/>
                      <w:sz w:val="20"/>
                      <w:szCs w:val="20"/>
                    </w:rPr>
                  </w:pPr>
                  <w:r>
                    <w:rPr>
                      <w:rFonts w:ascii="Arial" w:hAnsi="Arial" w:cs="Arial"/>
                      <w:sz w:val="20"/>
                      <w:szCs w:val="20"/>
                    </w:rPr>
                    <w:t>Number of referrals for patients aged over 75 broken down by sex</w:t>
                  </w:r>
                </w:p>
              </w:tc>
              <w:tc>
                <w:tcPr>
                  <w:tcW w:w="2099" w:type="dxa"/>
                  <w:tcBorders>
                    <w:top w:val="single" w:sz="4" w:space="0" w:color="auto"/>
                    <w:left w:val="single" w:sz="4" w:space="0" w:color="auto"/>
                    <w:bottom w:val="single" w:sz="4" w:space="0" w:color="auto"/>
                    <w:right w:val="single" w:sz="4" w:space="0" w:color="auto"/>
                  </w:tcBorders>
                </w:tcPr>
                <w:p w:rsidR="003170CD" w:rsidRPr="003170CD" w:rsidRDefault="003170CD">
                  <w:pPr>
                    <w:rPr>
                      <w:rFonts w:ascii="Arial" w:hAnsi="Arial" w:cs="Arial"/>
                      <w:sz w:val="20"/>
                      <w:szCs w:val="20"/>
                    </w:rPr>
                  </w:pPr>
                  <w:r w:rsidRPr="003170CD">
                    <w:rPr>
                      <w:rFonts w:ascii="Arial" w:hAnsi="Arial" w:cs="Arial"/>
                      <w:sz w:val="20"/>
                      <w:szCs w:val="20"/>
                    </w:rPr>
                    <w:t xml:space="preserve">Monthly </w:t>
                  </w:r>
                </w:p>
              </w:tc>
            </w:tr>
            <w:tr w:rsidR="003170CD" w:rsidRPr="007F1427" w:rsidTr="003170CD">
              <w:tc>
                <w:tcPr>
                  <w:tcW w:w="6913" w:type="dxa"/>
                  <w:tcBorders>
                    <w:top w:val="single" w:sz="4" w:space="0" w:color="auto"/>
                    <w:left w:val="single" w:sz="4" w:space="0" w:color="auto"/>
                    <w:bottom w:val="single" w:sz="4" w:space="0" w:color="auto"/>
                    <w:right w:val="single" w:sz="4" w:space="0" w:color="auto"/>
                  </w:tcBorders>
                </w:tcPr>
                <w:p w:rsidR="003170CD" w:rsidRPr="009D6DD7" w:rsidRDefault="003170CD" w:rsidP="00024A93">
                  <w:pPr>
                    <w:autoSpaceDE w:val="0"/>
                    <w:autoSpaceDN w:val="0"/>
                    <w:adjustRightInd w:val="0"/>
                    <w:jc w:val="both"/>
                    <w:rPr>
                      <w:rFonts w:ascii="Arial" w:hAnsi="Arial" w:cs="Arial"/>
                      <w:sz w:val="20"/>
                      <w:szCs w:val="20"/>
                    </w:rPr>
                  </w:pPr>
                  <w:r w:rsidRPr="009D6DD7">
                    <w:rPr>
                      <w:rFonts w:ascii="Arial" w:hAnsi="Arial" w:cs="Arial"/>
                      <w:sz w:val="20"/>
                      <w:szCs w:val="20"/>
                    </w:rPr>
                    <w:t xml:space="preserve">Number of </w:t>
                  </w:r>
                  <w:r>
                    <w:rPr>
                      <w:rFonts w:ascii="Arial" w:hAnsi="Arial" w:cs="Arial"/>
                      <w:sz w:val="20"/>
                      <w:szCs w:val="20"/>
                    </w:rPr>
                    <w:t>patients scanned</w:t>
                  </w:r>
                </w:p>
              </w:tc>
              <w:tc>
                <w:tcPr>
                  <w:tcW w:w="2099" w:type="dxa"/>
                  <w:tcBorders>
                    <w:top w:val="single" w:sz="4" w:space="0" w:color="auto"/>
                    <w:left w:val="single" w:sz="4" w:space="0" w:color="auto"/>
                    <w:bottom w:val="single" w:sz="4" w:space="0" w:color="auto"/>
                    <w:right w:val="single" w:sz="4" w:space="0" w:color="auto"/>
                  </w:tcBorders>
                </w:tcPr>
                <w:p w:rsidR="003170CD" w:rsidRPr="003170CD" w:rsidRDefault="003170CD">
                  <w:pPr>
                    <w:rPr>
                      <w:rFonts w:ascii="Arial" w:hAnsi="Arial" w:cs="Arial"/>
                      <w:sz w:val="20"/>
                      <w:szCs w:val="20"/>
                    </w:rPr>
                  </w:pPr>
                  <w:r w:rsidRPr="003170CD">
                    <w:rPr>
                      <w:rFonts w:ascii="Arial" w:hAnsi="Arial" w:cs="Arial"/>
                      <w:sz w:val="20"/>
                      <w:szCs w:val="20"/>
                    </w:rPr>
                    <w:t xml:space="preserve">Monthly </w:t>
                  </w:r>
                </w:p>
              </w:tc>
            </w:tr>
            <w:tr w:rsidR="003170CD" w:rsidRPr="007F1427" w:rsidTr="003170CD">
              <w:tc>
                <w:tcPr>
                  <w:tcW w:w="6913" w:type="dxa"/>
                  <w:tcBorders>
                    <w:top w:val="single" w:sz="4" w:space="0" w:color="auto"/>
                    <w:left w:val="single" w:sz="4" w:space="0" w:color="auto"/>
                    <w:bottom w:val="single" w:sz="4" w:space="0" w:color="auto"/>
                    <w:right w:val="single" w:sz="4" w:space="0" w:color="auto"/>
                  </w:tcBorders>
                </w:tcPr>
                <w:p w:rsidR="003170CD" w:rsidRPr="009D6DD7" w:rsidRDefault="003170CD" w:rsidP="00FC1604">
                  <w:pPr>
                    <w:autoSpaceDE w:val="0"/>
                    <w:autoSpaceDN w:val="0"/>
                    <w:adjustRightInd w:val="0"/>
                    <w:jc w:val="both"/>
                    <w:rPr>
                      <w:rFonts w:ascii="Arial" w:hAnsi="Arial" w:cs="Arial"/>
                      <w:sz w:val="20"/>
                      <w:szCs w:val="20"/>
                    </w:rPr>
                  </w:pPr>
                  <w:r w:rsidRPr="009D6DD7">
                    <w:rPr>
                      <w:rFonts w:ascii="Arial" w:hAnsi="Arial" w:cs="Arial"/>
                      <w:sz w:val="20"/>
                      <w:szCs w:val="20"/>
                    </w:rPr>
                    <w:t>% DNAs</w:t>
                  </w:r>
                </w:p>
              </w:tc>
              <w:tc>
                <w:tcPr>
                  <w:tcW w:w="2099" w:type="dxa"/>
                  <w:tcBorders>
                    <w:top w:val="single" w:sz="4" w:space="0" w:color="auto"/>
                    <w:left w:val="single" w:sz="4" w:space="0" w:color="auto"/>
                    <w:bottom w:val="single" w:sz="4" w:space="0" w:color="auto"/>
                    <w:right w:val="single" w:sz="4" w:space="0" w:color="auto"/>
                  </w:tcBorders>
                </w:tcPr>
                <w:p w:rsidR="003170CD" w:rsidRPr="003170CD" w:rsidRDefault="003170CD">
                  <w:pPr>
                    <w:rPr>
                      <w:rFonts w:ascii="Arial" w:hAnsi="Arial" w:cs="Arial"/>
                      <w:sz w:val="20"/>
                      <w:szCs w:val="20"/>
                    </w:rPr>
                  </w:pPr>
                  <w:r w:rsidRPr="003170CD">
                    <w:rPr>
                      <w:rFonts w:ascii="Arial" w:hAnsi="Arial" w:cs="Arial"/>
                      <w:sz w:val="20"/>
                      <w:szCs w:val="20"/>
                    </w:rPr>
                    <w:t xml:space="preserve">Monthly </w:t>
                  </w:r>
                </w:p>
              </w:tc>
            </w:tr>
            <w:tr w:rsidR="003170CD" w:rsidRPr="007F1427" w:rsidTr="003170CD">
              <w:tc>
                <w:tcPr>
                  <w:tcW w:w="6913" w:type="dxa"/>
                  <w:tcBorders>
                    <w:top w:val="single" w:sz="4" w:space="0" w:color="auto"/>
                    <w:left w:val="single" w:sz="4" w:space="0" w:color="auto"/>
                    <w:bottom w:val="single" w:sz="4" w:space="0" w:color="auto"/>
                    <w:right w:val="single" w:sz="4" w:space="0" w:color="auto"/>
                  </w:tcBorders>
                </w:tcPr>
                <w:p w:rsidR="003170CD" w:rsidRPr="009D6DD7" w:rsidRDefault="003170CD" w:rsidP="00FC1604">
                  <w:pPr>
                    <w:autoSpaceDE w:val="0"/>
                    <w:autoSpaceDN w:val="0"/>
                    <w:adjustRightInd w:val="0"/>
                    <w:jc w:val="both"/>
                    <w:rPr>
                      <w:rFonts w:ascii="Arial" w:hAnsi="Arial" w:cs="Arial"/>
                      <w:sz w:val="20"/>
                      <w:szCs w:val="20"/>
                    </w:rPr>
                  </w:pPr>
                  <w:r w:rsidRPr="009D6DD7">
                    <w:rPr>
                      <w:rFonts w:ascii="Arial" w:hAnsi="Arial" w:cs="Arial"/>
                      <w:sz w:val="20"/>
                      <w:szCs w:val="20"/>
                    </w:rPr>
                    <w:t>% of inappropriate referrals</w:t>
                  </w:r>
                </w:p>
              </w:tc>
              <w:tc>
                <w:tcPr>
                  <w:tcW w:w="2099" w:type="dxa"/>
                  <w:tcBorders>
                    <w:top w:val="single" w:sz="4" w:space="0" w:color="auto"/>
                    <w:left w:val="single" w:sz="4" w:space="0" w:color="auto"/>
                    <w:bottom w:val="single" w:sz="4" w:space="0" w:color="auto"/>
                    <w:right w:val="single" w:sz="4" w:space="0" w:color="auto"/>
                  </w:tcBorders>
                </w:tcPr>
                <w:p w:rsidR="003170CD" w:rsidRPr="003170CD" w:rsidRDefault="003170CD">
                  <w:pPr>
                    <w:rPr>
                      <w:rFonts w:ascii="Arial" w:hAnsi="Arial" w:cs="Arial"/>
                      <w:sz w:val="20"/>
                      <w:szCs w:val="20"/>
                    </w:rPr>
                  </w:pPr>
                  <w:r w:rsidRPr="003170CD">
                    <w:rPr>
                      <w:rFonts w:ascii="Arial" w:hAnsi="Arial" w:cs="Arial"/>
                      <w:sz w:val="20"/>
                      <w:szCs w:val="20"/>
                    </w:rPr>
                    <w:t xml:space="preserve">Monthly </w:t>
                  </w:r>
                </w:p>
              </w:tc>
            </w:tr>
            <w:tr w:rsidR="003170CD" w:rsidRPr="007F1427" w:rsidTr="003170CD">
              <w:tc>
                <w:tcPr>
                  <w:tcW w:w="6913" w:type="dxa"/>
                  <w:tcBorders>
                    <w:top w:val="single" w:sz="4" w:space="0" w:color="auto"/>
                    <w:left w:val="single" w:sz="4" w:space="0" w:color="auto"/>
                    <w:bottom w:val="single" w:sz="4" w:space="0" w:color="auto"/>
                    <w:right w:val="single" w:sz="4" w:space="0" w:color="auto"/>
                  </w:tcBorders>
                </w:tcPr>
                <w:p w:rsidR="003170CD" w:rsidRPr="009D6DD7" w:rsidRDefault="003170CD" w:rsidP="00FC1604">
                  <w:pPr>
                    <w:autoSpaceDE w:val="0"/>
                    <w:autoSpaceDN w:val="0"/>
                    <w:adjustRightInd w:val="0"/>
                    <w:jc w:val="both"/>
                    <w:rPr>
                      <w:rFonts w:ascii="Arial" w:hAnsi="Arial" w:cs="Arial"/>
                      <w:sz w:val="20"/>
                      <w:szCs w:val="20"/>
                    </w:rPr>
                  </w:pPr>
                  <w:r w:rsidRPr="009D6DD7">
                    <w:rPr>
                      <w:rFonts w:ascii="Arial" w:hAnsi="Arial" w:cs="Arial"/>
                      <w:sz w:val="20"/>
                      <w:szCs w:val="20"/>
                    </w:rPr>
                    <w:t>Patient Complaints</w:t>
                  </w:r>
                </w:p>
              </w:tc>
              <w:tc>
                <w:tcPr>
                  <w:tcW w:w="2099" w:type="dxa"/>
                  <w:tcBorders>
                    <w:top w:val="single" w:sz="4" w:space="0" w:color="auto"/>
                    <w:left w:val="single" w:sz="4" w:space="0" w:color="auto"/>
                    <w:bottom w:val="single" w:sz="4" w:space="0" w:color="auto"/>
                    <w:right w:val="single" w:sz="4" w:space="0" w:color="auto"/>
                  </w:tcBorders>
                </w:tcPr>
                <w:p w:rsidR="003170CD" w:rsidRPr="003170CD" w:rsidRDefault="003170CD">
                  <w:pPr>
                    <w:rPr>
                      <w:rFonts w:ascii="Arial" w:hAnsi="Arial" w:cs="Arial"/>
                      <w:sz w:val="20"/>
                      <w:szCs w:val="20"/>
                    </w:rPr>
                  </w:pPr>
                  <w:r w:rsidRPr="003170CD">
                    <w:rPr>
                      <w:rFonts w:ascii="Arial" w:hAnsi="Arial" w:cs="Arial"/>
                      <w:sz w:val="20"/>
                      <w:szCs w:val="20"/>
                    </w:rPr>
                    <w:t xml:space="preserve">Monthly </w:t>
                  </w:r>
                </w:p>
              </w:tc>
            </w:tr>
            <w:tr w:rsidR="003170CD" w:rsidRPr="007F1427" w:rsidTr="003170CD">
              <w:tc>
                <w:tcPr>
                  <w:tcW w:w="6913" w:type="dxa"/>
                  <w:tcBorders>
                    <w:top w:val="single" w:sz="4" w:space="0" w:color="auto"/>
                    <w:left w:val="single" w:sz="4" w:space="0" w:color="auto"/>
                    <w:bottom w:val="single" w:sz="4" w:space="0" w:color="auto"/>
                    <w:right w:val="single" w:sz="4" w:space="0" w:color="auto"/>
                  </w:tcBorders>
                </w:tcPr>
                <w:p w:rsidR="003170CD" w:rsidRPr="00057BD1" w:rsidRDefault="003170CD" w:rsidP="00FC1604">
                  <w:pPr>
                    <w:autoSpaceDE w:val="0"/>
                    <w:autoSpaceDN w:val="0"/>
                    <w:adjustRightInd w:val="0"/>
                    <w:jc w:val="both"/>
                    <w:rPr>
                      <w:rFonts w:ascii="Arial" w:hAnsi="Arial" w:cs="Arial"/>
                      <w:sz w:val="20"/>
                      <w:szCs w:val="20"/>
                    </w:rPr>
                  </w:pPr>
                  <w:r w:rsidRPr="00057BD1">
                    <w:rPr>
                      <w:rFonts w:ascii="Arial" w:hAnsi="Arial" w:cs="Arial"/>
                      <w:sz w:val="20"/>
                      <w:szCs w:val="20"/>
                    </w:rPr>
                    <w:t>Practice Complaints</w:t>
                  </w:r>
                </w:p>
              </w:tc>
              <w:tc>
                <w:tcPr>
                  <w:tcW w:w="2099" w:type="dxa"/>
                  <w:tcBorders>
                    <w:top w:val="single" w:sz="4" w:space="0" w:color="auto"/>
                    <w:left w:val="single" w:sz="4" w:space="0" w:color="auto"/>
                    <w:bottom w:val="single" w:sz="4" w:space="0" w:color="auto"/>
                    <w:right w:val="single" w:sz="4" w:space="0" w:color="auto"/>
                  </w:tcBorders>
                </w:tcPr>
                <w:p w:rsidR="003170CD" w:rsidRPr="003170CD" w:rsidRDefault="003170CD">
                  <w:pPr>
                    <w:rPr>
                      <w:rFonts w:ascii="Arial" w:hAnsi="Arial" w:cs="Arial"/>
                      <w:sz w:val="20"/>
                      <w:szCs w:val="20"/>
                    </w:rPr>
                  </w:pPr>
                  <w:r w:rsidRPr="003170CD">
                    <w:rPr>
                      <w:rFonts w:ascii="Arial" w:hAnsi="Arial" w:cs="Arial"/>
                      <w:sz w:val="20"/>
                      <w:szCs w:val="20"/>
                    </w:rPr>
                    <w:t xml:space="preserve">Monthly </w:t>
                  </w:r>
                </w:p>
              </w:tc>
            </w:tr>
          </w:tbl>
          <w:p w:rsidR="0013634B" w:rsidRDefault="0013634B" w:rsidP="0013634B">
            <w:pPr>
              <w:jc w:val="both"/>
              <w:rPr>
                <w:rFonts w:ascii="Arial Bold" w:hAnsi="Arial Bold" w:cs="Arial Bold"/>
                <w:bCs/>
                <w:sz w:val="20"/>
                <w:szCs w:val="20"/>
              </w:rPr>
            </w:pPr>
          </w:p>
          <w:p w:rsidR="0013634B" w:rsidRPr="0013634B" w:rsidRDefault="0013634B" w:rsidP="0013634B">
            <w:pPr>
              <w:jc w:val="both"/>
              <w:rPr>
                <w:rFonts w:ascii="Arial" w:hAnsi="Arial" w:cs="Arial"/>
                <w:bCs/>
                <w:sz w:val="20"/>
                <w:szCs w:val="20"/>
              </w:rPr>
            </w:pPr>
            <w:r w:rsidRPr="0013634B">
              <w:rPr>
                <w:rFonts w:ascii="Arial" w:hAnsi="Arial" w:cs="Arial"/>
                <w:bCs/>
                <w:sz w:val="20"/>
                <w:szCs w:val="20"/>
              </w:rPr>
              <w:t xml:space="preserve">The Provider must have protocols in place for incidental finding of suspected cancer or Red Flag conditions the Provider must fast track the patient(s). </w:t>
            </w:r>
          </w:p>
          <w:p w:rsidR="0013634B" w:rsidRPr="0013634B" w:rsidRDefault="0013634B" w:rsidP="0013634B">
            <w:pPr>
              <w:jc w:val="both"/>
              <w:rPr>
                <w:rFonts w:ascii="Arial" w:hAnsi="Arial" w:cs="Arial"/>
                <w:bCs/>
                <w:sz w:val="20"/>
                <w:szCs w:val="20"/>
              </w:rPr>
            </w:pPr>
          </w:p>
          <w:p w:rsidR="0013634B" w:rsidRPr="0013634B" w:rsidRDefault="0013634B" w:rsidP="0013634B">
            <w:pPr>
              <w:jc w:val="both"/>
              <w:rPr>
                <w:rFonts w:ascii="Arial" w:hAnsi="Arial" w:cs="Arial"/>
                <w:bCs/>
                <w:sz w:val="20"/>
                <w:szCs w:val="20"/>
              </w:rPr>
            </w:pPr>
            <w:r w:rsidRPr="0013634B">
              <w:rPr>
                <w:rFonts w:ascii="Arial" w:hAnsi="Arial" w:cs="Arial"/>
                <w:bCs/>
                <w:sz w:val="20"/>
                <w:szCs w:val="20"/>
              </w:rPr>
              <w:t xml:space="preserve">The Provider must have a process </w:t>
            </w:r>
            <w:r w:rsidR="005052CB">
              <w:rPr>
                <w:rFonts w:ascii="Arial" w:hAnsi="Arial" w:cs="Arial"/>
                <w:bCs/>
                <w:sz w:val="20"/>
                <w:szCs w:val="20"/>
              </w:rPr>
              <w:t xml:space="preserve">in place </w:t>
            </w:r>
            <w:r w:rsidRPr="0013634B">
              <w:rPr>
                <w:rFonts w:ascii="Arial" w:hAnsi="Arial" w:cs="Arial"/>
                <w:bCs/>
                <w:sz w:val="20"/>
                <w:szCs w:val="20"/>
              </w:rPr>
              <w:t>for contacting patients in the event that following referral they are returned to the referrer, giving the reason for the refusal and instructions on the next step.  This process must be &lt; 3 working days.</w:t>
            </w:r>
          </w:p>
          <w:p w:rsidR="0013634B" w:rsidRDefault="0013634B" w:rsidP="0013634B">
            <w:pPr>
              <w:jc w:val="both"/>
              <w:rPr>
                <w:rFonts w:ascii="Arial Bold" w:hAnsi="Arial Bold" w:cs="Arial Bold"/>
                <w:bCs/>
                <w:sz w:val="20"/>
                <w:szCs w:val="20"/>
              </w:rPr>
            </w:pPr>
          </w:p>
          <w:p w:rsidR="0013634B" w:rsidRDefault="0013634B" w:rsidP="0013634B">
            <w:pPr>
              <w:jc w:val="both"/>
              <w:rPr>
                <w:rFonts w:ascii="Arial" w:hAnsi="Arial" w:cs="Arial"/>
                <w:bCs/>
                <w:sz w:val="20"/>
                <w:szCs w:val="20"/>
                <w:u w:val="single"/>
              </w:rPr>
            </w:pPr>
            <w:r w:rsidRPr="0013634B">
              <w:rPr>
                <w:rFonts w:ascii="Arial" w:hAnsi="Arial" w:cs="Arial"/>
                <w:bCs/>
                <w:sz w:val="20"/>
                <w:szCs w:val="20"/>
                <w:u w:val="single"/>
              </w:rPr>
              <w:t>KPIs</w:t>
            </w:r>
          </w:p>
          <w:p w:rsidR="0013634B" w:rsidRPr="0013634B" w:rsidRDefault="0013634B" w:rsidP="0013634B">
            <w:pPr>
              <w:jc w:val="both"/>
              <w:rPr>
                <w:rFonts w:ascii="Arial" w:hAnsi="Arial" w:cs="Arial"/>
                <w:bCs/>
                <w:sz w:val="20"/>
                <w:szCs w:val="20"/>
                <w:u w:val="single"/>
              </w:rPr>
            </w:pPr>
          </w:p>
          <w:p w:rsidR="0013634B" w:rsidRPr="0013634B" w:rsidRDefault="0013634B" w:rsidP="0013634B">
            <w:pPr>
              <w:jc w:val="both"/>
              <w:rPr>
                <w:rFonts w:ascii="Arial" w:hAnsi="Arial" w:cs="Arial"/>
                <w:bCs/>
                <w:sz w:val="20"/>
                <w:szCs w:val="20"/>
              </w:rPr>
            </w:pPr>
            <w:r w:rsidRPr="0013634B">
              <w:rPr>
                <w:rFonts w:ascii="Arial" w:hAnsi="Arial" w:cs="Arial"/>
                <w:bCs/>
                <w:sz w:val="20"/>
                <w:szCs w:val="20"/>
              </w:rPr>
              <w:t xml:space="preserve">The Provider will comply with the Key Performance Indicators. The CCG may, at any time, make alterations to the KPIs in line with changing need of the CCG and patients. </w:t>
            </w:r>
          </w:p>
          <w:p w:rsidR="0013634B" w:rsidRPr="0013634B" w:rsidRDefault="0013634B" w:rsidP="0013634B">
            <w:pPr>
              <w:jc w:val="both"/>
              <w:rPr>
                <w:rFonts w:ascii="Arial" w:hAnsi="Arial" w:cs="Arial"/>
                <w:bCs/>
                <w:sz w:val="20"/>
                <w:szCs w:val="20"/>
              </w:rPr>
            </w:pPr>
          </w:p>
          <w:p w:rsidR="0013634B" w:rsidRPr="0013634B" w:rsidRDefault="0013634B" w:rsidP="0013634B">
            <w:pPr>
              <w:jc w:val="both"/>
              <w:rPr>
                <w:rFonts w:ascii="Arial" w:hAnsi="Arial" w:cs="Arial"/>
                <w:bCs/>
                <w:sz w:val="20"/>
                <w:szCs w:val="20"/>
              </w:rPr>
            </w:pPr>
            <w:r w:rsidRPr="0013634B">
              <w:rPr>
                <w:rFonts w:ascii="Arial" w:hAnsi="Arial" w:cs="Arial"/>
                <w:bCs/>
                <w:sz w:val="20"/>
                <w:szCs w:val="20"/>
              </w:rPr>
              <w:t>•</w:t>
            </w:r>
            <w:r w:rsidRPr="0013634B">
              <w:rPr>
                <w:rFonts w:ascii="Arial" w:hAnsi="Arial" w:cs="Arial"/>
                <w:bCs/>
                <w:sz w:val="20"/>
                <w:szCs w:val="20"/>
              </w:rPr>
              <w:tab/>
            </w:r>
            <w:r w:rsidR="005052CB">
              <w:rPr>
                <w:rFonts w:ascii="Arial" w:hAnsi="Arial" w:cs="Arial"/>
                <w:bCs/>
                <w:sz w:val="20"/>
                <w:szCs w:val="20"/>
              </w:rPr>
              <w:t xml:space="preserve">Triage to take place within 1 working day of referral being received </w:t>
            </w:r>
          </w:p>
          <w:p w:rsidR="0013634B" w:rsidRPr="0013634B" w:rsidRDefault="0013634B" w:rsidP="0013634B">
            <w:pPr>
              <w:jc w:val="both"/>
              <w:rPr>
                <w:rFonts w:ascii="Arial" w:hAnsi="Arial" w:cs="Arial"/>
                <w:bCs/>
                <w:sz w:val="20"/>
                <w:szCs w:val="20"/>
              </w:rPr>
            </w:pPr>
            <w:r w:rsidRPr="0013634B">
              <w:rPr>
                <w:rFonts w:ascii="Arial" w:hAnsi="Arial" w:cs="Arial"/>
                <w:bCs/>
                <w:sz w:val="20"/>
                <w:szCs w:val="20"/>
              </w:rPr>
              <w:t>•</w:t>
            </w:r>
            <w:r w:rsidRPr="0013634B">
              <w:rPr>
                <w:rFonts w:ascii="Arial" w:hAnsi="Arial" w:cs="Arial"/>
                <w:bCs/>
                <w:sz w:val="20"/>
                <w:szCs w:val="20"/>
              </w:rPr>
              <w:tab/>
              <w:t>Patients offered appointment within 5 working days of receipt of referral</w:t>
            </w:r>
          </w:p>
          <w:p w:rsidR="0013634B" w:rsidRPr="0013634B" w:rsidRDefault="0013634B" w:rsidP="0013634B">
            <w:pPr>
              <w:jc w:val="both"/>
              <w:rPr>
                <w:rFonts w:ascii="Arial" w:hAnsi="Arial" w:cs="Arial"/>
                <w:bCs/>
                <w:sz w:val="20"/>
                <w:szCs w:val="20"/>
              </w:rPr>
            </w:pPr>
            <w:r w:rsidRPr="0013634B">
              <w:rPr>
                <w:rFonts w:ascii="Arial" w:hAnsi="Arial" w:cs="Arial"/>
                <w:bCs/>
                <w:sz w:val="20"/>
                <w:szCs w:val="20"/>
              </w:rPr>
              <w:t>•</w:t>
            </w:r>
            <w:r w:rsidRPr="0013634B">
              <w:rPr>
                <w:rFonts w:ascii="Arial" w:hAnsi="Arial" w:cs="Arial"/>
                <w:bCs/>
                <w:sz w:val="20"/>
                <w:szCs w:val="20"/>
              </w:rPr>
              <w:tab/>
              <w:t>Patients scanned within 6 weeks of referral</w:t>
            </w:r>
          </w:p>
          <w:p w:rsidR="00E67285" w:rsidRDefault="0013634B" w:rsidP="0013634B">
            <w:pPr>
              <w:jc w:val="both"/>
              <w:rPr>
                <w:rFonts w:ascii="Arial" w:hAnsi="Arial" w:cs="Arial"/>
                <w:bCs/>
                <w:sz w:val="20"/>
                <w:szCs w:val="20"/>
              </w:rPr>
            </w:pPr>
            <w:r w:rsidRPr="0013634B">
              <w:rPr>
                <w:rFonts w:ascii="Arial" w:hAnsi="Arial" w:cs="Arial"/>
                <w:bCs/>
                <w:sz w:val="20"/>
                <w:szCs w:val="20"/>
              </w:rPr>
              <w:t>•</w:t>
            </w:r>
            <w:r w:rsidRPr="0013634B">
              <w:rPr>
                <w:rFonts w:ascii="Arial" w:hAnsi="Arial" w:cs="Arial"/>
                <w:bCs/>
                <w:sz w:val="20"/>
                <w:szCs w:val="20"/>
              </w:rPr>
              <w:tab/>
              <w:t>A minimum of 90% of reports sent to referring clinician within 5 working days of DEXA scan</w:t>
            </w:r>
          </w:p>
          <w:p w:rsidR="0013634B" w:rsidRDefault="0013634B" w:rsidP="00147309">
            <w:pPr>
              <w:jc w:val="both"/>
              <w:rPr>
                <w:rFonts w:ascii="Arial" w:hAnsi="Arial" w:cs="Arial"/>
                <w:bCs/>
                <w:sz w:val="20"/>
                <w:szCs w:val="20"/>
              </w:rPr>
            </w:pPr>
          </w:p>
          <w:p w:rsidR="0013634B" w:rsidRPr="0048231D" w:rsidRDefault="0013634B" w:rsidP="00147309">
            <w:pPr>
              <w:jc w:val="both"/>
              <w:rPr>
                <w:rFonts w:ascii="Arial Bold" w:hAnsi="Arial Bold" w:cs="Arial Bold"/>
                <w:b/>
                <w:bCs/>
                <w:color w:val="339966"/>
                <w:sz w:val="20"/>
                <w:szCs w:val="20"/>
              </w:rPr>
            </w:pPr>
          </w:p>
          <w:p w:rsidR="008C4500" w:rsidRDefault="00985C92" w:rsidP="00147309">
            <w:pPr>
              <w:jc w:val="both"/>
              <w:rPr>
                <w:rFonts w:ascii="Arial Bold" w:hAnsi="Arial Bold" w:cs="Arial Bold"/>
                <w:b/>
                <w:bCs/>
                <w:color w:val="339966"/>
                <w:sz w:val="20"/>
                <w:szCs w:val="20"/>
              </w:rPr>
            </w:pPr>
            <w:r>
              <w:rPr>
                <w:rFonts w:ascii="Arial Bold" w:hAnsi="Arial Bold" w:cs="Arial Bold"/>
                <w:b/>
                <w:bCs/>
                <w:color w:val="339966"/>
                <w:sz w:val="20"/>
                <w:szCs w:val="20"/>
              </w:rPr>
              <w:t>3</w:t>
            </w:r>
            <w:r w:rsidR="008C4500">
              <w:rPr>
                <w:rFonts w:ascii="Arial Bold" w:hAnsi="Arial Bold" w:cs="Arial Bold"/>
                <w:b/>
                <w:bCs/>
                <w:color w:val="339966"/>
                <w:sz w:val="20"/>
                <w:szCs w:val="20"/>
              </w:rPr>
              <w:t>.3</w:t>
            </w:r>
            <w:r w:rsidR="008C4500" w:rsidRPr="0048231D">
              <w:rPr>
                <w:rFonts w:ascii="Arial Bold" w:hAnsi="Arial Bold" w:cs="Arial Bold"/>
                <w:b/>
                <w:bCs/>
                <w:color w:val="339966"/>
                <w:sz w:val="20"/>
                <w:szCs w:val="20"/>
              </w:rPr>
              <w:t xml:space="preserve"> </w:t>
            </w:r>
            <w:r w:rsidR="008C4500">
              <w:rPr>
                <w:rFonts w:ascii="Arial Bold" w:hAnsi="Arial Bold" w:cs="Arial Bold"/>
                <w:b/>
                <w:bCs/>
                <w:color w:val="339966"/>
                <w:sz w:val="20"/>
                <w:szCs w:val="20"/>
              </w:rPr>
              <w:t>Population</w:t>
            </w:r>
            <w:r w:rsidR="008C4500" w:rsidRPr="0048231D">
              <w:rPr>
                <w:rFonts w:ascii="Arial Bold" w:hAnsi="Arial Bold" w:cs="Arial Bold"/>
                <w:b/>
                <w:bCs/>
                <w:color w:val="339966"/>
                <w:sz w:val="20"/>
                <w:szCs w:val="20"/>
              </w:rPr>
              <w:t xml:space="preserve"> covered</w:t>
            </w:r>
          </w:p>
          <w:p w:rsidR="009F64D4" w:rsidRPr="0048231D" w:rsidRDefault="009F64D4" w:rsidP="00147309">
            <w:pPr>
              <w:jc w:val="both"/>
              <w:rPr>
                <w:rFonts w:ascii="Arial Bold" w:hAnsi="Arial Bold" w:cs="Arial Bold"/>
                <w:b/>
                <w:bCs/>
                <w:color w:val="339966"/>
                <w:sz w:val="20"/>
                <w:szCs w:val="20"/>
              </w:rPr>
            </w:pPr>
          </w:p>
          <w:p w:rsidR="008C4500" w:rsidRPr="0027461E" w:rsidRDefault="0027461E" w:rsidP="00147309">
            <w:pPr>
              <w:jc w:val="both"/>
              <w:rPr>
                <w:rFonts w:ascii="Arial" w:hAnsi="Arial" w:cs="Arial"/>
                <w:bCs/>
                <w:sz w:val="20"/>
                <w:szCs w:val="20"/>
              </w:rPr>
            </w:pPr>
            <w:r w:rsidRPr="0027461E">
              <w:rPr>
                <w:rFonts w:ascii="Arial" w:hAnsi="Arial" w:cs="Arial"/>
                <w:bCs/>
                <w:sz w:val="20"/>
                <w:szCs w:val="20"/>
              </w:rPr>
              <w:t>The direct access service is available to both primary and secondary care clinicians for patient</w:t>
            </w:r>
            <w:r w:rsidR="009F64D4">
              <w:rPr>
                <w:rFonts w:ascii="Arial" w:hAnsi="Arial" w:cs="Arial"/>
                <w:bCs/>
                <w:sz w:val="20"/>
                <w:szCs w:val="20"/>
              </w:rPr>
              <w:t xml:space="preserve">s registered with either an </w:t>
            </w:r>
            <w:r w:rsidRPr="0027461E">
              <w:rPr>
                <w:rFonts w:ascii="Arial" w:hAnsi="Arial" w:cs="Arial"/>
                <w:bCs/>
                <w:sz w:val="20"/>
                <w:szCs w:val="20"/>
              </w:rPr>
              <w:t>East Lancashire</w:t>
            </w:r>
            <w:r w:rsidR="009F64D4">
              <w:rPr>
                <w:rFonts w:ascii="Arial" w:hAnsi="Arial" w:cs="Arial"/>
                <w:bCs/>
                <w:sz w:val="20"/>
                <w:szCs w:val="20"/>
              </w:rPr>
              <w:t xml:space="preserve"> </w:t>
            </w:r>
            <w:r w:rsidRPr="0027461E">
              <w:rPr>
                <w:rFonts w:ascii="Arial" w:hAnsi="Arial" w:cs="Arial"/>
                <w:bCs/>
                <w:sz w:val="20"/>
                <w:szCs w:val="20"/>
              </w:rPr>
              <w:t xml:space="preserve">or Blackburn with Darwen </w:t>
            </w:r>
            <w:r w:rsidR="009F64D4">
              <w:rPr>
                <w:rFonts w:ascii="Arial" w:hAnsi="Arial" w:cs="Arial"/>
                <w:bCs/>
                <w:sz w:val="20"/>
                <w:szCs w:val="20"/>
              </w:rPr>
              <w:t xml:space="preserve">CCG </w:t>
            </w:r>
            <w:r w:rsidRPr="0027461E">
              <w:rPr>
                <w:rFonts w:ascii="Arial" w:hAnsi="Arial" w:cs="Arial"/>
                <w:bCs/>
                <w:sz w:val="20"/>
                <w:szCs w:val="20"/>
              </w:rPr>
              <w:t>GP.</w:t>
            </w:r>
          </w:p>
          <w:p w:rsidR="008C4500" w:rsidRPr="0048231D" w:rsidRDefault="008C4500" w:rsidP="00147309">
            <w:pPr>
              <w:jc w:val="both"/>
              <w:rPr>
                <w:rFonts w:ascii="Arial Bold" w:hAnsi="Arial Bold" w:cs="Arial Bold"/>
                <w:b/>
                <w:bCs/>
                <w:color w:val="339966"/>
                <w:sz w:val="20"/>
                <w:szCs w:val="20"/>
              </w:rPr>
            </w:pPr>
          </w:p>
          <w:p w:rsidR="008C4500" w:rsidRDefault="00D51FF4" w:rsidP="00147309">
            <w:pPr>
              <w:jc w:val="both"/>
              <w:rPr>
                <w:rFonts w:ascii="Arial Bold" w:hAnsi="Arial Bold" w:cs="Arial Bold"/>
                <w:b/>
                <w:bCs/>
                <w:color w:val="339966"/>
                <w:sz w:val="20"/>
                <w:szCs w:val="20"/>
              </w:rPr>
            </w:pPr>
            <w:r>
              <w:rPr>
                <w:rFonts w:ascii="Arial Bold" w:hAnsi="Arial Bold" w:cs="Arial Bold"/>
                <w:b/>
                <w:bCs/>
                <w:color w:val="339966"/>
                <w:sz w:val="20"/>
                <w:szCs w:val="20"/>
              </w:rPr>
              <w:t>3</w:t>
            </w:r>
            <w:r w:rsidR="008C4500">
              <w:rPr>
                <w:rFonts w:ascii="Arial Bold" w:hAnsi="Arial Bold" w:cs="Arial Bold"/>
                <w:b/>
                <w:bCs/>
                <w:color w:val="339966"/>
                <w:sz w:val="20"/>
                <w:szCs w:val="20"/>
              </w:rPr>
              <w:t>.4</w:t>
            </w:r>
            <w:r w:rsidR="008C4500" w:rsidRPr="0048231D">
              <w:rPr>
                <w:rFonts w:ascii="Arial Bold" w:hAnsi="Arial Bold" w:cs="Arial Bold"/>
                <w:b/>
                <w:bCs/>
                <w:color w:val="339966"/>
                <w:sz w:val="20"/>
                <w:szCs w:val="20"/>
              </w:rPr>
              <w:t xml:space="preserve"> Any </w:t>
            </w:r>
            <w:r w:rsidR="008C4500">
              <w:rPr>
                <w:rFonts w:ascii="Arial Bold" w:hAnsi="Arial Bold" w:cs="Arial Bold"/>
                <w:b/>
                <w:bCs/>
                <w:color w:val="339966"/>
                <w:sz w:val="20"/>
                <w:szCs w:val="20"/>
              </w:rPr>
              <w:t xml:space="preserve">acceptance and </w:t>
            </w:r>
            <w:r w:rsidR="008C4500" w:rsidRPr="0048231D">
              <w:rPr>
                <w:rFonts w:ascii="Arial Bold" w:hAnsi="Arial Bold" w:cs="Arial Bold"/>
                <w:b/>
                <w:bCs/>
                <w:color w:val="339966"/>
                <w:sz w:val="20"/>
                <w:szCs w:val="20"/>
              </w:rPr>
              <w:t xml:space="preserve">exclusion criteria </w:t>
            </w:r>
          </w:p>
          <w:p w:rsidR="009F64D4" w:rsidRPr="00B1233B" w:rsidRDefault="00B1233B" w:rsidP="00147309">
            <w:pPr>
              <w:jc w:val="both"/>
              <w:rPr>
                <w:rFonts w:ascii="Arial Bold" w:hAnsi="Arial Bold" w:cs="Arial Bold"/>
                <w:b/>
                <w:bCs/>
                <w:sz w:val="20"/>
                <w:szCs w:val="20"/>
              </w:rPr>
            </w:pPr>
            <w:r w:rsidRPr="00B1233B">
              <w:rPr>
                <w:rFonts w:ascii="Arial Bold" w:hAnsi="Arial Bold" w:cs="Arial Bold"/>
                <w:b/>
                <w:bCs/>
                <w:sz w:val="20"/>
                <w:szCs w:val="20"/>
              </w:rPr>
              <w:t>3.4.1 Accessibility/Acceptability</w:t>
            </w: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 xml:space="preserve">The Provider will offer a service </w:t>
            </w:r>
            <w:r w:rsidR="009C35DF">
              <w:rPr>
                <w:rFonts w:ascii="Arial" w:hAnsi="Arial" w:cs="Arial"/>
                <w:bCs/>
                <w:sz w:val="20"/>
                <w:szCs w:val="20"/>
              </w:rPr>
              <w:t>over a 52 week period</w:t>
            </w:r>
            <w:r w:rsidR="00EA66F2">
              <w:rPr>
                <w:rFonts w:ascii="Arial" w:hAnsi="Arial" w:cs="Arial"/>
                <w:bCs/>
                <w:sz w:val="20"/>
                <w:szCs w:val="20"/>
              </w:rPr>
              <w:t xml:space="preserve"> (excluding bank holidays and weekends) and</w:t>
            </w:r>
            <w:r w:rsidRPr="00BD21A4">
              <w:rPr>
                <w:rFonts w:ascii="Arial" w:hAnsi="Arial" w:cs="Arial"/>
                <w:bCs/>
                <w:sz w:val="20"/>
                <w:szCs w:val="20"/>
              </w:rPr>
              <w:t xml:space="preserve"> must be able to provide flexible services to meet demand and waiting times.  </w:t>
            </w:r>
          </w:p>
          <w:p w:rsidR="00BD21A4" w:rsidRPr="00BD21A4" w:rsidRDefault="00BD21A4" w:rsidP="00147309">
            <w:pPr>
              <w:jc w:val="both"/>
              <w:rPr>
                <w:rFonts w:ascii="Arial" w:hAnsi="Arial" w:cs="Arial"/>
                <w:bCs/>
                <w:sz w:val="20"/>
                <w:szCs w:val="20"/>
              </w:rPr>
            </w:pPr>
          </w:p>
          <w:p w:rsidR="00BD21A4" w:rsidRPr="00BD21A4" w:rsidRDefault="007B78C9" w:rsidP="00147309">
            <w:pPr>
              <w:jc w:val="both"/>
              <w:rPr>
                <w:rFonts w:ascii="Arial" w:hAnsi="Arial" w:cs="Arial"/>
                <w:bCs/>
                <w:sz w:val="20"/>
                <w:szCs w:val="20"/>
              </w:rPr>
            </w:pPr>
            <w:r>
              <w:rPr>
                <w:rFonts w:ascii="Arial" w:hAnsi="Arial" w:cs="Arial"/>
                <w:bCs/>
                <w:sz w:val="20"/>
                <w:szCs w:val="20"/>
              </w:rPr>
              <w:t>P</w:t>
            </w:r>
            <w:r w:rsidR="00BD21A4" w:rsidRPr="00BD21A4">
              <w:rPr>
                <w:rFonts w:ascii="Arial" w:hAnsi="Arial" w:cs="Arial"/>
                <w:bCs/>
                <w:sz w:val="20"/>
                <w:szCs w:val="20"/>
              </w:rPr>
              <w:t>atients</w:t>
            </w:r>
            <w:r w:rsidR="00147309">
              <w:rPr>
                <w:rFonts w:ascii="Arial" w:hAnsi="Arial" w:cs="Arial"/>
                <w:bCs/>
                <w:sz w:val="20"/>
                <w:szCs w:val="20"/>
              </w:rPr>
              <w:t xml:space="preserve"> registered with GPs in both</w:t>
            </w:r>
            <w:r w:rsidR="00BD21A4" w:rsidRPr="00BD21A4">
              <w:rPr>
                <w:rFonts w:ascii="Arial" w:hAnsi="Arial" w:cs="Arial"/>
                <w:bCs/>
                <w:sz w:val="20"/>
                <w:szCs w:val="20"/>
              </w:rPr>
              <w:t xml:space="preserve"> East Lancashire and Blackburn with Darwen.</w:t>
            </w:r>
          </w:p>
          <w:p w:rsidR="00BD21A4" w:rsidRPr="00BD21A4" w:rsidRDefault="00BD21A4" w:rsidP="00147309">
            <w:pPr>
              <w:jc w:val="both"/>
              <w:rPr>
                <w:rFonts w:ascii="Arial" w:hAnsi="Arial" w:cs="Arial"/>
                <w:bCs/>
                <w:sz w:val="20"/>
                <w:szCs w:val="20"/>
              </w:rPr>
            </w:pPr>
          </w:p>
          <w:p w:rsidR="00BD21A4" w:rsidRPr="00BD21A4" w:rsidRDefault="00BD21A4" w:rsidP="00147309">
            <w:pPr>
              <w:jc w:val="both"/>
              <w:rPr>
                <w:rFonts w:ascii="Arial" w:hAnsi="Arial" w:cs="Arial"/>
                <w:bCs/>
                <w:sz w:val="20"/>
                <w:szCs w:val="20"/>
              </w:rPr>
            </w:pPr>
            <w:r w:rsidRPr="00BD21A4">
              <w:rPr>
                <w:rFonts w:ascii="Arial" w:hAnsi="Arial" w:cs="Arial"/>
                <w:bCs/>
                <w:sz w:val="20"/>
                <w:szCs w:val="20"/>
              </w:rPr>
              <w:t xml:space="preserve">The service will be offered </w:t>
            </w:r>
            <w:r w:rsidR="003170CD">
              <w:rPr>
                <w:rFonts w:ascii="Arial" w:hAnsi="Arial" w:cs="Arial"/>
                <w:bCs/>
                <w:sz w:val="20"/>
                <w:szCs w:val="20"/>
              </w:rPr>
              <w:t>in a central location for Pennine Lancashire patients.</w:t>
            </w:r>
          </w:p>
          <w:p w:rsidR="00BD21A4" w:rsidRPr="00BD21A4" w:rsidRDefault="00BD21A4" w:rsidP="00147309">
            <w:pPr>
              <w:jc w:val="both"/>
              <w:rPr>
                <w:rFonts w:ascii="Arial" w:hAnsi="Arial" w:cs="Arial"/>
                <w:bCs/>
                <w:sz w:val="20"/>
                <w:szCs w:val="20"/>
              </w:rPr>
            </w:pPr>
          </w:p>
          <w:p w:rsidR="008C4500" w:rsidRDefault="00BD21A4" w:rsidP="00147309">
            <w:pPr>
              <w:jc w:val="both"/>
              <w:rPr>
                <w:rFonts w:ascii="Arial" w:hAnsi="Arial" w:cs="Arial"/>
                <w:bCs/>
                <w:sz w:val="20"/>
                <w:szCs w:val="20"/>
              </w:rPr>
            </w:pPr>
            <w:r w:rsidRPr="00BD21A4">
              <w:rPr>
                <w:rFonts w:ascii="Arial" w:hAnsi="Arial" w:cs="Arial"/>
                <w:bCs/>
                <w:sz w:val="20"/>
                <w:szCs w:val="20"/>
              </w:rPr>
              <w:t xml:space="preserve">The Provider will accept patients referred for a </w:t>
            </w:r>
            <w:r w:rsidR="00695915">
              <w:rPr>
                <w:rFonts w:ascii="Arial" w:hAnsi="Arial" w:cs="Arial"/>
                <w:bCs/>
                <w:sz w:val="20"/>
                <w:szCs w:val="20"/>
              </w:rPr>
              <w:t>DEXA</w:t>
            </w:r>
            <w:r w:rsidRPr="00BD21A4">
              <w:rPr>
                <w:rFonts w:ascii="Arial" w:hAnsi="Arial" w:cs="Arial"/>
                <w:bCs/>
                <w:sz w:val="20"/>
                <w:szCs w:val="20"/>
              </w:rPr>
              <w:t xml:space="preserve"> scan</w:t>
            </w:r>
            <w:r w:rsidR="00403ECD">
              <w:rPr>
                <w:rFonts w:ascii="Arial" w:hAnsi="Arial" w:cs="Arial"/>
                <w:bCs/>
                <w:sz w:val="20"/>
                <w:szCs w:val="20"/>
              </w:rPr>
              <w:t xml:space="preserve"> based on the referral criteria. </w:t>
            </w:r>
          </w:p>
          <w:p w:rsidR="00403ECD" w:rsidRDefault="00403ECD" w:rsidP="00147309">
            <w:pPr>
              <w:jc w:val="both"/>
              <w:rPr>
                <w:rFonts w:ascii="Arial" w:hAnsi="Arial" w:cs="Arial"/>
                <w:bCs/>
                <w:sz w:val="20"/>
                <w:szCs w:val="20"/>
              </w:rPr>
            </w:pPr>
          </w:p>
          <w:bookmarkStart w:id="1" w:name="_MON_1552220972"/>
          <w:bookmarkEnd w:id="1"/>
          <w:p w:rsidR="00403ECD" w:rsidRDefault="003170CD" w:rsidP="00147309">
            <w:pPr>
              <w:jc w:val="both"/>
              <w:rPr>
                <w:rFonts w:ascii="Arial" w:hAnsi="Arial" w:cs="Arial"/>
                <w:bCs/>
                <w:sz w:val="20"/>
                <w:szCs w:val="20"/>
              </w:rPr>
            </w:pPr>
            <w:r>
              <w:rPr>
                <w:rFonts w:ascii="Arial" w:hAnsi="Arial" w:cs="Arial"/>
                <w:bCs/>
                <w:sz w:val="20"/>
                <w:szCs w:val="20"/>
              </w:rPr>
              <w:object w:dxaOrig="1530"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5pt" o:ole="">
                  <v:imagedata r:id="rId8" o:title=""/>
                </v:shape>
                <o:OLEObject Type="Embed" ProgID="Word.Document.12" ShapeID="_x0000_i1025" DrawAspect="Icon" ObjectID="_1553338910" r:id="rId9">
                  <o:FieldCodes>\s</o:FieldCodes>
                </o:OLEObject>
              </w:object>
            </w:r>
          </w:p>
          <w:p w:rsidR="00147309" w:rsidRDefault="00147309" w:rsidP="00147309">
            <w:pPr>
              <w:jc w:val="both"/>
              <w:rPr>
                <w:rFonts w:ascii="Arial" w:hAnsi="Arial" w:cs="Arial"/>
                <w:bCs/>
                <w:sz w:val="20"/>
                <w:szCs w:val="20"/>
              </w:rPr>
            </w:pPr>
          </w:p>
          <w:p w:rsidR="0027461E" w:rsidRDefault="00B1233B" w:rsidP="00147309">
            <w:pPr>
              <w:jc w:val="both"/>
              <w:rPr>
                <w:rFonts w:ascii="Arial" w:hAnsi="Arial" w:cs="Arial"/>
                <w:b/>
                <w:bCs/>
                <w:sz w:val="20"/>
                <w:szCs w:val="20"/>
              </w:rPr>
            </w:pPr>
            <w:r w:rsidRPr="00B1233B">
              <w:rPr>
                <w:rFonts w:ascii="Arial" w:hAnsi="Arial" w:cs="Arial"/>
                <w:b/>
                <w:bCs/>
                <w:sz w:val="20"/>
                <w:szCs w:val="20"/>
              </w:rPr>
              <w:t xml:space="preserve">3.4.2 Locations of Service Delivery </w:t>
            </w:r>
          </w:p>
          <w:p w:rsidR="00042DA5" w:rsidRDefault="003170CD" w:rsidP="00147309">
            <w:pPr>
              <w:jc w:val="both"/>
              <w:rPr>
                <w:rFonts w:ascii="Arial" w:hAnsi="Arial" w:cs="Arial"/>
                <w:bCs/>
                <w:sz w:val="20"/>
                <w:szCs w:val="20"/>
              </w:rPr>
            </w:pPr>
            <w:r w:rsidRPr="003170CD">
              <w:rPr>
                <w:rFonts w:ascii="Arial" w:hAnsi="Arial" w:cs="Arial"/>
                <w:bCs/>
                <w:sz w:val="20"/>
                <w:szCs w:val="20"/>
              </w:rPr>
              <w:t xml:space="preserve">The </w:t>
            </w:r>
            <w:r>
              <w:rPr>
                <w:rFonts w:ascii="Arial" w:hAnsi="Arial" w:cs="Arial"/>
                <w:bCs/>
                <w:sz w:val="20"/>
                <w:szCs w:val="20"/>
              </w:rPr>
              <w:t xml:space="preserve">service will be delivered in a </w:t>
            </w:r>
            <w:r w:rsidRPr="003170CD">
              <w:rPr>
                <w:rFonts w:ascii="Arial" w:hAnsi="Arial" w:cs="Arial"/>
                <w:bCs/>
                <w:sz w:val="20"/>
                <w:szCs w:val="20"/>
              </w:rPr>
              <w:t>suitable and appropriate premise</w:t>
            </w:r>
            <w:r>
              <w:rPr>
                <w:rFonts w:ascii="Arial" w:hAnsi="Arial" w:cs="Arial"/>
                <w:bCs/>
                <w:sz w:val="20"/>
                <w:szCs w:val="20"/>
              </w:rPr>
              <w:t xml:space="preserve"> in a central location for the patients of Pennine Lancashire</w:t>
            </w:r>
            <w:r w:rsidRPr="003170CD">
              <w:rPr>
                <w:rFonts w:ascii="Arial" w:hAnsi="Arial" w:cs="Arial"/>
                <w:bCs/>
                <w:sz w:val="20"/>
                <w:szCs w:val="20"/>
              </w:rPr>
              <w:t xml:space="preserve">. </w:t>
            </w:r>
            <w:r w:rsidR="00042DA5" w:rsidRPr="00042DA5">
              <w:rPr>
                <w:rFonts w:ascii="Arial" w:hAnsi="Arial" w:cs="Arial"/>
                <w:bCs/>
                <w:sz w:val="20"/>
                <w:szCs w:val="20"/>
              </w:rPr>
              <w:t>Funding for any premises related expenditure will be the responsibility of the successful bidder.</w:t>
            </w:r>
          </w:p>
          <w:p w:rsidR="003170CD" w:rsidRPr="003170CD" w:rsidRDefault="003170CD" w:rsidP="00147309">
            <w:pPr>
              <w:jc w:val="both"/>
              <w:rPr>
                <w:rFonts w:ascii="Arial" w:hAnsi="Arial" w:cs="Arial"/>
                <w:b/>
                <w:bCs/>
                <w:sz w:val="20"/>
                <w:szCs w:val="20"/>
              </w:rPr>
            </w:pPr>
          </w:p>
          <w:p w:rsidR="0027461E" w:rsidRPr="003170CD" w:rsidRDefault="0027461E" w:rsidP="00147309">
            <w:pPr>
              <w:jc w:val="both"/>
              <w:rPr>
                <w:rFonts w:ascii="Arial" w:hAnsi="Arial" w:cs="Arial"/>
                <w:bCs/>
                <w:sz w:val="20"/>
                <w:szCs w:val="20"/>
              </w:rPr>
            </w:pPr>
            <w:r w:rsidRPr="003170CD">
              <w:rPr>
                <w:rFonts w:ascii="Arial" w:hAnsi="Arial" w:cs="Arial"/>
                <w:bCs/>
                <w:sz w:val="20"/>
                <w:szCs w:val="20"/>
              </w:rPr>
              <w:t xml:space="preserve">In the event the service is provided from </w:t>
            </w:r>
            <w:r w:rsidR="003170CD">
              <w:rPr>
                <w:rFonts w:ascii="Arial" w:hAnsi="Arial" w:cs="Arial"/>
                <w:bCs/>
                <w:sz w:val="20"/>
                <w:szCs w:val="20"/>
              </w:rPr>
              <w:t xml:space="preserve">a </w:t>
            </w:r>
            <w:r w:rsidRPr="003170CD">
              <w:rPr>
                <w:rFonts w:ascii="Arial" w:hAnsi="Arial" w:cs="Arial"/>
                <w:bCs/>
                <w:sz w:val="20"/>
                <w:szCs w:val="20"/>
              </w:rPr>
              <w:t xml:space="preserve">Pennine Lancashire premises there will be a rental charge </w:t>
            </w:r>
            <w:r w:rsidR="003170CD">
              <w:rPr>
                <w:rFonts w:ascii="Arial" w:hAnsi="Arial" w:cs="Arial"/>
                <w:bCs/>
                <w:sz w:val="20"/>
                <w:szCs w:val="20"/>
              </w:rPr>
              <w:t>which will need to be negotiated with the Landlord.</w:t>
            </w:r>
          </w:p>
          <w:p w:rsidR="0027461E" w:rsidRPr="00831C22" w:rsidRDefault="0027461E" w:rsidP="00147309">
            <w:pPr>
              <w:jc w:val="both"/>
              <w:rPr>
                <w:rFonts w:ascii="Arial" w:hAnsi="Arial" w:cs="Arial"/>
                <w:bCs/>
                <w:sz w:val="20"/>
                <w:szCs w:val="20"/>
                <w:highlight w:val="yellow"/>
              </w:rPr>
            </w:pPr>
          </w:p>
          <w:p w:rsidR="0027461E" w:rsidRPr="003170CD" w:rsidRDefault="0027461E" w:rsidP="00147309">
            <w:pPr>
              <w:jc w:val="both"/>
              <w:rPr>
                <w:rFonts w:ascii="Arial" w:hAnsi="Arial" w:cs="Arial"/>
                <w:bCs/>
                <w:sz w:val="20"/>
                <w:szCs w:val="20"/>
              </w:rPr>
            </w:pPr>
            <w:r w:rsidRPr="003170CD">
              <w:rPr>
                <w:rFonts w:ascii="Arial" w:hAnsi="Arial" w:cs="Arial"/>
                <w:bCs/>
                <w:sz w:val="20"/>
                <w:szCs w:val="20"/>
              </w:rPr>
              <w:t xml:space="preserve">Although a premises </w:t>
            </w:r>
            <w:r w:rsidR="00147309" w:rsidRPr="003170CD">
              <w:rPr>
                <w:rFonts w:ascii="Arial" w:hAnsi="Arial" w:cs="Arial"/>
                <w:bCs/>
                <w:sz w:val="20"/>
                <w:szCs w:val="20"/>
              </w:rPr>
              <w:t>solution is not mandated</w:t>
            </w:r>
            <w:r w:rsidR="00EA66F2" w:rsidRPr="003170CD">
              <w:rPr>
                <w:rFonts w:ascii="Arial" w:hAnsi="Arial" w:cs="Arial"/>
                <w:bCs/>
                <w:sz w:val="20"/>
                <w:szCs w:val="20"/>
              </w:rPr>
              <w:t>,</w:t>
            </w:r>
            <w:r w:rsidR="00147309" w:rsidRPr="003170CD">
              <w:rPr>
                <w:rFonts w:ascii="Arial" w:hAnsi="Arial" w:cs="Arial"/>
                <w:bCs/>
                <w:sz w:val="20"/>
                <w:szCs w:val="20"/>
              </w:rPr>
              <w:t xml:space="preserve"> the CCG</w:t>
            </w:r>
            <w:r w:rsidRPr="003170CD">
              <w:rPr>
                <w:rFonts w:ascii="Arial" w:hAnsi="Arial" w:cs="Arial"/>
                <w:bCs/>
                <w:sz w:val="20"/>
                <w:szCs w:val="20"/>
              </w:rPr>
              <w:t xml:space="preserve"> have en</w:t>
            </w:r>
            <w:r w:rsidR="00147309" w:rsidRPr="003170CD">
              <w:rPr>
                <w:rFonts w:ascii="Arial" w:hAnsi="Arial" w:cs="Arial"/>
                <w:bCs/>
                <w:sz w:val="20"/>
                <w:szCs w:val="20"/>
              </w:rPr>
              <w:t xml:space="preserve">couraged the use of existing </w:t>
            </w:r>
            <w:r w:rsidR="003170CD" w:rsidRPr="003170CD">
              <w:rPr>
                <w:rFonts w:ascii="Arial" w:hAnsi="Arial" w:cs="Arial"/>
                <w:bCs/>
                <w:sz w:val="20"/>
                <w:szCs w:val="20"/>
              </w:rPr>
              <w:t xml:space="preserve">NHS </w:t>
            </w:r>
            <w:r w:rsidRPr="003170CD">
              <w:rPr>
                <w:rFonts w:ascii="Arial" w:hAnsi="Arial" w:cs="Arial"/>
                <w:bCs/>
                <w:sz w:val="20"/>
                <w:szCs w:val="20"/>
              </w:rPr>
              <w:t>faci</w:t>
            </w:r>
            <w:r w:rsidR="00042DA5">
              <w:rPr>
                <w:rFonts w:ascii="Arial" w:hAnsi="Arial" w:cs="Arial"/>
                <w:bCs/>
                <w:sz w:val="20"/>
                <w:szCs w:val="20"/>
              </w:rPr>
              <w:t>lities within the vicinity of Accrington.</w:t>
            </w:r>
          </w:p>
          <w:p w:rsidR="0027461E" w:rsidRPr="00831C22" w:rsidRDefault="0027461E" w:rsidP="0027461E">
            <w:pPr>
              <w:rPr>
                <w:rFonts w:ascii="Arial" w:hAnsi="Arial" w:cs="Arial"/>
                <w:bCs/>
                <w:sz w:val="20"/>
                <w:szCs w:val="20"/>
                <w:highlight w:val="yellow"/>
              </w:rPr>
            </w:pPr>
          </w:p>
          <w:p w:rsidR="0027461E" w:rsidRPr="003170CD" w:rsidRDefault="0027461E" w:rsidP="0027461E">
            <w:pPr>
              <w:rPr>
                <w:rFonts w:ascii="Arial" w:hAnsi="Arial" w:cs="Arial"/>
                <w:bCs/>
                <w:sz w:val="20"/>
                <w:szCs w:val="20"/>
              </w:rPr>
            </w:pPr>
            <w:r w:rsidRPr="003170CD">
              <w:rPr>
                <w:rFonts w:ascii="Arial" w:hAnsi="Arial" w:cs="Arial"/>
                <w:bCs/>
                <w:sz w:val="20"/>
                <w:szCs w:val="20"/>
              </w:rPr>
              <w:t>Alternative premises solutions will be considered, as long as the Bidder can demonstrate maximum convenience for patients and compliance with all statutory and r</w:t>
            </w:r>
            <w:r w:rsidR="00147309" w:rsidRPr="003170CD">
              <w:rPr>
                <w:rFonts w:ascii="Arial" w:hAnsi="Arial" w:cs="Arial"/>
                <w:bCs/>
                <w:sz w:val="20"/>
                <w:szCs w:val="20"/>
              </w:rPr>
              <w:t xml:space="preserve">egulatory requirements.  </w:t>
            </w:r>
          </w:p>
          <w:p w:rsidR="0027461E" w:rsidRPr="00831C22" w:rsidRDefault="0027461E" w:rsidP="0027461E">
            <w:pPr>
              <w:rPr>
                <w:rFonts w:ascii="Arial" w:hAnsi="Arial" w:cs="Arial"/>
                <w:bCs/>
                <w:sz w:val="20"/>
                <w:szCs w:val="20"/>
                <w:highlight w:val="yellow"/>
              </w:rPr>
            </w:pPr>
          </w:p>
          <w:p w:rsidR="004B5553" w:rsidRDefault="004B5553" w:rsidP="0027461E">
            <w:pPr>
              <w:rPr>
                <w:rFonts w:ascii="Arial" w:hAnsi="Arial" w:cs="Arial"/>
                <w:bCs/>
                <w:sz w:val="20"/>
                <w:szCs w:val="20"/>
              </w:rPr>
            </w:pPr>
          </w:p>
          <w:p w:rsidR="004B5553" w:rsidRDefault="004B5553" w:rsidP="0027461E">
            <w:pPr>
              <w:rPr>
                <w:rFonts w:ascii="Arial" w:hAnsi="Arial" w:cs="Arial"/>
                <w:b/>
                <w:bCs/>
                <w:sz w:val="20"/>
                <w:szCs w:val="20"/>
              </w:rPr>
            </w:pPr>
            <w:r w:rsidRPr="004B5553">
              <w:rPr>
                <w:rFonts w:ascii="Arial" w:hAnsi="Arial" w:cs="Arial"/>
                <w:b/>
                <w:bCs/>
                <w:sz w:val="20"/>
                <w:szCs w:val="20"/>
              </w:rPr>
              <w:t>3.4.3 Day/Hours</w:t>
            </w:r>
          </w:p>
          <w:p w:rsidR="004B5553" w:rsidRPr="004B5553" w:rsidRDefault="004B5553" w:rsidP="004B5553">
            <w:pPr>
              <w:rPr>
                <w:rFonts w:ascii="Arial" w:hAnsi="Arial" w:cs="Arial"/>
                <w:bCs/>
                <w:sz w:val="20"/>
                <w:szCs w:val="20"/>
              </w:rPr>
            </w:pPr>
            <w:r w:rsidRPr="004B5553">
              <w:rPr>
                <w:rFonts w:ascii="Arial" w:hAnsi="Arial" w:cs="Arial"/>
                <w:bCs/>
                <w:sz w:val="20"/>
                <w:szCs w:val="20"/>
              </w:rPr>
              <w:t>The hours that the servic</w:t>
            </w:r>
            <w:r w:rsidR="00701F20">
              <w:rPr>
                <w:rFonts w:ascii="Arial" w:hAnsi="Arial" w:cs="Arial"/>
                <w:bCs/>
                <w:sz w:val="20"/>
                <w:szCs w:val="20"/>
              </w:rPr>
              <w:t>e is open for business must</w:t>
            </w:r>
            <w:r w:rsidRPr="004B5553">
              <w:rPr>
                <w:rFonts w:ascii="Arial" w:hAnsi="Arial" w:cs="Arial"/>
                <w:bCs/>
                <w:sz w:val="20"/>
                <w:szCs w:val="20"/>
              </w:rPr>
              <w:t xml:space="preserve"> be responsive to the needs of patients, as a minimum the service must be available beyond normal office hours with flexibility to meet demand and waiting times.</w:t>
            </w:r>
          </w:p>
          <w:p w:rsidR="004B5553" w:rsidRDefault="004B5553" w:rsidP="004B5553">
            <w:pPr>
              <w:rPr>
                <w:rFonts w:ascii="Arial" w:hAnsi="Arial" w:cs="Arial"/>
                <w:bCs/>
                <w:sz w:val="20"/>
                <w:szCs w:val="20"/>
              </w:rPr>
            </w:pPr>
          </w:p>
          <w:p w:rsidR="004B5553" w:rsidRPr="004B5553" w:rsidRDefault="004B5553" w:rsidP="004B5553">
            <w:pPr>
              <w:rPr>
                <w:rFonts w:ascii="Arial" w:hAnsi="Arial" w:cs="Arial"/>
                <w:b/>
                <w:bCs/>
                <w:sz w:val="20"/>
                <w:szCs w:val="20"/>
              </w:rPr>
            </w:pPr>
            <w:r w:rsidRPr="004B5553">
              <w:rPr>
                <w:rFonts w:ascii="Arial" w:hAnsi="Arial" w:cs="Arial"/>
                <w:b/>
                <w:bCs/>
                <w:sz w:val="20"/>
                <w:szCs w:val="20"/>
              </w:rPr>
              <w:t xml:space="preserve">3.4.4 </w:t>
            </w:r>
            <w:r>
              <w:rPr>
                <w:rFonts w:ascii="Arial" w:hAnsi="Arial" w:cs="Arial"/>
                <w:b/>
                <w:bCs/>
                <w:sz w:val="20"/>
                <w:szCs w:val="20"/>
              </w:rPr>
              <w:t xml:space="preserve">Referral/Exclusion </w:t>
            </w:r>
            <w:r w:rsidRPr="004B5553">
              <w:rPr>
                <w:rFonts w:ascii="Arial" w:hAnsi="Arial" w:cs="Arial"/>
                <w:b/>
                <w:bCs/>
                <w:sz w:val="20"/>
                <w:szCs w:val="20"/>
              </w:rPr>
              <w:t>Criteria</w:t>
            </w:r>
          </w:p>
          <w:p w:rsidR="004B5553" w:rsidRDefault="004B5553" w:rsidP="004B5553">
            <w:pPr>
              <w:rPr>
                <w:rFonts w:ascii="Arial" w:hAnsi="Arial" w:cs="Arial"/>
                <w:bCs/>
                <w:sz w:val="20"/>
                <w:szCs w:val="20"/>
              </w:rPr>
            </w:pPr>
            <w:r w:rsidRPr="004B5553">
              <w:rPr>
                <w:rFonts w:ascii="Arial" w:hAnsi="Arial" w:cs="Arial"/>
                <w:bCs/>
                <w:sz w:val="20"/>
                <w:szCs w:val="20"/>
              </w:rPr>
              <w:t xml:space="preserve">The Provider will be responsible for </w:t>
            </w:r>
            <w:r w:rsidR="0036044C">
              <w:rPr>
                <w:rFonts w:ascii="Arial" w:hAnsi="Arial" w:cs="Arial"/>
                <w:bCs/>
                <w:sz w:val="20"/>
                <w:szCs w:val="20"/>
              </w:rPr>
              <w:t xml:space="preserve">the </w:t>
            </w:r>
            <w:r w:rsidR="003170CD">
              <w:rPr>
                <w:rFonts w:ascii="Arial" w:hAnsi="Arial" w:cs="Arial"/>
                <w:bCs/>
                <w:sz w:val="20"/>
                <w:szCs w:val="20"/>
              </w:rPr>
              <w:t>triage of</w:t>
            </w:r>
            <w:r w:rsidRPr="004B5553">
              <w:rPr>
                <w:rFonts w:ascii="Arial" w:hAnsi="Arial" w:cs="Arial"/>
                <w:bCs/>
                <w:sz w:val="20"/>
                <w:szCs w:val="20"/>
              </w:rPr>
              <w:t xml:space="preserve"> referrals, and will provide a robust, tracking, scheduling and booking system for patients in a way that satisfies the organisation’s requirements.</w:t>
            </w:r>
            <w:r w:rsidRPr="004B5553">
              <w:rPr>
                <w:rFonts w:ascii="Arial" w:hAnsi="Arial" w:cs="Arial"/>
                <w:bCs/>
                <w:sz w:val="20"/>
                <w:szCs w:val="20"/>
              </w:rPr>
              <w:tab/>
            </w:r>
          </w:p>
          <w:p w:rsidR="004B5553" w:rsidRDefault="00662BE2" w:rsidP="004B5553">
            <w:pPr>
              <w:rPr>
                <w:rFonts w:ascii="Arial" w:hAnsi="Arial" w:cs="Arial"/>
                <w:bCs/>
                <w:sz w:val="20"/>
                <w:szCs w:val="20"/>
              </w:rPr>
            </w:pPr>
            <w:r>
              <w:rPr>
                <w:rFonts w:ascii="Arial" w:hAnsi="Arial" w:cs="Arial"/>
                <w:bCs/>
                <w:sz w:val="20"/>
                <w:szCs w:val="20"/>
              </w:rPr>
              <w:t xml:space="preserve">Referrals should be accepted by the Falls Team, </w:t>
            </w:r>
            <w:r w:rsidR="004B5553" w:rsidRPr="004B5553">
              <w:rPr>
                <w:rFonts w:ascii="Arial" w:hAnsi="Arial" w:cs="Arial"/>
                <w:bCs/>
                <w:sz w:val="20"/>
                <w:szCs w:val="20"/>
              </w:rPr>
              <w:t>GPs, MSK Servic</w:t>
            </w:r>
            <w:r>
              <w:rPr>
                <w:rFonts w:ascii="Arial" w:hAnsi="Arial" w:cs="Arial"/>
                <w:bCs/>
                <w:sz w:val="20"/>
                <w:szCs w:val="20"/>
              </w:rPr>
              <w:t xml:space="preserve">e and Secondary Care Clinicians. </w:t>
            </w:r>
            <w:r w:rsidR="004B5553" w:rsidRPr="004B5553">
              <w:rPr>
                <w:rFonts w:ascii="Arial" w:hAnsi="Arial" w:cs="Arial"/>
                <w:bCs/>
                <w:sz w:val="20"/>
                <w:szCs w:val="20"/>
              </w:rPr>
              <w:t xml:space="preserve">Due to the limited activity cap on the service the Provider will contact the Commissioners should there be any referrals from Secondary Care </w:t>
            </w:r>
            <w:r>
              <w:rPr>
                <w:rFonts w:ascii="Arial" w:hAnsi="Arial" w:cs="Arial"/>
                <w:bCs/>
                <w:sz w:val="20"/>
                <w:szCs w:val="20"/>
              </w:rPr>
              <w:t>specialities other than those listed below:</w:t>
            </w:r>
          </w:p>
          <w:p w:rsidR="00662BE2" w:rsidRDefault="00662BE2" w:rsidP="004B5553">
            <w:pPr>
              <w:rPr>
                <w:rFonts w:ascii="Arial" w:hAnsi="Arial" w:cs="Arial"/>
                <w:bCs/>
                <w:sz w:val="20"/>
                <w:szCs w:val="20"/>
              </w:rPr>
            </w:pPr>
          </w:p>
          <w:p w:rsidR="00662BE2" w:rsidRDefault="00662BE2" w:rsidP="00662BE2">
            <w:pPr>
              <w:numPr>
                <w:ilvl w:val="0"/>
                <w:numId w:val="6"/>
              </w:numPr>
              <w:rPr>
                <w:rFonts w:ascii="Arial" w:hAnsi="Arial" w:cs="Arial"/>
                <w:bCs/>
                <w:sz w:val="20"/>
                <w:szCs w:val="20"/>
              </w:rPr>
            </w:pPr>
            <w:r>
              <w:rPr>
                <w:rFonts w:ascii="Arial" w:hAnsi="Arial" w:cs="Arial"/>
                <w:bCs/>
                <w:sz w:val="20"/>
                <w:szCs w:val="20"/>
              </w:rPr>
              <w:t>Oncology</w:t>
            </w:r>
          </w:p>
          <w:p w:rsidR="00662BE2" w:rsidRDefault="00662BE2" w:rsidP="00662BE2">
            <w:pPr>
              <w:numPr>
                <w:ilvl w:val="0"/>
                <w:numId w:val="6"/>
              </w:numPr>
              <w:rPr>
                <w:rFonts w:ascii="Arial" w:hAnsi="Arial" w:cs="Arial"/>
                <w:bCs/>
                <w:sz w:val="20"/>
                <w:szCs w:val="20"/>
              </w:rPr>
            </w:pPr>
            <w:r>
              <w:rPr>
                <w:rFonts w:ascii="Arial" w:hAnsi="Arial" w:cs="Arial"/>
                <w:bCs/>
                <w:sz w:val="20"/>
                <w:szCs w:val="20"/>
              </w:rPr>
              <w:t>Gastroenterology</w:t>
            </w:r>
          </w:p>
          <w:p w:rsidR="00662BE2" w:rsidRDefault="00662BE2" w:rsidP="00662BE2">
            <w:pPr>
              <w:numPr>
                <w:ilvl w:val="0"/>
                <w:numId w:val="6"/>
              </w:numPr>
              <w:rPr>
                <w:rFonts w:ascii="Arial" w:hAnsi="Arial" w:cs="Arial"/>
                <w:bCs/>
                <w:sz w:val="20"/>
                <w:szCs w:val="20"/>
              </w:rPr>
            </w:pPr>
            <w:r>
              <w:rPr>
                <w:rFonts w:ascii="Arial" w:hAnsi="Arial" w:cs="Arial"/>
                <w:bCs/>
                <w:sz w:val="20"/>
                <w:szCs w:val="20"/>
              </w:rPr>
              <w:t>Endocrinology and Diabetes</w:t>
            </w:r>
          </w:p>
          <w:p w:rsidR="00662BE2" w:rsidRDefault="00662BE2" w:rsidP="00662BE2">
            <w:pPr>
              <w:numPr>
                <w:ilvl w:val="0"/>
                <w:numId w:val="6"/>
              </w:numPr>
              <w:rPr>
                <w:rFonts w:ascii="Arial" w:hAnsi="Arial" w:cs="Arial"/>
                <w:bCs/>
                <w:sz w:val="20"/>
                <w:szCs w:val="20"/>
              </w:rPr>
            </w:pPr>
            <w:r>
              <w:rPr>
                <w:rFonts w:ascii="Arial" w:hAnsi="Arial" w:cs="Arial"/>
                <w:bCs/>
                <w:sz w:val="20"/>
                <w:szCs w:val="20"/>
              </w:rPr>
              <w:t>General Medicine</w:t>
            </w:r>
          </w:p>
          <w:p w:rsidR="00662BE2" w:rsidRDefault="00662BE2" w:rsidP="00662BE2">
            <w:pPr>
              <w:numPr>
                <w:ilvl w:val="0"/>
                <w:numId w:val="6"/>
              </w:numPr>
              <w:rPr>
                <w:rFonts w:ascii="Arial" w:hAnsi="Arial" w:cs="Arial"/>
                <w:bCs/>
                <w:sz w:val="20"/>
                <w:szCs w:val="20"/>
              </w:rPr>
            </w:pPr>
            <w:r>
              <w:rPr>
                <w:rFonts w:ascii="Arial" w:hAnsi="Arial" w:cs="Arial"/>
                <w:bCs/>
                <w:sz w:val="20"/>
                <w:szCs w:val="20"/>
              </w:rPr>
              <w:t>General Surgery</w:t>
            </w:r>
          </w:p>
          <w:p w:rsidR="00662BE2" w:rsidRDefault="00662BE2" w:rsidP="00662BE2">
            <w:pPr>
              <w:numPr>
                <w:ilvl w:val="0"/>
                <w:numId w:val="6"/>
              </w:numPr>
              <w:rPr>
                <w:rFonts w:ascii="Arial" w:hAnsi="Arial" w:cs="Arial"/>
                <w:bCs/>
                <w:sz w:val="20"/>
                <w:szCs w:val="20"/>
              </w:rPr>
            </w:pPr>
            <w:r>
              <w:rPr>
                <w:rFonts w:ascii="Arial" w:hAnsi="Arial" w:cs="Arial"/>
                <w:bCs/>
                <w:sz w:val="20"/>
                <w:szCs w:val="20"/>
              </w:rPr>
              <w:t>Rheumatology</w:t>
            </w:r>
          </w:p>
          <w:p w:rsidR="00662BE2" w:rsidRDefault="00662BE2" w:rsidP="00662BE2">
            <w:pPr>
              <w:numPr>
                <w:ilvl w:val="0"/>
                <w:numId w:val="6"/>
              </w:numPr>
              <w:rPr>
                <w:rFonts w:ascii="Arial" w:hAnsi="Arial" w:cs="Arial"/>
                <w:bCs/>
                <w:sz w:val="20"/>
                <w:szCs w:val="20"/>
              </w:rPr>
            </w:pPr>
            <w:r>
              <w:rPr>
                <w:rFonts w:ascii="Arial" w:hAnsi="Arial" w:cs="Arial"/>
                <w:bCs/>
                <w:sz w:val="20"/>
                <w:szCs w:val="20"/>
              </w:rPr>
              <w:t>Cardiology</w:t>
            </w:r>
          </w:p>
          <w:p w:rsidR="00662BE2" w:rsidRDefault="00662BE2" w:rsidP="00662BE2">
            <w:pPr>
              <w:numPr>
                <w:ilvl w:val="0"/>
                <w:numId w:val="6"/>
              </w:numPr>
              <w:rPr>
                <w:rFonts w:ascii="Arial" w:hAnsi="Arial" w:cs="Arial"/>
                <w:bCs/>
                <w:sz w:val="20"/>
                <w:szCs w:val="20"/>
              </w:rPr>
            </w:pPr>
            <w:r>
              <w:rPr>
                <w:rFonts w:ascii="Arial" w:hAnsi="Arial" w:cs="Arial"/>
                <w:bCs/>
                <w:sz w:val="20"/>
                <w:szCs w:val="20"/>
              </w:rPr>
              <w:t>Orthopaedics</w:t>
            </w:r>
          </w:p>
          <w:p w:rsidR="00662BE2" w:rsidRDefault="00662BE2" w:rsidP="00662BE2">
            <w:pPr>
              <w:numPr>
                <w:ilvl w:val="0"/>
                <w:numId w:val="6"/>
              </w:numPr>
              <w:rPr>
                <w:rFonts w:ascii="Arial" w:hAnsi="Arial" w:cs="Arial"/>
                <w:bCs/>
                <w:sz w:val="20"/>
                <w:szCs w:val="20"/>
              </w:rPr>
            </w:pPr>
            <w:r>
              <w:rPr>
                <w:rFonts w:ascii="Arial" w:hAnsi="Arial" w:cs="Arial"/>
                <w:bCs/>
                <w:sz w:val="20"/>
                <w:szCs w:val="20"/>
              </w:rPr>
              <w:t>Urology</w:t>
            </w:r>
          </w:p>
          <w:p w:rsidR="004B5553" w:rsidRDefault="004B5553" w:rsidP="004B5553">
            <w:pPr>
              <w:rPr>
                <w:rFonts w:ascii="Arial" w:hAnsi="Arial" w:cs="Arial"/>
                <w:bCs/>
                <w:sz w:val="20"/>
                <w:szCs w:val="20"/>
              </w:rPr>
            </w:pPr>
          </w:p>
          <w:p w:rsidR="004B5553" w:rsidRPr="004B5553" w:rsidRDefault="004B5553" w:rsidP="004B5553">
            <w:pPr>
              <w:rPr>
                <w:rFonts w:ascii="Arial" w:hAnsi="Arial" w:cs="Arial"/>
                <w:bCs/>
                <w:sz w:val="20"/>
                <w:szCs w:val="20"/>
              </w:rPr>
            </w:pPr>
            <w:r w:rsidRPr="004B5553">
              <w:rPr>
                <w:rFonts w:ascii="Arial" w:hAnsi="Arial" w:cs="Arial"/>
                <w:bCs/>
                <w:sz w:val="20"/>
                <w:szCs w:val="20"/>
              </w:rPr>
              <w:t>Exclusion criteria</w:t>
            </w:r>
          </w:p>
          <w:p w:rsidR="004B5553" w:rsidRPr="004B5553" w:rsidRDefault="004B5553" w:rsidP="004B5553">
            <w:pPr>
              <w:rPr>
                <w:rFonts w:ascii="Arial" w:hAnsi="Arial" w:cs="Arial"/>
                <w:bCs/>
                <w:sz w:val="20"/>
                <w:szCs w:val="20"/>
              </w:rPr>
            </w:pPr>
          </w:p>
          <w:p w:rsidR="00DC67F6" w:rsidRDefault="00DC67F6" w:rsidP="0036044C">
            <w:pPr>
              <w:numPr>
                <w:ilvl w:val="0"/>
                <w:numId w:val="7"/>
              </w:numPr>
              <w:rPr>
                <w:rFonts w:ascii="Arial" w:hAnsi="Arial" w:cs="Arial"/>
                <w:bCs/>
                <w:sz w:val="20"/>
                <w:szCs w:val="20"/>
              </w:rPr>
            </w:pPr>
            <w:r>
              <w:rPr>
                <w:rFonts w:ascii="Arial" w:hAnsi="Arial" w:cs="Arial"/>
                <w:bCs/>
                <w:sz w:val="20"/>
                <w:szCs w:val="20"/>
              </w:rPr>
              <w:t xml:space="preserve">Women aged 75 years and older with a FRAX score of high </w:t>
            </w:r>
            <w:r w:rsidR="007B78C9">
              <w:rPr>
                <w:rFonts w:ascii="Arial" w:hAnsi="Arial" w:cs="Arial"/>
                <w:bCs/>
                <w:sz w:val="20"/>
                <w:szCs w:val="20"/>
              </w:rPr>
              <w:t>risk</w:t>
            </w:r>
          </w:p>
          <w:p w:rsidR="0036044C" w:rsidRPr="0036044C" w:rsidRDefault="0036044C" w:rsidP="0036044C">
            <w:pPr>
              <w:numPr>
                <w:ilvl w:val="0"/>
                <w:numId w:val="7"/>
              </w:numPr>
              <w:rPr>
                <w:rFonts w:ascii="Arial" w:hAnsi="Arial" w:cs="Arial"/>
                <w:bCs/>
                <w:sz w:val="20"/>
                <w:szCs w:val="20"/>
              </w:rPr>
            </w:pPr>
            <w:r w:rsidRPr="0036044C">
              <w:rPr>
                <w:rFonts w:ascii="Arial" w:hAnsi="Arial" w:cs="Arial"/>
                <w:bCs/>
                <w:sz w:val="20"/>
                <w:szCs w:val="20"/>
              </w:rPr>
              <w:t>Any referral without a FRAX assessment score</w:t>
            </w:r>
          </w:p>
          <w:p w:rsidR="0036044C" w:rsidRPr="0036044C" w:rsidRDefault="00831C22" w:rsidP="0036044C">
            <w:pPr>
              <w:numPr>
                <w:ilvl w:val="0"/>
                <w:numId w:val="7"/>
              </w:numPr>
              <w:rPr>
                <w:rFonts w:ascii="Arial" w:hAnsi="Arial" w:cs="Arial"/>
                <w:bCs/>
                <w:sz w:val="20"/>
                <w:szCs w:val="20"/>
              </w:rPr>
            </w:pPr>
            <w:r w:rsidRPr="0036044C">
              <w:rPr>
                <w:rFonts w:ascii="Arial" w:hAnsi="Arial" w:cs="Arial"/>
                <w:bCs/>
                <w:sz w:val="20"/>
                <w:szCs w:val="20"/>
              </w:rPr>
              <w:t>Where an initial FRAX assessment has been carried out and indicates high risk</w:t>
            </w:r>
            <w:r w:rsidR="00462477" w:rsidRPr="0036044C">
              <w:rPr>
                <w:rFonts w:ascii="Arial" w:hAnsi="Arial" w:cs="Arial"/>
                <w:bCs/>
                <w:sz w:val="20"/>
                <w:szCs w:val="20"/>
              </w:rPr>
              <w:t xml:space="preserve"> –treatment without the need for </w:t>
            </w:r>
            <w:r w:rsidR="005052CB">
              <w:rPr>
                <w:rFonts w:ascii="Arial" w:hAnsi="Arial" w:cs="Arial"/>
                <w:bCs/>
                <w:sz w:val="20"/>
                <w:szCs w:val="20"/>
              </w:rPr>
              <w:t>a</w:t>
            </w:r>
            <w:r w:rsidR="00462477" w:rsidRPr="0036044C">
              <w:rPr>
                <w:rFonts w:ascii="Arial" w:hAnsi="Arial" w:cs="Arial"/>
                <w:bCs/>
                <w:sz w:val="20"/>
                <w:szCs w:val="20"/>
              </w:rPr>
              <w:t xml:space="preserve"> </w:t>
            </w:r>
            <w:r w:rsidR="00695915" w:rsidRPr="0036044C">
              <w:rPr>
                <w:rFonts w:ascii="Arial" w:hAnsi="Arial" w:cs="Arial"/>
                <w:bCs/>
                <w:sz w:val="20"/>
                <w:szCs w:val="20"/>
              </w:rPr>
              <w:t>DEXA</w:t>
            </w:r>
            <w:r w:rsidR="00462477" w:rsidRPr="0036044C">
              <w:rPr>
                <w:rFonts w:ascii="Arial" w:hAnsi="Arial" w:cs="Arial"/>
                <w:bCs/>
                <w:sz w:val="20"/>
                <w:szCs w:val="20"/>
              </w:rPr>
              <w:t xml:space="preserve"> scan</w:t>
            </w:r>
          </w:p>
          <w:p w:rsidR="00B63A5F" w:rsidRDefault="004B5553" w:rsidP="00662BE2">
            <w:pPr>
              <w:numPr>
                <w:ilvl w:val="0"/>
                <w:numId w:val="7"/>
              </w:numPr>
              <w:rPr>
                <w:rFonts w:ascii="Arial" w:hAnsi="Arial" w:cs="Arial"/>
                <w:bCs/>
                <w:sz w:val="20"/>
                <w:szCs w:val="20"/>
              </w:rPr>
            </w:pPr>
            <w:r w:rsidRPr="004B5553">
              <w:rPr>
                <w:rFonts w:ascii="Arial" w:hAnsi="Arial" w:cs="Arial"/>
                <w:bCs/>
                <w:sz w:val="20"/>
                <w:szCs w:val="20"/>
              </w:rPr>
              <w:t xml:space="preserve">If </w:t>
            </w:r>
            <w:r w:rsidR="00695915">
              <w:rPr>
                <w:rFonts w:ascii="Arial" w:hAnsi="Arial" w:cs="Arial"/>
                <w:bCs/>
                <w:sz w:val="20"/>
                <w:szCs w:val="20"/>
              </w:rPr>
              <w:t>DEXA</w:t>
            </w:r>
            <w:r w:rsidRPr="004B5553">
              <w:rPr>
                <w:rFonts w:ascii="Arial" w:hAnsi="Arial" w:cs="Arial"/>
                <w:bCs/>
                <w:sz w:val="20"/>
                <w:szCs w:val="20"/>
              </w:rPr>
              <w:t xml:space="preserve"> scan has been carried out within the last two years (except if the patient is receiving </w:t>
            </w:r>
          </w:p>
          <w:p w:rsidR="004B5553" w:rsidRPr="004B5553" w:rsidRDefault="00B63A5F" w:rsidP="004B5553">
            <w:pPr>
              <w:rPr>
                <w:rFonts w:ascii="Arial" w:hAnsi="Arial" w:cs="Arial"/>
                <w:bCs/>
                <w:sz w:val="20"/>
                <w:szCs w:val="20"/>
              </w:rPr>
            </w:pPr>
            <w:r>
              <w:rPr>
                <w:rFonts w:ascii="Arial" w:hAnsi="Arial" w:cs="Arial"/>
                <w:bCs/>
                <w:sz w:val="20"/>
                <w:szCs w:val="20"/>
              </w:rPr>
              <w:t xml:space="preserve">             a</w:t>
            </w:r>
            <w:r w:rsidR="004B5553" w:rsidRPr="004B5553">
              <w:rPr>
                <w:rFonts w:ascii="Arial" w:hAnsi="Arial" w:cs="Arial"/>
                <w:bCs/>
                <w:sz w:val="20"/>
                <w:szCs w:val="20"/>
              </w:rPr>
              <w:t>romatase inhibitors or corticosteroids)</w:t>
            </w:r>
          </w:p>
          <w:p w:rsidR="00B63A5F" w:rsidRDefault="004B5553" w:rsidP="00662BE2">
            <w:pPr>
              <w:numPr>
                <w:ilvl w:val="0"/>
                <w:numId w:val="7"/>
              </w:numPr>
              <w:rPr>
                <w:rFonts w:ascii="Arial" w:hAnsi="Arial" w:cs="Arial"/>
                <w:bCs/>
                <w:sz w:val="20"/>
                <w:szCs w:val="20"/>
              </w:rPr>
            </w:pPr>
            <w:r w:rsidRPr="004B5553">
              <w:rPr>
                <w:rFonts w:ascii="Arial" w:hAnsi="Arial" w:cs="Arial"/>
                <w:bCs/>
                <w:sz w:val="20"/>
                <w:szCs w:val="20"/>
              </w:rPr>
              <w:t xml:space="preserve">If patient has had an x-ray with contrast media in the last week e.g. barium enema, or CT </w:t>
            </w:r>
          </w:p>
          <w:p w:rsidR="00662BE2" w:rsidRDefault="00B63A5F" w:rsidP="004B5553">
            <w:pPr>
              <w:rPr>
                <w:rFonts w:ascii="Arial" w:hAnsi="Arial" w:cs="Arial"/>
                <w:bCs/>
                <w:sz w:val="20"/>
                <w:szCs w:val="20"/>
              </w:rPr>
            </w:pPr>
            <w:r>
              <w:rPr>
                <w:rFonts w:ascii="Arial" w:hAnsi="Arial" w:cs="Arial"/>
                <w:bCs/>
                <w:sz w:val="20"/>
                <w:szCs w:val="20"/>
              </w:rPr>
              <w:t xml:space="preserve">             </w:t>
            </w:r>
            <w:r w:rsidR="00662BE2">
              <w:rPr>
                <w:rFonts w:ascii="Arial" w:hAnsi="Arial" w:cs="Arial"/>
                <w:bCs/>
                <w:sz w:val="20"/>
                <w:szCs w:val="20"/>
              </w:rPr>
              <w:t>abdomen/pelvis</w:t>
            </w:r>
          </w:p>
          <w:p w:rsidR="00662BE2" w:rsidRDefault="004B5553" w:rsidP="004B5553">
            <w:pPr>
              <w:numPr>
                <w:ilvl w:val="0"/>
                <w:numId w:val="7"/>
              </w:numPr>
              <w:rPr>
                <w:rFonts w:ascii="Arial" w:hAnsi="Arial" w:cs="Arial"/>
                <w:bCs/>
                <w:sz w:val="20"/>
                <w:szCs w:val="20"/>
              </w:rPr>
            </w:pPr>
            <w:r w:rsidRPr="004B5553">
              <w:rPr>
                <w:rFonts w:ascii="Arial" w:hAnsi="Arial" w:cs="Arial"/>
                <w:bCs/>
                <w:sz w:val="20"/>
                <w:szCs w:val="20"/>
              </w:rPr>
              <w:t>If patient has had a nuclear medicine scan in the last week including thyroid or bone scan</w:t>
            </w:r>
          </w:p>
          <w:p w:rsidR="00B63A5F" w:rsidRPr="00662BE2" w:rsidRDefault="004B5553" w:rsidP="004B5553">
            <w:pPr>
              <w:numPr>
                <w:ilvl w:val="0"/>
                <w:numId w:val="7"/>
              </w:numPr>
              <w:rPr>
                <w:rFonts w:ascii="Arial" w:hAnsi="Arial" w:cs="Arial"/>
                <w:bCs/>
                <w:sz w:val="20"/>
                <w:szCs w:val="20"/>
              </w:rPr>
            </w:pPr>
            <w:r w:rsidRPr="00662BE2">
              <w:rPr>
                <w:rFonts w:ascii="Arial" w:hAnsi="Arial" w:cs="Arial"/>
                <w:bCs/>
                <w:sz w:val="20"/>
                <w:szCs w:val="20"/>
              </w:rPr>
              <w:t xml:space="preserve">Patients who are unable to weight-bear or any patients weighing in excess of the maximum </w:t>
            </w:r>
          </w:p>
          <w:p w:rsidR="00662BE2" w:rsidRDefault="00B63A5F" w:rsidP="004B5553">
            <w:pPr>
              <w:rPr>
                <w:rFonts w:ascii="Arial" w:hAnsi="Arial" w:cs="Arial"/>
                <w:bCs/>
                <w:sz w:val="20"/>
                <w:szCs w:val="20"/>
              </w:rPr>
            </w:pPr>
            <w:r>
              <w:rPr>
                <w:rFonts w:ascii="Arial" w:hAnsi="Arial" w:cs="Arial"/>
                <w:bCs/>
                <w:sz w:val="20"/>
                <w:szCs w:val="20"/>
              </w:rPr>
              <w:t xml:space="preserve">             </w:t>
            </w:r>
            <w:r w:rsidR="004B5553" w:rsidRPr="004B5553">
              <w:rPr>
                <w:rFonts w:ascii="Arial" w:hAnsi="Arial" w:cs="Arial"/>
                <w:bCs/>
                <w:sz w:val="20"/>
                <w:szCs w:val="20"/>
              </w:rPr>
              <w:t>weight rating for the</w:t>
            </w:r>
            <w:r w:rsidR="00662BE2">
              <w:rPr>
                <w:rFonts w:ascii="Arial" w:hAnsi="Arial" w:cs="Arial"/>
                <w:bCs/>
                <w:sz w:val="20"/>
                <w:szCs w:val="20"/>
              </w:rPr>
              <w:t xml:space="preserve"> examination couch 137kg (22st)</w:t>
            </w:r>
          </w:p>
          <w:p w:rsidR="004B5553" w:rsidRPr="004B5553" w:rsidRDefault="004B5553" w:rsidP="00662BE2">
            <w:pPr>
              <w:numPr>
                <w:ilvl w:val="0"/>
                <w:numId w:val="8"/>
              </w:numPr>
              <w:rPr>
                <w:rFonts w:ascii="Arial" w:hAnsi="Arial" w:cs="Arial"/>
                <w:bCs/>
                <w:sz w:val="20"/>
                <w:szCs w:val="20"/>
              </w:rPr>
            </w:pPr>
            <w:r w:rsidRPr="004B5553">
              <w:rPr>
                <w:rFonts w:ascii="Arial" w:hAnsi="Arial" w:cs="Arial"/>
                <w:bCs/>
                <w:sz w:val="20"/>
                <w:szCs w:val="20"/>
              </w:rPr>
              <w:t>Pregnant women</w:t>
            </w:r>
          </w:p>
          <w:p w:rsidR="004B5553" w:rsidRPr="00662BE2" w:rsidRDefault="004B5553" w:rsidP="004B5553">
            <w:pPr>
              <w:numPr>
                <w:ilvl w:val="0"/>
                <w:numId w:val="8"/>
              </w:numPr>
              <w:rPr>
                <w:rFonts w:ascii="Arial" w:hAnsi="Arial" w:cs="Arial"/>
                <w:bCs/>
                <w:sz w:val="20"/>
                <w:szCs w:val="20"/>
              </w:rPr>
            </w:pPr>
            <w:r w:rsidRPr="004B5553">
              <w:rPr>
                <w:rFonts w:ascii="Arial" w:hAnsi="Arial" w:cs="Arial"/>
                <w:bCs/>
                <w:sz w:val="20"/>
                <w:szCs w:val="20"/>
              </w:rPr>
              <w:t>Patients under the age of 18 years unless clinically indicated</w:t>
            </w:r>
          </w:p>
          <w:p w:rsidR="004B5553" w:rsidRPr="004B5553" w:rsidRDefault="004B5553" w:rsidP="004B5553">
            <w:pPr>
              <w:rPr>
                <w:rFonts w:ascii="Arial" w:hAnsi="Arial" w:cs="Arial"/>
                <w:bCs/>
                <w:sz w:val="20"/>
                <w:szCs w:val="20"/>
              </w:rPr>
            </w:pPr>
          </w:p>
          <w:p w:rsidR="008C4500" w:rsidRPr="004B5553" w:rsidRDefault="00D51FF4" w:rsidP="00943F01">
            <w:pPr>
              <w:jc w:val="both"/>
              <w:rPr>
                <w:rFonts w:ascii="Arial" w:hAnsi="Arial" w:cs="Arial"/>
                <w:b/>
                <w:bCs/>
                <w:color w:val="00B050"/>
                <w:sz w:val="20"/>
                <w:szCs w:val="20"/>
              </w:rPr>
            </w:pPr>
            <w:r w:rsidRPr="004B5553">
              <w:rPr>
                <w:rFonts w:ascii="Arial" w:hAnsi="Arial" w:cs="Arial"/>
                <w:b/>
                <w:bCs/>
                <w:color w:val="00B050"/>
                <w:sz w:val="20"/>
                <w:szCs w:val="20"/>
              </w:rPr>
              <w:t>3</w:t>
            </w:r>
            <w:r w:rsidR="008C4500" w:rsidRPr="004B5553">
              <w:rPr>
                <w:rFonts w:ascii="Arial" w:hAnsi="Arial" w:cs="Arial"/>
                <w:b/>
                <w:bCs/>
                <w:color w:val="00B050"/>
                <w:sz w:val="20"/>
                <w:szCs w:val="20"/>
              </w:rPr>
              <w:t>.5 Interdependencies with other services</w:t>
            </w:r>
          </w:p>
          <w:p w:rsidR="008C4500" w:rsidRPr="00A440A0" w:rsidRDefault="008C4500" w:rsidP="00943F01">
            <w:pPr>
              <w:pStyle w:val="ListParagraph"/>
              <w:rPr>
                <w:b/>
                <w:bCs/>
                <w:sz w:val="20"/>
                <w:szCs w:val="20"/>
              </w:rPr>
            </w:pPr>
          </w:p>
          <w:p w:rsidR="0027461E" w:rsidRPr="0027461E" w:rsidRDefault="00BD21A4" w:rsidP="0027461E">
            <w:pPr>
              <w:pStyle w:val="BodyText"/>
              <w:jc w:val="both"/>
              <w:rPr>
                <w:bCs/>
                <w:sz w:val="20"/>
                <w:szCs w:val="20"/>
              </w:rPr>
            </w:pPr>
            <w:r w:rsidRPr="00BD21A4">
              <w:rPr>
                <w:bCs/>
                <w:sz w:val="20"/>
                <w:szCs w:val="20"/>
              </w:rPr>
              <w:t xml:space="preserve">The Provider will maintain close links with primary care GPs, </w:t>
            </w:r>
            <w:r w:rsidR="00831C22">
              <w:rPr>
                <w:bCs/>
                <w:sz w:val="20"/>
                <w:szCs w:val="20"/>
              </w:rPr>
              <w:t>the Falls Team</w:t>
            </w:r>
            <w:r w:rsidRPr="00BD21A4">
              <w:rPr>
                <w:bCs/>
                <w:sz w:val="20"/>
                <w:szCs w:val="20"/>
              </w:rPr>
              <w:t xml:space="preserve"> and the Acute Trust</w:t>
            </w:r>
            <w:r w:rsidR="00DC67F6">
              <w:rPr>
                <w:bCs/>
                <w:sz w:val="20"/>
                <w:szCs w:val="20"/>
              </w:rPr>
              <w:t>s</w:t>
            </w:r>
            <w:r w:rsidRPr="00BD21A4">
              <w:rPr>
                <w:bCs/>
                <w:sz w:val="20"/>
                <w:szCs w:val="20"/>
              </w:rPr>
              <w:t xml:space="preserve"> to ensure effective and appropriate referral into the service as appropriate.</w:t>
            </w:r>
          </w:p>
          <w:p w:rsidR="008C4500" w:rsidRPr="00B63A5F" w:rsidRDefault="0027461E" w:rsidP="004B5553">
            <w:pPr>
              <w:pStyle w:val="BodyText"/>
              <w:jc w:val="both"/>
              <w:rPr>
                <w:bCs/>
                <w:sz w:val="20"/>
                <w:szCs w:val="20"/>
              </w:rPr>
            </w:pPr>
            <w:r w:rsidRPr="0027461E">
              <w:rPr>
                <w:bCs/>
                <w:sz w:val="20"/>
                <w:szCs w:val="20"/>
              </w:rPr>
              <w:t xml:space="preserve"> </w:t>
            </w:r>
          </w:p>
        </w:tc>
      </w:tr>
    </w:tbl>
    <w:p w:rsidR="008C4500" w:rsidRDefault="008C4500"/>
    <w:tbl>
      <w:tblPr>
        <w:tblW w:w="92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8"/>
      </w:tblGrid>
      <w:tr w:rsidR="008C4500" w:rsidRPr="009E2A23" w:rsidTr="00943F01">
        <w:tc>
          <w:tcPr>
            <w:tcW w:w="9238" w:type="dxa"/>
            <w:tcBorders>
              <w:top w:val="single" w:sz="4" w:space="0" w:color="999999"/>
              <w:left w:val="single" w:sz="4" w:space="0" w:color="999999"/>
              <w:bottom w:val="single" w:sz="4" w:space="0" w:color="999999"/>
              <w:right w:val="single" w:sz="4" w:space="0" w:color="999999"/>
            </w:tcBorders>
            <w:shd w:val="clear" w:color="auto" w:fill="666666"/>
          </w:tcPr>
          <w:p w:rsidR="008C4500" w:rsidRPr="009E2A23" w:rsidRDefault="008C4500" w:rsidP="00943F01">
            <w:pPr>
              <w:pStyle w:val="BodyText"/>
              <w:jc w:val="both"/>
              <w:rPr>
                <w:color w:val="FFFFFF"/>
                <w:sz w:val="10"/>
                <w:szCs w:val="10"/>
                <w:u w:val="single"/>
              </w:rPr>
            </w:pPr>
          </w:p>
          <w:p w:rsidR="008C4500" w:rsidRPr="0048231D" w:rsidRDefault="00985C92" w:rsidP="00943F01">
            <w:pPr>
              <w:pStyle w:val="BodyText"/>
              <w:jc w:val="both"/>
              <w:rPr>
                <w:color w:val="FF9900"/>
                <w:sz w:val="20"/>
                <w:szCs w:val="20"/>
              </w:rPr>
            </w:pPr>
            <w:r>
              <w:rPr>
                <w:color w:val="FF9900"/>
                <w:sz w:val="20"/>
                <w:szCs w:val="20"/>
              </w:rPr>
              <w:t>4</w:t>
            </w:r>
            <w:r w:rsidR="008C4500" w:rsidRPr="0048231D">
              <w:rPr>
                <w:color w:val="FF9900"/>
                <w:sz w:val="20"/>
                <w:szCs w:val="20"/>
              </w:rPr>
              <w:t xml:space="preserve">.  </w:t>
            </w:r>
            <w:r w:rsidR="008C4500">
              <w:rPr>
                <w:color w:val="FF9900"/>
                <w:sz w:val="20"/>
                <w:szCs w:val="20"/>
              </w:rPr>
              <w:t>Applicable Service Standards</w:t>
            </w:r>
          </w:p>
          <w:p w:rsidR="008C4500" w:rsidRPr="009E2A23" w:rsidRDefault="008C4500" w:rsidP="00943F01">
            <w:pPr>
              <w:pStyle w:val="BodyText"/>
              <w:jc w:val="both"/>
              <w:rPr>
                <w:color w:val="FFFFFF"/>
                <w:sz w:val="10"/>
                <w:szCs w:val="10"/>
                <w:u w:val="single"/>
              </w:rPr>
            </w:pPr>
          </w:p>
        </w:tc>
      </w:tr>
      <w:tr w:rsidR="008C4500" w:rsidRPr="009E2A23" w:rsidTr="00943F01">
        <w:tc>
          <w:tcPr>
            <w:tcW w:w="9238" w:type="dxa"/>
            <w:tcBorders>
              <w:top w:val="single" w:sz="4" w:space="0" w:color="999999"/>
              <w:left w:val="single" w:sz="4" w:space="0" w:color="999999"/>
              <w:bottom w:val="single" w:sz="4" w:space="0" w:color="999999"/>
              <w:right w:val="single" w:sz="4" w:space="0" w:color="999999"/>
            </w:tcBorders>
          </w:tcPr>
          <w:p w:rsidR="008C4500" w:rsidRPr="00C90C25" w:rsidRDefault="008C4500" w:rsidP="00943F01">
            <w:pPr>
              <w:pStyle w:val="BodyText"/>
              <w:jc w:val="both"/>
              <w:rPr>
                <w:sz w:val="20"/>
                <w:szCs w:val="20"/>
              </w:rPr>
            </w:pPr>
          </w:p>
          <w:p w:rsidR="008C4500" w:rsidRDefault="00985C92" w:rsidP="00943F01">
            <w:pPr>
              <w:rPr>
                <w:rFonts w:ascii="Arial Bold" w:hAnsi="Arial Bold" w:cs="Arial Bold"/>
                <w:b/>
                <w:bCs/>
                <w:color w:val="339966"/>
                <w:sz w:val="20"/>
                <w:szCs w:val="20"/>
              </w:rPr>
            </w:pPr>
            <w:r>
              <w:rPr>
                <w:rFonts w:ascii="Arial Bold" w:hAnsi="Arial Bold" w:cs="Arial Bold"/>
                <w:b/>
                <w:bCs/>
                <w:color w:val="339966"/>
                <w:sz w:val="20"/>
                <w:szCs w:val="20"/>
              </w:rPr>
              <w:t>4</w:t>
            </w:r>
            <w:r w:rsidR="008C4500" w:rsidRPr="0048231D">
              <w:rPr>
                <w:rFonts w:ascii="Arial Bold" w:hAnsi="Arial Bold" w:cs="Arial Bold"/>
                <w:b/>
                <w:bCs/>
                <w:color w:val="339966"/>
                <w:sz w:val="20"/>
                <w:szCs w:val="20"/>
              </w:rPr>
              <w:t xml:space="preserve">.1 </w:t>
            </w:r>
            <w:r w:rsidR="008C4500">
              <w:rPr>
                <w:rFonts w:ascii="Arial Bold" w:hAnsi="Arial Bold" w:cs="Arial Bold"/>
                <w:b/>
                <w:bCs/>
                <w:color w:val="339966"/>
                <w:sz w:val="20"/>
                <w:szCs w:val="20"/>
              </w:rPr>
              <w:t xml:space="preserve">Applicable national standards </w:t>
            </w:r>
            <w:r>
              <w:rPr>
                <w:rFonts w:ascii="Arial Bold" w:hAnsi="Arial Bold" w:cs="Arial Bold"/>
                <w:b/>
                <w:bCs/>
                <w:color w:val="339966"/>
                <w:sz w:val="20"/>
                <w:szCs w:val="20"/>
              </w:rPr>
              <w:t>(</w:t>
            </w:r>
            <w:r w:rsidR="008C4500">
              <w:rPr>
                <w:rFonts w:ascii="Arial Bold" w:hAnsi="Arial Bold" w:cs="Arial Bold"/>
                <w:b/>
                <w:bCs/>
                <w:color w:val="339966"/>
                <w:sz w:val="20"/>
                <w:szCs w:val="20"/>
              </w:rPr>
              <w:t xml:space="preserve">eg </w:t>
            </w:r>
            <w:smartTag w:uri="urn:schemas-microsoft-com:office:smarttags" w:element="stockticker">
              <w:r w:rsidR="008C4500">
                <w:rPr>
                  <w:rFonts w:ascii="Arial Bold" w:hAnsi="Arial Bold" w:cs="Arial Bold"/>
                  <w:b/>
                  <w:bCs/>
                  <w:color w:val="339966"/>
                  <w:sz w:val="20"/>
                  <w:szCs w:val="20"/>
                </w:rPr>
                <w:t>NICE</w:t>
              </w:r>
              <w:r>
                <w:rPr>
                  <w:rFonts w:ascii="Arial Bold" w:hAnsi="Arial Bold" w:cs="Arial Bold"/>
                  <w:b/>
                  <w:bCs/>
                  <w:color w:val="339966"/>
                  <w:sz w:val="20"/>
                  <w:szCs w:val="20"/>
                </w:rPr>
                <w:t>)</w:t>
              </w:r>
            </w:smartTag>
          </w:p>
          <w:p w:rsidR="004360A1" w:rsidRPr="004360A1" w:rsidRDefault="004360A1" w:rsidP="00943F01">
            <w:pPr>
              <w:rPr>
                <w:rFonts w:ascii="Arial" w:hAnsi="Arial" w:cs="Arial"/>
                <w:bCs/>
                <w:sz w:val="20"/>
                <w:szCs w:val="20"/>
              </w:rPr>
            </w:pPr>
          </w:p>
          <w:p w:rsidR="004360A1" w:rsidRDefault="004360A1" w:rsidP="00943F01">
            <w:pPr>
              <w:rPr>
                <w:rFonts w:ascii="Arial" w:hAnsi="Arial" w:cs="Arial"/>
                <w:bCs/>
                <w:sz w:val="20"/>
                <w:szCs w:val="20"/>
              </w:rPr>
            </w:pPr>
            <w:r w:rsidRPr="004360A1">
              <w:rPr>
                <w:rFonts w:ascii="Arial" w:hAnsi="Arial" w:cs="Arial"/>
                <w:bCs/>
                <w:sz w:val="20"/>
                <w:szCs w:val="20"/>
              </w:rPr>
              <w:t xml:space="preserve">The Provider will comply with the reporting requirements of UNIFY2 and submit monthly diagnostic returns.  This reports on the number of patients still waiting for a test at the end of the month and the actual number of tests undertaken within the month.  </w:t>
            </w:r>
          </w:p>
          <w:p w:rsidR="00782087" w:rsidRDefault="00782087" w:rsidP="00943F01">
            <w:pPr>
              <w:rPr>
                <w:rFonts w:ascii="Arial" w:hAnsi="Arial" w:cs="Arial"/>
                <w:bCs/>
                <w:sz w:val="20"/>
                <w:szCs w:val="20"/>
              </w:rPr>
            </w:pPr>
          </w:p>
          <w:p w:rsidR="008C4500" w:rsidRDefault="008C4500" w:rsidP="00943F01">
            <w:pPr>
              <w:rPr>
                <w:rFonts w:ascii="Arial Bold" w:hAnsi="Arial Bold" w:cs="Arial Bold"/>
                <w:b/>
                <w:bCs/>
                <w:color w:val="339966"/>
                <w:sz w:val="20"/>
                <w:szCs w:val="20"/>
              </w:rPr>
            </w:pPr>
          </w:p>
          <w:p w:rsidR="00985C92" w:rsidRDefault="00985C92" w:rsidP="00943F01">
            <w:pPr>
              <w:rPr>
                <w:rFonts w:ascii="Arial Bold" w:hAnsi="Arial Bold" w:cs="Arial Bold"/>
                <w:b/>
                <w:bCs/>
                <w:color w:val="339966"/>
                <w:sz w:val="20"/>
                <w:szCs w:val="20"/>
              </w:rPr>
            </w:pPr>
            <w:r>
              <w:rPr>
                <w:rFonts w:ascii="Arial Bold" w:hAnsi="Arial Bold" w:cs="Arial Bold"/>
                <w:b/>
                <w:bCs/>
                <w:color w:val="339966"/>
                <w:sz w:val="20"/>
                <w:szCs w:val="20"/>
              </w:rPr>
              <w:t>4</w:t>
            </w:r>
            <w:r w:rsidRPr="0048231D">
              <w:rPr>
                <w:rFonts w:ascii="Arial Bold" w:hAnsi="Arial Bold" w:cs="Arial Bold"/>
                <w:b/>
                <w:bCs/>
                <w:color w:val="339966"/>
                <w:sz w:val="20"/>
                <w:szCs w:val="20"/>
              </w:rPr>
              <w:t>.</w:t>
            </w:r>
            <w:r>
              <w:rPr>
                <w:rFonts w:ascii="Arial Bold" w:hAnsi="Arial Bold" w:cs="Arial Bold"/>
                <w:b/>
                <w:bCs/>
                <w:color w:val="339966"/>
                <w:sz w:val="20"/>
                <w:szCs w:val="20"/>
              </w:rPr>
              <w:t>2 Applicable standards set out in Guidance and/or issued by a competent body</w:t>
            </w:r>
          </w:p>
          <w:p w:rsidR="009F64D4" w:rsidRDefault="009F64D4" w:rsidP="00943F01">
            <w:pPr>
              <w:rPr>
                <w:rFonts w:ascii="Arial Bold" w:hAnsi="Arial Bold" w:cs="Arial Bold"/>
                <w:b/>
                <w:bCs/>
                <w:color w:val="339966"/>
                <w:sz w:val="20"/>
                <w:szCs w:val="20"/>
              </w:rPr>
            </w:pPr>
          </w:p>
          <w:p w:rsidR="009F64D4" w:rsidRPr="009F64D4" w:rsidRDefault="009F64D4" w:rsidP="00943F01">
            <w:pPr>
              <w:rPr>
                <w:rFonts w:ascii="Arial" w:hAnsi="Arial" w:cs="Arial"/>
                <w:bCs/>
                <w:sz w:val="20"/>
                <w:szCs w:val="20"/>
              </w:rPr>
            </w:pPr>
            <w:r w:rsidRPr="009F64D4">
              <w:rPr>
                <w:rFonts w:ascii="Arial" w:hAnsi="Arial" w:cs="Arial"/>
                <w:bCs/>
                <w:sz w:val="20"/>
                <w:szCs w:val="20"/>
              </w:rPr>
              <w:t xml:space="preserve">The Provider will demonstrate compliance with the latest guidance/technical standards and alert notices for </w:t>
            </w:r>
            <w:r w:rsidR="00695915">
              <w:rPr>
                <w:rFonts w:ascii="Arial" w:hAnsi="Arial" w:cs="Arial"/>
                <w:bCs/>
                <w:sz w:val="20"/>
                <w:szCs w:val="20"/>
              </w:rPr>
              <w:t>DEXA</w:t>
            </w:r>
            <w:r w:rsidRPr="009F64D4">
              <w:rPr>
                <w:rFonts w:ascii="Arial" w:hAnsi="Arial" w:cs="Arial"/>
                <w:bCs/>
                <w:sz w:val="20"/>
                <w:szCs w:val="20"/>
              </w:rPr>
              <w:t xml:space="preserve"> as stipulated by the Medicines and Healthcare products Regulatory Agency (MHRA).</w:t>
            </w:r>
          </w:p>
          <w:p w:rsidR="00985C92" w:rsidRPr="0048231D" w:rsidRDefault="00985C92" w:rsidP="00943F01">
            <w:pPr>
              <w:rPr>
                <w:rFonts w:ascii="Arial Bold" w:hAnsi="Arial Bold" w:cs="Arial Bold"/>
                <w:b/>
                <w:bCs/>
                <w:color w:val="339966"/>
                <w:sz w:val="20"/>
                <w:szCs w:val="20"/>
              </w:rPr>
            </w:pPr>
          </w:p>
          <w:p w:rsidR="008C4500" w:rsidRPr="0048231D" w:rsidRDefault="00985C92" w:rsidP="00943F01">
            <w:pPr>
              <w:rPr>
                <w:rFonts w:ascii="Arial Bold" w:hAnsi="Arial Bold" w:cs="Arial Bold"/>
                <w:b/>
                <w:bCs/>
                <w:color w:val="339966"/>
                <w:sz w:val="20"/>
                <w:szCs w:val="20"/>
              </w:rPr>
            </w:pPr>
            <w:r>
              <w:rPr>
                <w:rFonts w:ascii="Arial Bold" w:hAnsi="Arial Bold" w:cs="Arial Bold"/>
                <w:b/>
                <w:bCs/>
                <w:color w:val="339966"/>
                <w:sz w:val="20"/>
                <w:szCs w:val="20"/>
              </w:rPr>
              <w:t>4</w:t>
            </w:r>
            <w:r w:rsidR="008C4500" w:rsidRPr="0048231D">
              <w:rPr>
                <w:rFonts w:ascii="Arial Bold" w:hAnsi="Arial Bold" w:cs="Arial Bold"/>
                <w:b/>
                <w:bCs/>
                <w:color w:val="339966"/>
                <w:sz w:val="20"/>
                <w:szCs w:val="20"/>
              </w:rPr>
              <w:t>.</w:t>
            </w:r>
            <w:r>
              <w:rPr>
                <w:rFonts w:ascii="Arial Bold" w:hAnsi="Arial Bold" w:cs="Arial Bold"/>
                <w:b/>
                <w:bCs/>
                <w:color w:val="339966"/>
                <w:sz w:val="20"/>
                <w:szCs w:val="20"/>
              </w:rPr>
              <w:t>3</w:t>
            </w:r>
            <w:r w:rsidR="008C4500" w:rsidRPr="0048231D">
              <w:rPr>
                <w:rFonts w:ascii="Arial Bold" w:hAnsi="Arial Bold" w:cs="Arial Bold"/>
                <w:b/>
                <w:bCs/>
                <w:color w:val="339966"/>
                <w:sz w:val="20"/>
                <w:szCs w:val="20"/>
              </w:rPr>
              <w:t xml:space="preserve"> </w:t>
            </w:r>
            <w:r w:rsidR="008C4500">
              <w:rPr>
                <w:rFonts w:ascii="Arial Bold" w:hAnsi="Arial Bold" w:cs="Arial Bold"/>
                <w:b/>
                <w:bCs/>
                <w:color w:val="339966"/>
                <w:sz w:val="20"/>
                <w:szCs w:val="20"/>
              </w:rPr>
              <w:t>Applicable local standards</w:t>
            </w:r>
          </w:p>
          <w:p w:rsidR="008C4500" w:rsidRDefault="008C4500" w:rsidP="00943F01">
            <w:pPr>
              <w:pStyle w:val="BodyText"/>
              <w:jc w:val="both"/>
              <w:rPr>
                <w:b/>
                <w:bCs/>
                <w:sz w:val="20"/>
                <w:szCs w:val="20"/>
              </w:rPr>
            </w:pPr>
          </w:p>
          <w:p w:rsidR="008C4500" w:rsidRDefault="008C4500" w:rsidP="00943F01">
            <w:pPr>
              <w:pStyle w:val="BodyText"/>
              <w:jc w:val="both"/>
              <w:rPr>
                <w:b/>
                <w:bCs/>
                <w:sz w:val="20"/>
                <w:szCs w:val="20"/>
              </w:rPr>
            </w:pPr>
          </w:p>
          <w:p w:rsidR="008C4500" w:rsidRPr="009E2A23" w:rsidRDefault="008C4500" w:rsidP="00943F01">
            <w:pPr>
              <w:pStyle w:val="BodyText"/>
              <w:jc w:val="both"/>
              <w:rPr>
                <w:b/>
                <w:bCs/>
                <w:sz w:val="20"/>
                <w:szCs w:val="20"/>
              </w:rPr>
            </w:pPr>
          </w:p>
        </w:tc>
      </w:tr>
    </w:tbl>
    <w:p w:rsidR="008C4500" w:rsidRDefault="008C4500"/>
    <w:p w:rsidR="008C4500" w:rsidRDefault="008C4500"/>
    <w:p w:rsidR="008C4500" w:rsidRDefault="008C4500"/>
    <w:p w:rsidR="008C4500" w:rsidRDefault="008C4500" w:rsidP="008C4500">
      <w:pPr>
        <w:pStyle w:val="Part"/>
        <w:rPr>
          <w:sz w:val="20"/>
          <w:szCs w:val="20"/>
          <w:u w:val="single"/>
        </w:rPr>
      </w:pPr>
    </w:p>
    <w:p w:rsidR="0081752C" w:rsidRDefault="0081752C"/>
    <w:sectPr w:rsidR="0081752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C48" w:rsidRDefault="00A02C48" w:rsidP="00B1233B">
      <w:r>
        <w:separator/>
      </w:r>
    </w:p>
  </w:endnote>
  <w:endnote w:type="continuationSeparator" w:id="0">
    <w:p w:rsidR="00A02C48" w:rsidRDefault="00A02C48" w:rsidP="00B1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33B" w:rsidRDefault="00B1233B">
    <w:pPr>
      <w:pStyle w:val="Footer"/>
      <w:jc w:val="right"/>
    </w:pPr>
    <w:r>
      <w:fldChar w:fldCharType="begin"/>
    </w:r>
    <w:r>
      <w:instrText xml:space="preserve"> PAGE   \* MERGEFORMAT </w:instrText>
    </w:r>
    <w:r>
      <w:fldChar w:fldCharType="separate"/>
    </w:r>
    <w:r w:rsidR="002B4032">
      <w:rPr>
        <w:noProof/>
      </w:rPr>
      <w:t>8</w:t>
    </w:r>
    <w:r>
      <w:rPr>
        <w:noProof/>
      </w:rPr>
      <w:fldChar w:fldCharType="end"/>
    </w:r>
  </w:p>
  <w:p w:rsidR="00B1233B" w:rsidRDefault="00B12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C48" w:rsidRDefault="00A02C48" w:rsidP="00B1233B">
      <w:r>
        <w:separator/>
      </w:r>
    </w:p>
  </w:footnote>
  <w:footnote w:type="continuationSeparator" w:id="0">
    <w:p w:rsidR="00A02C48" w:rsidRDefault="00A02C48" w:rsidP="00B12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2217"/>
    <w:multiLevelType w:val="hybridMultilevel"/>
    <w:tmpl w:val="ECA8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71A51"/>
    <w:multiLevelType w:val="hybridMultilevel"/>
    <w:tmpl w:val="8F7E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34D83"/>
    <w:multiLevelType w:val="hybridMultilevel"/>
    <w:tmpl w:val="B712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63695"/>
    <w:multiLevelType w:val="hybridMultilevel"/>
    <w:tmpl w:val="2DFA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379F6"/>
    <w:multiLevelType w:val="hybridMultilevel"/>
    <w:tmpl w:val="E364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314EC"/>
    <w:multiLevelType w:val="hybridMultilevel"/>
    <w:tmpl w:val="A262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E2E1C"/>
    <w:multiLevelType w:val="hybridMultilevel"/>
    <w:tmpl w:val="58C87B66"/>
    <w:lvl w:ilvl="0" w:tplc="08090001">
      <w:start w:val="1"/>
      <w:numFmt w:val="bullet"/>
      <w:lvlText w:val=""/>
      <w:lvlJc w:val="left"/>
      <w:pPr>
        <w:ind w:left="720" w:hanging="360"/>
      </w:pPr>
      <w:rPr>
        <w:rFonts w:ascii="Symbol" w:hAnsi="Symbol" w:hint="default"/>
      </w:rPr>
    </w:lvl>
    <w:lvl w:ilvl="1" w:tplc="2EEA265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834F7"/>
    <w:multiLevelType w:val="hybridMultilevel"/>
    <w:tmpl w:val="66DA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265390"/>
    <w:multiLevelType w:val="hybridMultilevel"/>
    <w:tmpl w:val="FBFC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184323"/>
    <w:multiLevelType w:val="hybridMultilevel"/>
    <w:tmpl w:val="A954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821BF"/>
    <w:multiLevelType w:val="hybridMultilevel"/>
    <w:tmpl w:val="B05E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3D4DFD"/>
    <w:multiLevelType w:val="hybridMultilevel"/>
    <w:tmpl w:val="76C00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1"/>
  </w:num>
  <w:num w:numId="4">
    <w:abstractNumId w:val="0"/>
  </w:num>
  <w:num w:numId="5">
    <w:abstractNumId w:val="9"/>
  </w:num>
  <w:num w:numId="6">
    <w:abstractNumId w:val="2"/>
  </w:num>
  <w:num w:numId="7">
    <w:abstractNumId w:val="4"/>
  </w:num>
  <w:num w:numId="8">
    <w:abstractNumId w:val="3"/>
  </w:num>
  <w:num w:numId="9">
    <w:abstractNumId w:val="10"/>
  </w:num>
  <w:num w:numId="10">
    <w:abstractNumId w:val="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500"/>
    <w:rsid w:val="00002AC9"/>
    <w:rsid w:val="000070B8"/>
    <w:rsid w:val="00024A93"/>
    <w:rsid w:val="00042DA5"/>
    <w:rsid w:val="00050EB0"/>
    <w:rsid w:val="000527BD"/>
    <w:rsid w:val="00057BD1"/>
    <w:rsid w:val="00077602"/>
    <w:rsid w:val="000802CD"/>
    <w:rsid w:val="000B6426"/>
    <w:rsid w:val="000E2906"/>
    <w:rsid w:val="00102E33"/>
    <w:rsid w:val="00115D2C"/>
    <w:rsid w:val="00120EEB"/>
    <w:rsid w:val="0013634B"/>
    <w:rsid w:val="00147309"/>
    <w:rsid w:val="001629C3"/>
    <w:rsid w:val="001922EE"/>
    <w:rsid w:val="0020727E"/>
    <w:rsid w:val="002205B2"/>
    <w:rsid w:val="00222228"/>
    <w:rsid w:val="00244EE1"/>
    <w:rsid w:val="0027461E"/>
    <w:rsid w:val="002B4032"/>
    <w:rsid w:val="002D57E8"/>
    <w:rsid w:val="002E00EA"/>
    <w:rsid w:val="003170CD"/>
    <w:rsid w:val="0036044C"/>
    <w:rsid w:val="0037796D"/>
    <w:rsid w:val="00382D2D"/>
    <w:rsid w:val="0039273B"/>
    <w:rsid w:val="003C6C39"/>
    <w:rsid w:val="00403ECD"/>
    <w:rsid w:val="004360A1"/>
    <w:rsid w:val="00444876"/>
    <w:rsid w:val="00462477"/>
    <w:rsid w:val="00477CDD"/>
    <w:rsid w:val="004823F6"/>
    <w:rsid w:val="004B0F4C"/>
    <w:rsid w:val="004B5553"/>
    <w:rsid w:val="004B7F47"/>
    <w:rsid w:val="005052CB"/>
    <w:rsid w:val="00533AC1"/>
    <w:rsid w:val="005634B3"/>
    <w:rsid w:val="00582BF8"/>
    <w:rsid w:val="00585905"/>
    <w:rsid w:val="00657273"/>
    <w:rsid w:val="00662BE2"/>
    <w:rsid w:val="00671E3E"/>
    <w:rsid w:val="00695915"/>
    <w:rsid w:val="006A191E"/>
    <w:rsid w:val="006B3651"/>
    <w:rsid w:val="00701F20"/>
    <w:rsid w:val="00706EE7"/>
    <w:rsid w:val="007174F2"/>
    <w:rsid w:val="00782087"/>
    <w:rsid w:val="007912A3"/>
    <w:rsid w:val="007B78C9"/>
    <w:rsid w:val="007B7DBE"/>
    <w:rsid w:val="007C1B5D"/>
    <w:rsid w:val="007C6ED8"/>
    <w:rsid w:val="007F1A50"/>
    <w:rsid w:val="0081752C"/>
    <w:rsid w:val="00831C22"/>
    <w:rsid w:val="00876707"/>
    <w:rsid w:val="008C4500"/>
    <w:rsid w:val="008E531D"/>
    <w:rsid w:val="009227AA"/>
    <w:rsid w:val="00943F01"/>
    <w:rsid w:val="00953B98"/>
    <w:rsid w:val="009714A5"/>
    <w:rsid w:val="00983966"/>
    <w:rsid w:val="00985C92"/>
    <w:rsid w:val="009C35DF"/>
    <w:rsid w:val="009D77E6"/>
    <w:rsid w:val="009F64D4"/>
    <w:rsid w:val="00A02C48"/>
    <w:rsid w:val="00A07619"/>
    <w:rsid w:val="00A414A4"/>
    <w:rsid w:val="00A57C7B"/>
    <w:rsid w:val="00A91A7A"/>
    <w:rsid w:val="00AD0052"/>
    <w:rsid w:val="00AE3325"/>
    <w:rsid w:val="00B1233B"/>
    <w:rsid w:val="00B229B7"/>
    <w:rsid w:val="00B47155"/>
    <w:rsid w:val="00B63A5F"/>
    <w:rsid w:val="00B654DF"/>
    <w:rsid w:val="00B80B78"/>
    <w:rsid w:val="00BD21A4"/>
    <w:rsid w:val="00BF6EF2"/>
    <w:rsid w:val="00C628C4"/>
    <w:rsid w:val="00C639C8"/>
    <w:rsid w:val="00CA58CE"/>
    <w:rsid w:val="00CC5671"/>
    <w:rsid w:val="00CC5937"/>
    <w:rsid w:val="00CD23AA"/>
    <w:rsid w:val="00CE64EA"/>
    <w:rsid w:val="00CF5B69"/>
    <w:rsid w:val="00D17F08"/>
    <w:rsid w:val="00D444EB"/>
    <w:rsid w:val="00D51FF4"/>
    <w:rsid w:val="00D722C3"/>
    <w:rsid w:val="00DB6AFD"/>
    <w:rsid w:val="00DC67F6"/>
    <w:rsid w:val="00DF16FB"/>
    <w:rsid w:val="00DF6B9E"/>
    <w:rsid w:val="00E67102"/>
    <w:rsid w:val="00E67285"/>
    <w:rsid w:val="00EA66F2"/>
    <w:rsid w:val="00EB471E"/>
    <w:rsid w:val="00F1330F"/>
    <w:rsid w:val="00F56CD0"/>
    <w:rsid w:val="00F64AF9"/>
    <w:rsid w:val="00F76739"/>
    <w:rsid w:val="00FA3A9A"/>
    <w:rsid w:val="00FC1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5:docId w15:val="{2907DF18-97FD-45D9-926E-57894482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C45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C4500"/>
    <w:rPr>
      <w:rFonts w:ascii="Arial" w:hAnsi="Arial" w:cs="Arial"/>
      <w:sz w:val="22"/>
      <w:szCs w:val="22"/>
      <w:lang w:eastAsia="en-US"/>
    </w:rPr>
  </w:style>
  <w:style w:type="character" w:customStyle="1" w:styleId="BodyTextChar">
    <w:name w:val="Body Text Char"/>
    <w:link w:val="BodyText"/>
    <w:uiPriority w:val="99"/>
    <w:rsid w:val="008C4500"/>
    <w:rPr>
      <w:rFonts w:ascii="Arial" w:eastAsia="Times New Roman" w:hAnsi="Arial" w:cs="Arial"/>
    </w:rPr>
  </w:style>
  <w:style w:type="paragraph" w:customStyle="1" w:styleId="Part">
    <w:name w:val="Part"/>
    <w:link w:val="PartChar"/>
    <w:uiPriority w:val="99"/>
    <w:rsid w:val="008C4500"/>
    <w:pPr>
      <w:widowControl w:val="0"/>
    </w:pPr>
    <w:rPr>
      <w:rFonts w:ascii="Arial" w:eastAsia="Times New Roman" w:hAnsi="Arial" w:cs="Arial"/>
      <w:b/>
      <w:bCs/>
      <w:sz w:val="24"/>
      <w:szCs w:val="24"/>
    </w:rPr>
  </w:style>
  <w:style w:type="character" w:customStyle="1" w:styleId="PartChar">
    <w:name w:val="Part Char"/>
    <w:link w:val="Part"/>
    <w:uiPriority w:val="99"/>
    <w:rsid w:val="008C4500"/>
    <w:rPr>
      <w:rFonts w:ascii="Arial" w:eastAsia="Times New Roman" w:hAnsi="Arial" w:cs="Arial"/>
      <w:b/>
      <w:bCs/>
      <w:sz w:val="24"/>
      <w:szCs w:val="24"/>
      <w:lang w:eastAsia="en-GB"/>
    </w:rPr>
  </w:style>
  <w:style w:type="paragraph" w:styleId="ListParagraph">
    <w:name w:val="List Paragraph"/>
    <w:basedOn w:val="Normal"/>
    <w:uiPriority w:val="99"/>
    <w:qFormat/>
    <w:rsid w:val="008C4500"/>
    <w:pPr>
      <w:ind w:left="720"/>
    </w:pPr>
    <w:rPr>
      <w:rFonts w:ascii="Arial" w:hAnsi="Arial" w:cs="Arial"/>
      <w:sz w:val="22"/>
      <w:szCs w:val="22"/>
      <w:lang w:eastAsia="en-US"/>
    </w:rPr>
  </w:style>
  <w:style w:type="table" w:styleId="TableGrid">
    <w:name w:val="Table Grid"/>
    <w:aliases w:val="Header Table Grid"/>
    <w:basedOn w:val="TableNormal"/>
    <w:uiPriority w:val="59"/>
    <w:rsid w:val="00985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233B"/>
    <w:pPr>
      <w:tabs>
        <w:tab w:val="center" w:pos="4513"/>
        <w:tab w:val="right" w:pos="9026"/>
      </w:tabs>
    </w:pPr>
  </w:style>
  <w:style w:type="character" w:customStyle="1" w:styleId="HeaderChar">
    <w:name w:val="Header Char"/>
    <w:link w:val="Header"/>
    <w:uiPriority w:val="99"/>
    <w:rsid w:val="00B1233B"/>
    <w:rPr>
      <w:rFonts w:ascii="Times New Roman" w:eastAsia="Times New Roman" w:hAnsi="Times New Roman"/>
      <w:sz w:val="24"/>
      <w:szCs w:val="24"/>
    </w:rPr>
  </w:style>
  <w:style w:type="paragraph" w:styleId="Footer">
    <w:name w:val="footer"/>
    <w:basedOn w:val="Normal"/>
    <w:link w:val="FooterChar"/>
    <w:uiPriority w:val="99"/>
    <w:unhideWhenUsed/>
    <w:rsid w:val="00B1233B"/>
    <w:pPr>
      <w:tabs>
        <w:tab w:val="center" w:pos="4513"/>
        <w:tab w:val="right" w:pos="9026"/>
      </w:tabs>
    </w:pPr>
  </w:style>
  <w:style w:type="character" w:customStyle="1" w:styleId="FooterChar">
    <w:name w:val="Footer Char"/>
    <w:link w:val="Footer"/>
    <w:uiPriority w:val="99"/>
    <w:rsid w:val="00B1233B"/>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44EE1"/>
    <w:rPr>
      <w:rFonts w:ascii="Tahoma" w:hAnsi="Tahoma" w:cs="Tahoma"/>
      <w:sz w:val="16"/>
      <w:szCs w:val="16"/>
    </w:rPr>
  </w:style>
  <w:style w:type="character" w:customStyle="1" w:styleId="BalloonTextChar">
    <w:name w:val="Balloon Text Char"/>
    <w:link w:val="BalloonText"/>
    <w:uiPriority w:val="99"/>
    <w:semiHidden/>
    <w:rsid w:val="00244EE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71E3E"/>
    <w:rPr>
      <w:sz w:val="16"/>
      <w:szCs w:val="16"/>
    </w:rPr>
  </w:style>
  <w:style w:type="paragraph" w:styleId="CommentText">
    <w:name w:val="annotation text"/>
    <w:basedOn w:val="Normal"/>
    <w:link w:val="CommentTextChar"/>
    <w:uiPriority w:val="99"/>
    <w:semiHidden/>
    <w:unhideWhenUsed/>
    <w:rsid w:val="00671E3E"/>
    <w:rPr>
      <w:sz w:val="20"/>
      <w:szCs w:val="20"/>
    </w:rPr>
  </w:style>
  <w:style w:type="character" w:customStyle="1" w:styleId="CommentTextChar">
    <w:name w:val="Comment Text Char"/>
    <w:basedOn w:val="DefaultParagraphFont"/>
    <w:link w:val="CommentText"/>
    <w:uiPriority w:val="99"/>
    <w:semiHidden/>
    <w:rsid w:val="00671E3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71E3E"/>
    <w:rPr>
      <w:b/>
      <w:bCs/>
    </w:rPr>
  </w:style>
  <w:style w:type="character" w:customStyle="1" w:styleId="CommentSubjectChar">
    <w:name w:val="Comment Subject Char"/>
    <w:basedOn w:val="CommentTextChar"/>
    <w:link w:val="CommentSubject"/>
    <w:uiPriority w:val="99"/>
    <w:semiHidden/>
    <w:rsid w:val="00671E3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B13EA-3E27-4DCD-B0C5-20B025B4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2686</Words>
  <Characters>15314</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PCT</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bradleys2</dc:creator>
  <cp:lastModifiedBy>Riding Sophie (MLCSU)</cp:lastModifiedBy>
  <cp:revision>2</cp:revision>
  <cp:lastPrinted>2017-03-30T12:36:00Z</cp:lastPrinted>
  <dcterms:created xsi:type="dcterms:W3CDTF">2017-04-10T13:15:00Z</dcterms:created>
  <dcterms:modified xsi:type="dcterms:W3CDTF">2017-04-10T13:15:00Z</dcterms:modified>
</cp:coreProperties>
</file>