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2C0" w:rsidRDefault="008462C0" w:rsidP="008462C0">
      <w:pPr>
        <w:jc w:val="center"/>
        <w:rPr>
          <w:rFonts w:ascii="Arial" w:hAnsi="Arial" w:cs="Arial"/>
          <w:b/>
          <w:sz w:val="32"/>
          <w:szCs w:val="32"/>
        </w:rPr>
      </w:pPr>
      <w:r w:rsidRPr="00F8119E">
        <w:rPr>
          <w:rFonts w:ascii="Arial" w:eastAsia="Times New Roman" w:hAnsi="Arial" w:cs="Times New Roman"/>
          <w:noProof/>
          <w:szCs w:val="24"/>
          <w:lang w:eastAsia="en-GB"/>
        </w:rPr>
        <w:drawing>
          <wp:inline distT="0" distB="0" distL="0" distR="0" wp14:anchorId="6178A666" wp14:editId="6C9490D0">
            <wp:extent cx="2089150" cy="7937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89150" cy="793750"/>
                    </a:xfrm>
                    <a:prstGeom prst="rect">
                      <a:avLst/>
                    </a:prstGeom>
                    <a:noFill/>
                    <a:ln w="9525">
                      <a:noFill/>
                      <a:miter lim="800000"/>
                      <a:headEnd/>
                      <a:tailEnd/>
                    </a:ln>
                  </pic:spPr>
                </pic:pic>
              </a:graphicData>
            </a:graphic>
          </wp:inline>
        </w:drawing>
      </w:r>
    </w:p>
    <w:p w:rsidR="008462C0" w:rsidRDefault="008462C0" w:rsidP="008462C0">
      <w:pPr>
        <w:jc w:val="center"/>
        <w:rPr>
          <w:rFonts w:ascii="Arial" w:hAnsi="Arial" w:cs="Arial"/>
          <w:b/>
          <w:sz w:val="32"/>
          <w:szCs w:val="32"/>
        </w:rPr>
      </w:pPr>
    </w:p>
    <w:p w:rsidR="008462C0" w:rsidRDefault="00934367" w:rsidP="008462C0">
      <w:pPr>
        <w:jc w:val="center"/>
        <w:rPr>
          <w:rFonts w:ascii="Arial" w:hAnsi="Arial" w:cs="Arial"/>
          <w:b/>
          <w:sz w:val="32"/>
          <w:szCs w:val="32"/>
        </w:rPr>
      </w:pPr>
      <w:r>
        <w:rPr>
          <w:rFonts w:ascii="Arial" w:hAnsi="Arial" w:cs="Arial"/>
          <w:b/>
          <w:sz w:val="32"/>
          <w:szCs w:val="32"/>
        </w:rPr>
        <w:t>Appendix 6</w:t>
      </w:r>
    </w:p>
    <w:p w:rsidR="008462C0" w:rsidRDefault="008462C0" w:rsidP="008462C0">
      <w:pPr>
        <w:jc w:val="center"/>
        <w:rPr>
          <w:rFonts w:ascii="Arial" w:hAnsi="Arial" w:cs="Arial"/>
          <w:b/>
          <w:sz w:val="32"/>
          <w:szCs w:val="32"/>
        </w:rPr>
      </w:pPr>
    </w:p>
    <w:p w:rsidR="008462C0" w:rsidRDefault="008462C0" w:rsidP="008462C0">
      <w:pPr>
        <w:jc w:val="center"/>
        <w:rPr>
          <w:rFonts w:ascii="Arial" w:hAnsi="Arial" w:cs="Arial"/>
          <w:b/>
          <w:sz w:val="32"/>
          <w:szCs w:val="32"/>
        </w:rPr>
      </w:pPr>
      <w:r>
        <w:rPr>
          <w:rFonts w:ascii="Arial" w:hAnsi="Arial" w:cs="Arial"/>
          <w:b/>
          <w:sz w:val="32"/>
          <w:szCs w:val="32"/>
        </w:rPr>
        <w:t xml:space="preserve">SPECIFICATION AND </w:t>
      </w:r>
      <w:r w:rsidR="00CA7243">
        <w:rPr>
          <w:rFonts w:ascii="Arial" w:hAnsi="Arial" w:cs="Arial"/>
          <w:b/>
          <w:sz w:val="32"/>
          <w:szCs w:val="32"/>
        </w:rPr>
        <w:t>REQUIREMENT</w:t>
      </w:r>
    </w:p>
    <w:p w:rsidR="008462C0" w:rsidRDefault="008462C0" w:rsidP="008462C0">
      <w:pPr>
        <w:rPr>
          <w:rFonts w:ascii="Arial" w:hAnsi="Arial" w:cs="Arial"/>
          <w:b/>
          <w:sz w:val="32"/>
          <w:szCs w:val="32"/>
        </w:rPr>
      </w:pPr>
    </w:p>
    <w:p w:rsidR="008462C0" w:rsidRDefault="008462C0" w:rsidP="008462C0">
      <w:pPr>
        <w:rPr>
          <w:rFonts w:ascii="Arial" w:hAnsi="Arial" w:cs="Arial"/>
          <w:b/>
          <w:sz w:val="32"/>
          <w:szCs w:val="32"/>
        </w:rPr>
      </w:pPr>
    </w:p>
    <w:p w:rsidR="008462C0" w:rsidRDefault="00CA7243" w:rsidP="008462C0">
      <w:pPr>
        <w:jc w:val="center"/>
        <w:rPr>
          <w:rFonts w:ascii="Arial" w:hAnsi="Arial" w:cs="Arial"/>
          <w:b/>
          <w:sz w:val="32"/>
          <w:szCs w:val="32"/>
        </w:rPr>
      </w:pPr>
      <w:r>
        <w:rPr>
          <w:rFonts w:ascii="Arial" w:hAnsi="Arial" w:cs="Arial"/>
          <w:b/>
          <w:sz w:val="32"/>
          <w:szCs w:val="32"/>
        </w:rPr>
        <w:t xml:space="preserve">BUDGETING &amp; MONEY MANAGEMENT SUPPORT </w:t>
      </w:r>
    </w:p>
    <w:p w:rsidR="008462C0" w:rsidRDefault="008462C0" w:rsidP="008462C0">
      <w:pPr>
        <w:rPr>
          <w:rFonts w:ascii="Arial" w:hAnsi="Arial" w:cs="Arial"/>
          <w:b/>
          <w:sz w:val="32"/>
          <w:szCs w:val="32"/>
        </w:rPr>
      </w:pPr>
    </w:p>
    <w:p w:rsidR="00861722" w:rsidRDefault="00861722"/>
    <w:p w:rsidR="00374FA6" w:rsidRDefault="00374FA6"/>
    <w:p w:rsidR="00374FA6" w:rsidRDefault="00374FA6"/>
    <w:p w:rsidR="00374FA6" w:rsidRDefault="00374FA6"/>
    <w:p w:rsidR="00374FA6" w:rsidRDefault="00374FA6"/>
    <w:p w:rsidR="00374FA6" w:rsidRDefault="00374FA6"/>
    <w:p w:rsidR="00374FA6" w:rsidRDefault="00374FA6"/>
    <w:p w:rsidR="00374FA6" w:rsidRDefault="00374FA6"/>
    <w:p w:rsidR="00374FA6" w:rsidRDefault="00374FA6"/>
    <w:p w:rsidR="00374FA6" w:rsidRDefault="00374FA6"/>
    <w:p w:rsidR="00374FA6" w:rsidRDefault="00374FA6"/>
    <w:p w:rsidR="00374FA6" w:rsidRDefault="00374FA6"/>
    <w:p w:rsidR="00374FA6" w:rsidRDefault="00374FA6"/>
    <w:p w:rsidR="00374FA6" w:rsidRDefault="00374FA6"/>
    <w:p w:rsidR="00374FA6" w:rsidRDefault="00374FA6"/>
    <w:p w:rsidR="00374FA6" w:rsidRDefault="00221323" w:rsidP="00221323">
      <w:pPr>
        <w:rPr>
          <w:b/>
          <w:u w:val="single"/>
        </w:rPr>
      </w:pPr>
      <w:r>
        <w:rPr>
          <w:b/>
          <w:u w:val="single"/>
        </w:rPr>
        <w:lastRenderedPageBreak/>
        <w:t xml:space="preserve">1.1 </w:t>
      </w:r>
      <w:r w:rsidR="00374FA6">
        <w:rPr>
          <w:b/>
          <w:u w:val="single"/>
        </w:rPr>
        <w:t>Introduction</w:t>
      </w:r>
    </w:p>
    <w:p w:rsidR="00374FA6" w:rsidRDefault="00374FA6">
      <w:r>
        <w:t>Exeter City Council</w:t>
      </w:r>
      <w:r w:rsidR="00B07D4D">
        <w:t xml:space="preserve"> is looking at alternative ways to support </w:t>
      </w:r>
      <w:r w:rsidR="009B7D16">
        <w:t xml:space="preserve">local people to be able to help themselves, and in doing so, seeks to collaborate with </w:t>
      </w:r>
      <w:r w:rsidR="00051176">
        <w:t>an</w:t>
      </w:r>
      <w:r w:rsidR="006301A0">
        <w:t xml:space="preserve"> organisation </w:t>
      </w:r>
      <w:r w:rsidR="009B7D16">
        <w:t xml:space="preserve">to </w:t>
      </w:r>
      <w:r w:rsidR="00E54E4F">
        <w:t xml:space="preserve">offer customers of the Council, </w:t>
      </w:r>
      <w:r w:rsidR="009B7D16">
        <w:t xml:space="preserve">assistance with </w:t>
      </w:r>
      <w:r w:rsidR="00E54E4F">
        <w:t xml:space="preserve">budgeting and </w:t>
      </w:r>
      <w:r w:rsidR="009B7D16">
        <w:t xml:space="preserve">money management. Complementing the results already achieved through the Exeter Money Advice Partnership, </w:t>
      </w:r>
      <w:r w:rsidR="0038335A">
        <w:t xml:space="preserve">this collaboration will assist local people in meeting their financial obligation to the Council, or will prevent their home </w:t>
      </w:r>
      <w:r w:rsidR="003D252C">
        <w:t xml:space="preserve">being put </w:t>
      </w:r>
      <w:r w:rsidR="0038335A">
        <w:t>at risk.</w:t>
      </w:r>
    </w:p>
    <w:p w:rsidR="00133E45" w:rsidRDefault="00221323">
      <w:pPr>
        <w:rPr>
          <w:b/>
          <w:u w:val="single"/>
        </w:rPr>
      </w:pPr>
      <w:r>
        <w:rPr>
          <w:b/>
          <w:u w:val="single"/>
        </w:rPr>
        <w:t xml:space="preserve">1.2 </w:t>
      </w:r>
      <w:r w:rsidR="00D86520">
        <w:rPr>
          <w:b/>
          <w:u w:val="single"/>
        </w:rPr>
        <w:t>Contract</w:t>
      </w:r>
    </w:p>
    <w:p w:rsidR="00D86520" w:rsidRDefault="00F51BA2">
      <w:r>
        <w:t xml:space="preserve">The organisation would be expected to provide </w:t>
      </w:r>
      <w:r w:rsidRPr="00F51BA2">
        <w:t xml:space="preserve">1 caseworker to </w:t>
      </w:r>
      <w:r>
        <w:t xml:space="preserve">work </w:t>
      </w:r>
      <w:r w:rsidR="001C59CC">
        <w:t xml:space="preserve">on secondment </w:t>
      </w:r>
      <w:r>
        <w:t>within the Council’s ‘Help me with my financial/housing problem’ system. P</w:t>
      </w:r>
      <w:r w:rsidRPr="00F51BA2">
        <w:t>rimarily work</w:t>
      </w:r>
      <w:r>
        <w:t>ing</w:t>
      </w:r>
      <w:r w:rsidRPr="00F51BA2">
        <w:t xml:space="preserve"> with the Council’s multi-debt team</w:t>
      </w:r>
      <w:r>
        <w:t xml:space="preserve">, but also assisting the Benefits &amp; Welfare and Housing Options staff, the caseworker </w:t>
      </w:r>
      <w:r w:rsidR="00340F0C">
        <w:t>would be expected to work 37 hours per week, Monday to Friday, between 9am and 5pm.</w:t>
      </w:r>
    </w:p>
    <w:p w:rsidR="00745FAF" w:rsidRPr="00D86520" w:rsidRDefault="00745FAF">
      <w:r>
        <w:t xml:space="preserve">The contract </w:t>
      </w:r>
      <w:r w:rsidR="00887519">
        <w:t xml:space="preserve">is expected to </w:t>
      </w:r>
      <w:r w:rsidR="001C59CC">
        <w:t>commence in April 2017 for a period of either</w:t>
      </w:r>
      <w:r w:rsidR="00D85635">
        <w:t xml:space="preserve"> 12 month</w:t>
      </w:r>
      <w:r w:rsidR="001C59CC">
        <w:t>s or 18 months, dependent on funding received by the Council. Tender returns should provide pricing for both a 12 month and 18 month secondment accordingly.</w:t>
      </w:r>
    </w:p>
    <w:p w:rsidR="00133E45" w:rsidRDefault="00221323">
      <w:pPr>
        <w:rPr>
          <w:b/>
          <w:u w:val="single"/>
        </w:rPr>
      </w:pPr>
      <w:r>
        <w:rPr>
          <w:b/>
          <w:u w:val="single"/>
        </w:rPr>
        <w:t xml:space="preserve">1.3 </w:t>
      </w:r>
      <w:r w:rsidR="00937E4E">
        <w:rPr>
          <w:b/>
          <w:u w:val="single"/>
        </w:rPr>
        <w:t>Service to be provided</w:t>
      </w:r>
      <w:r w:rsidR="0025218A">
        <w:rPr>
          <w:b/>
          <w:u w:val="single"/>
        </w:rPr>
        <w:t xml:space="preserve"> by the caseworker</w:t>
      </w:r>
    </w:p>
    <w:p w:rsidR="00C41E34" w:rsidRDefault="0025218A">
      <w:r>
        <w:t xml:space="preserve">The organisation will need to evidence that the </w:t>
      </w:r>
      <w:r w:rsidR="00FE5E85">
        <w:t xml:space="preserve">caseworker </w:t>
      </w:r>
      <w:r w:rsidR="00745FAF">
        <w:t xml:space="preserve">they provide </w:t>
      </w:r>
      <w:r w:rsidR="00FE5E85">
        <w:t xml:space="preserve">has sufficient </w:t>
      </w:r>
      <w:r w:rsidR="00C00C01">
        <w:t xml:space="preserve">qualifications, </w:t>
      </w:r>
      <w:r w:rsidR="00FE5E85">
        <w:t>experience, skills and ability to carry out the following tasks:</w:t>
      </w:r>
    </w:p>
    <w:p w:rsidR="00751AE8" w:rsidRDefault="000F4703" w:rsidP="00C41E34">
      <w:pPr>
        <w:pStyle w:val="ListParagraph"/>
        <w:numPr>
          <w:ilvl w:val="0"/>
          <w:numId w:val="1"/>
        </w:numPr>
      </w:pPr>
      <w:r>
        <w:t>Conduct financial health checks</w:t>
      </w:r>
      <w:r w:rsidR="00FE5E85">
        <w:t xml:space="preserve"> with c</w:t>
      </w:r>
      <w:r w:rsidR="00D13273">
        <w:t>ustomers</w:t>
      </w:r>
      <w:r w:rsidR="00FE5E85">
        <w:t>.</w:t>
      </w:r>
    </w:p>
    <w:p w:rsidR="00751AE8" w:rsidRDefault="00226BBF" w:rsidP="00751AE8">
      <w:pPr>
        <w:pStyle w:val="ListParagraph"/>
        <w:numPr>
          <w:ilvl w:val="0"/>
          <w:numId w:val="1"/>
        </w:numPr>
      </w:pPr>
      <w:r>
        <w:t>Assist</w:t>
      </w:r>
      <w:r w:rsidR="00751AE8">
        <w:t xml:space="preserve"> Council officers to provide personal budgeting support to Universal Credit claimants.</w:t>
      </w:r>
    </w:p>
    <w:p w:rsidR="00540D85" w:rsidRDefault="00540D85" w:rsidP="00751AE8">
      <w:pPr>
        <w:pStyle w:val="ListParagraph"/>
        <w:numPr>
          <w:ilvl w:val="0"/>
          <w:numId w:val="1"/>
        </w:numPr>
      </w:pPr>
      <w:r>
        <w:t>Be</w:t>
      </w:r>
      <w:r w:rsidR="00226BBF">
        <w:t xml:space="preserve"> a</w:t>
      </w:r>
      <w:r>
        <w:t xml:space="preserve">vailable </w:t>
      </w:r>
      <w:r w:rsidR="00AE12AD">
        <w:t>when required</w:t>
      </w:r>
      <w:r>
        <w:t xml:space="preserve"> to </w:t>
      </w:r>
      <w:r w:rsidR="00630C26">
        <w:t xml:space="preserve">provide advice to </w:t>
      </w:r>
      <w:r>
        <w:t xml:space="preserve">staff within the </w:t>
      </w:r>
      <w:r w:rsidR="00AE12AD">
        <w:t>‘</w:t>
      </w:r>
      <w:r>
        <w:t>Help me with my financial/housing p</w:t>
      </w:r>
      <w:r w:rsidR="00630C26">
        <w:t>roblem</w:t>
      </w:r>
      <w:r w:rsidR="00AE12AD">
        <w:t>’</w:t>
      </w:r>
      <w:r w:rsidR="00630C26">
        <w:t xml:space="preserve"> system</w:t>
      </w:r>
      <w:r w:rsidR="00F22920">
        <w:t xml:space="preserve"> and their customers</w:t>
      </w:r>
      <w:r w:rsidR="00A20D2B">
        <w:t>, regarding budgeting, money management, grant/financial aid available, income maximisation and debt resolution remedies</w:t>
      </w:r>
      <w:r w:rsidR="00630C26">
        <w:t>.</w:t>
      </w:r>
    </w:p>
    <w:p w:rsidR="005E1876" w:rsidRDefault="005E1876" w:rsidP="00751AE8">
      <w:pPr>
        <w:pStyle w:val="ListParagraph"/>
        <w:numPr>
          <w:ilvl w:val="0"/>
          <w:numId w:val="1"/>
        </w:numPr>
      </w:pPr>
      <w:r>
        <w:t>Coach staff within the Customer Support Team and Collection Team in assisting customers with money management.</w:t>
      </w:r>
      <w:r w:rsidR="00BD1056">
        <w:t xml:space="preserve"> (Annexe 1 specifies coaching report required).</w:t>
      </w:r>
    </w:p>
    <w:p w:rsidR="00540D85" w:rsidRDefault="000A532A" w:rsidP="00751AE8">
      <w:pPr>
        <w:pStyle w:val="ListParagraph"/>
        <w:numPr>
          <w:ilvl w:val="0"/>
          <w:numId w:val="1"/>
        </w:numPr>
      </w:pPr>
      <w:r>
        <w:t xml:space="preserve">Income maximisation </w:t>
      </w:r>
      <w:r w:rsidR="00D13273">
        <w:t xml:space="preserve">for customers </w:t>
      </w:r>
      <w:r>
        <w:t>including form filling and benefit checks.</w:t>
      </w:r>
    </w:p>
    <w:p w:rsidR="00630C26" w:rsidRDefault="00E31892" w:rsidP="00751AE8">
      <w:pPr>
        <w:pStyle w:val="ListParagraph"/>
        <w:numPr>
          <w:ilvl w:val="0"/>
          <w:numId w:val="1"/>
        </w:numPr>
      </w:pPr>
      <w:r>
        <w:t>While working with Council staff, identify customers who may benefit from grants or financial aid, and assist the customer in applying for the grant/financial aid.</w:t>
      </w:r>
    </w:p>
    <w:p w:rsidR="00871D67" w:rsidRDefault="00871D67" w:rsidP="00751AE8">
      <w:pPr>
        <w:pStyle w:val="ListParagraph"/>
        <w:numPr>
          <w:ilvl w:val="0"/>
          <w:numId w:val="1"/>
        </w:numPr>
      </w:pPr>
      <w:r>
        <w:t>Record and update cases on the Council’s Access database, and interrogate the database to collate data.</w:t>
      </w:r>
    </w:p>
    <w:p w:rsidR="00485711" w:rsidRDefault="00485711" w:rsidP="00751AE8">
      <w:pPr>
        <w:pStyle w:val="ListParagraph"/>
        <w:numPr>
          <w:ilvl w:val="0"/>
          <w:numId w:val="1"/>
        </w:numPr>
      </w:pPr>
      <w:r>
        <w:t>Conduct analysis of cases needing their assistance, and present findings monthly.</w:t>
      </w:r>
      <w:r w:rsidR="00BD1056">
        <w:t xml:space="preserve"> </w:t>
      </w:r>
    </w:p>
    <w:p w:rsidR="00485711" w:rsidRDefault="00485711" w:rsidP="00751AE8">
      <w:pPr>
        <w:pStyle w:val="ListParagraph"/>
        <w:numPr>
          <w:ilvl w:val="0"/>
          <w:numId w:val="1"/>
        </w:numPr>
      </w:pPr>
      <w:r>
        <w:t xml:space="preserve">Assisting Council staff with </w:t>
      </w:r>
      <w:r w:rsidR="00FE5E85">
        <w:t xml:space="preserve">collating </w:t>
      </w:r>
      <w:r>
        <w:t>income</w:t>
      </w:r>
      <w:r w:rsidR="00FE5E85">
        <w:t xml:space="preserve">, </w:t>
      </w:r>
      <w:r>
        <w:t>expenditure</w:t>
      </w:r>
      <w:r w:rsidR="00FE5E85">
        <w:t xml:space="preserve"> and </w:t>
      </w:r>
      <w:r w:rsidR="00D13273">
        <w:t xml:space="preserve">outstanding </w:t>
      </w:r>
      <w:r w:rsidR="00FE5E85">
        <w:t>debt</w:t>
      </w:r>
      <w:r w:rsidR="00D13273">
        <w:t xml:space="preserve"> information for customers seeking help.</w:t>
      </w:r>
    </w:p>
    <w:p w:rsidR="00C41E34" w:rsidRDefault="00C41E34" w:rsidP="00751AE8">
      <w:pPr>
        <w:pStyle w:val="ListParagraph"/>
        <w:numPr>
          <w:ilvl w:val="0"/>
          <w:numId w:val="1"/>
        </w:numPr>
      </w:pPr>
      <w:r>
        <w:t>Giving debt options advice</w:t>
      </w:r>
      <w:r w:rsidR="00F22920">
        <w:t>.</w:t>
      </w:r>
    </w:p>
    <w:p w:rsidR="00AE12AD" w:rsidRDefault="00AE12AD" w:rsidP="00751AE8">
      <w:pPr>
        <w:pStyle w:val="ListParagraph"/>
        <w:numPr>
          <w:ilvl w:val="0"/>
          <w:numId w:val="1"/>
        </w:numPr>
      </w:pPr>
      <w:r>
        <w:t>Production of reports outlined in Annexe 1 and Annexe 2 of this Specification within 5 working days following the end of each calendar month.</w:t>
      </w:r>
    </w:p>
    <w:p w:rsidR="003F5A02" w:rsidRDefault="00221323" w:rsidP="00051176">
      <w:pPr>
        <w:ind w:left="360" w:hanging="360"/>
        <w:rPr>
          <w:b/>
          <w:u w:val="single"/>
        </w:rPr>
      </w:pPr>
      <w:r>
        <w:rPr>
          <w:b/>
          <w:u w:val="single"/>
        </w:rPr>
        <w:lastRenderedPageBreak/>
        <w:t xml:space="preserve">1.4 </w:t>
      </w:r>
      <w:r w:rsidR="00051176">
        <w:rPr>
          <w:b/>
          <w:u w:val="single"/>
        </w:rPr>
        <w:tab/>
      </w:r>
      <w:r w:rsidR="003F5A02">
        <w:rPr>
          <w:b/>
          <w:u w:val="single"/>
        </w:rPr>
        <w:t>Caseworker experience, accreditation, validation and stakeholder engagement and management</w:t>
      </w:r>
    </w:p>
    <w:p w:rsidR="003F5A02" w:rsidRDefault="003F5A02" w:rsidP="003F5A02">
      <w:r>
        <w:t>This work is aimed at catching those Council customers who are not in serious debt yet, but show a pattern of missing or making late payments, or have suffered a life event that threatens their financial stability. However inevitably the caseworker will identify a customer with more serious debt issues, and would be expected to assist them if their work capacity allowed, including dealing with DRO’s. Therefore the caseworker must be suitably qualified and trained in this field.</w:t>
      </w:r>
    </w:p>
    <w:p w:rsidR="003F5A02" w:rsidRDefault="003F5A02" w:rsidP="003F5A02">
      <w:r>
        <w:t>As well as assisting customers, this is an opportunity to develop the skills of Council staff in relation to budgeting, money management and problem solving.</w:t>
      </w:r>
    </w:p>
    <w:p w:rsidR="003F5A02" w:rsidRDefault="003F5A02" w:rsidP="003F5A02">
      <w:r>
        <w:t>In order to provide customers with high quality advice, it is essential that the caseworker has at least 3 years’ experience of giving money and debt advice, and holds an accredited qualification that supports all of the following activity sets in the Money Advice Service Quality Framework for Individuals delivering debt advice:</w:t>
      </w:r>
    </w:p>
    <w:p w:rsidR="003F5A02" w:rsidRDefault="003F5A02" w:rsidP="003F5A02">
      <w:pPr>
        <w:pStyle w:val="ListParagraph"/>
        <w:numPr>
          <w:ilvl w:val="0"/>
          <w:numId w:val="7"/>
        </w:numPr>
      </w:pPr>
      <w:r>
        <w:t>Initial contact</w:t>
      </w:r>
    </w:p>
    <w:p w:rsidR="003F5A02" w:rsidRDefault="003F5A02" w:rsidP="003F5A02">
      <w:pPr>
        <w:pStyle w:val="ListParagraph"/>
        <w:numPr>
          <w:ilvl w:val="0"/>
          <w:numId w:val="7"/>
        </w:numPr>
      </w:pPr>
      <w:r>
        <w:t>Support work</w:t>
      </w:r>
    </w:p>
    <w:p w:rsidR="003F5A02" w:rsidRDefault="003F5A02" w:rsidP="003F5A02">
      <w:pPr>
        <w:pStyle w:val="ListParagraph"/>
        <w:numPr>
          <w:ilvl w:val="0"/>
          <w:numId w:val="7"/>
        </w:numPr>
      </w:pPr>
      <w:r>
        <w:t>Advice work</w:t>
      </w:r>
    </w:p>
    <w:p w:rsidR="003F5A02" w:rsidRDefault="003F5A02" w:rsidP="003F5A02">
      <w:pPr>
        <w:pStyle w:val="ListParagraph"/>
        <w:numPr>
          <w:ilvl w:val="0"/>
          <w:numId w:val="7"/>
        </w:numPr>
      </w:pPr>
      <w:r>
        <w:t>Casework/Specialist</w:t>
      </w:r>
    </w:p>
    <w:p w:rsidR="003F5A02" w:rsidRDefault="003F5A02" w:rsidP="003F5A02">
      <w:r>
        <w:t>The caseworker shall be required to be disclosure and barring checked prior to commencing work.</w:t>
      </w:r>
    </w:p>
    <w:p w:rsidR="003F5A02" w:rsidRPr="00347998" w:rsidRDefault="003F5A02" w:rsidP="003F5A02">
      <w:r>
        <w:t>The caseworker shall have the confidence and experience to interact with a variety of stakeholder groups including customers, Council Officers, Managers, Directors, Members and Enforcement Agents.</w:t>
      </w:r>
    </w:p>
    <w:p w:rsidR="00566D39" w:rsidRDefault="00221323" w:rsidP="00566D39">
      <w:pPr>
        <w:rPr>
          <w:b/>
          <w:u w:val="single"/>
        </w:rPr>
      </w:pPr>
      <w:r>
        <w:rPr>
          <w:b/>
          <w:u w:val="single"/>
        </w:rPr>
        <w:t xml:space="preserve">1.5 </w:t>
      </w:r>
      <w:r w:rsidR="00566D39">
        <w:rPr>
          <w:b/>
          <w:u w:val="single"/>
        </w:rPr>
        <w:t xml:space="preserve">Organisation </w:t>
      </w:r>
      <w:r w:rsidR="004A3D96">
        <w:rPr>
          <w:b/>
          <w:u w:val="single"/>
        </w:rPr>
        <w:t>a</w:t>
      </w:r>
      <w:r w:rsidR="00566D39">
        <w:rPr>
          <w:b/>
          <w:u w:val="single"/>
        </w:rPr>
        <w:t>ccreditation</w:t>
      </w:r>
      <w:r w:rsidR="0091776C">
        <w:rPr>
          <w:b/>
          <w:u w:val="single"/>
        </w:rPr>
        <w:t xml:space="preserve"> and </w:t>
      </w:r>
      <w:r w:rsidR="004A3D96">
        <w:rPr>
          <w:b/>
          <w:u w:val="single"/>
        </w:rPr>
        <w:t>c</w:t>
      </w:r>
      <w:r w:rsidR="0091776C">
        <w:rPr>
          <w:b/>
          <w:u w:val="single"/>
        </w:rPr>
        <w:t>apacity</w:t>
      </w:r>
    </w:p>
    <w:p w:rsidR="00566D39" w:rsidRDefault="00566D39" w:rsidP="00566D39">
      <w:r>
        <w:t>The organisation providing the caseworker should hold the Advice Quality Standard (AQS) or equivalent.</w:t>
      </w:r>
    </w:p>
    <w:p w:rsidR="00C2024A" w:rsidRDefault="00C2024A" w:rsidP="00566D39">
      <w:r w:rsidRPr="00C2024A">
        <w:t>Customers identified by the case worker as needing more in-depth debt resolution remedies, such as DRO or bankruptcy applications, must be able to be referred quickly into the organisation for ongoing assistance. The organisation must therefore have the capaci</w:t>
      </w:r>
      <w:r w:rsidR="008F0926">
        <w:t>ty to deal with these referrals, and tender returns should outline how this process will be managed.</w:t>
      </w:r>
    </w:p>
    <w:p w:rsidR="00374FA6" w:rsidRDefault="00221323">
      <w:pPr>
        <w:rPr>
          <w:b/>
          <w:u w:val="single"/>
        </w:rPr>
      </w:pPr>
      <w:r>
        <w:rPr>
          <w:b/>
          <w:u w:val="single"/>
        </w:rPr>
        <w:t xml:space="preserve">1.6 </w:t>
      </w:r>
      <w:r w:rsidR="003D252C">
        <w:rPr>
          <w:b/>
          <w:u w:val="single"/>
        </w:rPr>
        <w:t>Conditions</w:t>
      </w:r>
      <w:r w:rsidR="000D2280">
        <w:rPr>
          <w:b/>
          <w:u w:val="single"/>
        </w:rPr>
        <w:t xml:space="preserve"> to be met</w:t>
      </w:r>
      <w:r w:rsidR="00D13273">
        <w:rPr>
          <w:b/>
          <w:u w:val="single"/>
        </w:rPr>
        <w:t xml:space="preserve"> by the organisation</w:t>
      </w:r>
    </w:p>
    <w:p w:rsidR="006A4BDD" w:rsidRDefault="000D2280" w:rsidP="006A4BDD">
      <w:pPr>
        <w:pStyle w:val="ListParagraph"/>
        <w:numPr>
          <w:ilvl w:val="0"/>
          <w:numId w:val="2"/>
        </w:numPr>
      </w:pPr>
      <w:r>
        <w:t xml:space="preserve">The </w:t>
      </w:r>
      <w:r w:rsidR="00D13273">
        <w:t xml:space="preserve">organisation </w:t>
      </w:r>
      <w:r>
        <w:t xml:space="preserve">will need to agree </w:t>
      </w:r>
      <w:r w:rsidR="00D13273">
        <w:t xml:space="preserve">that </w:t>
      </w:r>
      <w:r>
        <w:t xml:space="preserve">planned absence </w:t>
      </w:r>
      <w:r w:rsidR="00D13273">
        <w:t xml:space="preserve">of the caseworker </w:t>
      </w:r>
      <w:r>
        <w:t xml:space="preserve">due to annual leave, training etc. </w:t>
      </w:r>
      <w:r w:rsidR="00D13273">
        <w:t xml:space="preserve">is </w:t>
      </w:r>
      <w:r w:rsidR="006A4BDD">
        <w:t xml:space="preserve">agreed </w:t>
      </w:r>
      <w:r>
        <w:t>with the Council’s Income Collection Team Leaders</w:t>
      </w:r>
      <w:r w:rsidR="006A4BDD">
        <w:t xml:space="preserve"> (the organisation will not be expected to provide cover for planned absence), and that the caseworker </w:t>
      </w:r>
      <w:r w:rsidR="006A4BDD" w:rsidRPr="006A4BDD">
        <w:t>record</w:t>
      </w:r>
      <w:r w:rsidR="006A4BDD">
        <w:t>s</w:t>
      </w:r>
      <w:r w:rsidR="006A4BDD" w:rsidRPr="006A4BDD">
        <w:t xml:space="preserve"> their working time through the Council’s flexi system.</w:t>
      </w:r>
    </w:p>
    <w:p w:rsidR="00566D39" w:rsidRDefault="00566D39" w:rsidP="006A4BDD">
      <w:pPr>
        <w:pStyle w:val="ListParagraph"/>
        <w:numPr>
          <w:ilvl w:val="0"/>
          <w:numId w:val="2"/>
        </w:numPr>
      </w:pPr>
      <w:r>
        <w:lastRenderedPageBreak/>
        <w:t>The organisation will need to be able to provide 1 caseworker for 37 hours per week, working Monday to Friday, between 9am and 5pm.</w:t>
      </w:r>
    </w:p>
    <w:p w:rsidR="00B86593" w:rsidRDefault="00B86593" w:rsidP="006A4BDD">
      <w:pPr>
        <w:pStyle w:val="ListParagraph"/>
        <w:numPr>
          <w:ilvl w:val="0"/>
          <w:numId w:val="2"/>
        </w:numPr>
      </w:pPr>
      <w:r>
        <w:t xml:space="preserve">Unplanned absence </w:t>
      </w:r>
      <w:r w:rsidR="00FC09E4">
        <w:t xml:space="preserve">from work exceeding 1 week must be immediately back filled by the bidder and tender submissions must detail how the organisation will be able to provide such backup. </w:t>
      </w:r>
    </w:p>
    <w:p w:rsidR="00745FAF" w:rsidRDefault="00745FAF" w:rsidP="00745FAF">
      <w:pPr>
        <w:pStyle w:val="ListParagraph"/>
      </w:pPr>
    </w:p>
    <w:p w:rsidR="008B1AB5" w:rsidRPr="00540D85" w:rsidRDefault="00221323" w:rsidP="008B1AB5">
      <w:r>
        <w:rPr>
          <w:b/>
          <w:u w:val="single"/>
        </w:rPr>
        <w:t xml:space="preserve">1.7 </w:t>
      </w:r>
      <w:r w:rsidR="008B1AB5">
        <w:rPr>
          <w:b/>
          <w:u w:val="single"/>
        </w:rPr>
        <w:t>Outcomes to be achieved through this partnership working</w:t>
      </w:r>
      <w:r w:rsidR="003F5A02">
        <w:rPr>
          <w:b/>
          <w:u w:val="single"/>
        </w:rPr>
        <w:t xml:space="preserve"> and adding value</w:t>
      </w:r>
    </w:p>
    <w:p w:rsidR="008B1AB5" w:rsidRDefault="008B1AB5" w:rsidP="008B1AB5">
      <w:pPr>
        <w:pStyle w:val="ListParagraph"/>
        <w:numPr>
          <w:ilvl w:val="0"/>
          <w:numId w:val="6"/>
        </w:numPr>
      </w:pPr>
      <w:r>
        <w:t>Council customers being given the tools and knowledge to make better decisio</w:t>
      </w:r>
      <w:r w:rsidR="00D2435F">
        <w:t>ns about their money management, including:</w:t>
      </w:r>
    </w:p>
    <w:p w:rsidR="00D2435F" w:rsidRDefault="00D2435F" w:rsidP="00D2435F">
      <w:pPr>
        <w:pStyle w:val="ListParagraph"/>
        <w:numPr>
          <w:ilvl w:val="0"/>
          <w:numId w:val="8"/>
        </w:numPr>
      </w:pPr>
      <w:r>
        <w:t>Understanding what are priority and non-priority debts;</w:t>
      </w:r>
    </w:p>
    <w:p w:rsidR="00D2435F" w:rsidRDefault="00D2435F" w:rsidP="00D2435F">
      <w:pPr>
        <w:pStyle w:val="ListParagraph"/>
        <w:numPr>
          <w:ilvl w:val="0"/>
          <w:numId w:val="8"/>
        </w:numPr>
      </w:pPr>
      <w:r>
        <w:t>Understanding the financial impact of having non-dependents in their household;</w:t>
      </w:r>
    </w:p>
    <w:p w:rsidR="00D2435F" w:rsidRDefault="00D2435F" w:rsidP="00D2435F">
      <w:pPr>
        <w:pStyle w:val="ListParagraph"/>
        <w:numPr>
          <w:ilvl w:val="0"/>
          <w:numId w:val="8"/>
        </w:numPr>
      </w:pPr>
      <w:r>
        <w:t>How to maximise their income;</w:t>
      </w:r>
    </w:p>
    <w:p w:rsidR="00D2435F" w:rsidRDefault="00D2435F" w:rsidP="00D2435F">
      <w:pPr>
        <w:pStyle w:val="ListParagraph"/>
        <w:numPr>
          <w:ilvl w:val="0"/>
          <w:numId w:val="8"/>
        </w:numPr>
      </w:pPr>
      <w:r>
        <w:t>Realistic expenditure levels;</w:t>
      </w:r>
    </w:p>
    <w:p w:rsidR="00D2435F" w:rsidRDefault="00D2435F" w:rsidP="00D2435F">
      <w:pPr>
        <w:pStyle w:val="ListParagraph"/>
        <w:numPr>
          <w:ilvl w:val="0"/>
          <w:numId w:val="8"/>
        </w:numPr>
      </w:pPr>
      <w:r>
        <w:t>Understanding alternatives to pay day lenders</w:t>
      </w:r>
    </w:p>
    <w:p w:rsidR="008B1AB5" w:rsidRDefault="008B1AB5" w:rsidP="008B1AB5">
      <w:pPr>
        <w:pStyle w:val="ListParagraph"/>
        <w:numPr>
          <w:ilvl w:val="0"/>
          <w:numId w:val="6"/>
        </w:numPr>
      </w:pPr>
      <w:r>
        <w:t>Customer behavioural change, so that once assisted, they don’t fall back into the pattern of being in arrears.</w:t>
      </w:r>
      <w:r w:rsidR="00FA223E">
        <w:t xml:space="preserve"> (Annexe 2 specifies outcomes report required).</w:t>
      </w:r>
    </w:p>
    <w:p w:rsidR="004C78BE" w:rsidRDefault="00566D39" w:rsidP="008B1AB5">
      <w:pPr>
        <w:pStyle w:val="ListParagraph"/>
        <w:numPr>
          <w:ilvl w:val="0"/>
          <w:numId w:val="6"/>
        </w:numPr>
      </w:pPr>
      <w:r>
        <w:t>Robust analysis of findings to inform future working.</w:t>
      </w:r>
    </w:p>
    <w:p w:rsidR="003F5A02" w:rsidRDefault="003F5A02" w:rsidP="003F5A02">
      <w:r w:rsidRPr="003F5A02">
        <w:t>The bidder should demonstrate how they can add value to the contract, and their ideas of how customers can be assisted by their caseworker.</w:t>
      </w:r>
    </w:p>
    <w:p w:rsidR="00655369" w:rsidRDefault="00655369" w:rsidP="00814B5A">
      <w:pPr>
        <w:rPr>
          <w:b/>
          <w:u w:val="single"/>
        </w:rPr>
      </w:pPr>
    </w:p>
    <w:p w:rsidR="00745FAF" w:rsidRDefault="00221323" w:rsidP="00814B5A">
      <w:pPr>
        <w:rPr>
          <w:b/>
          <w:u w:val="single"/>
        </w:rPr>
      </w:pPr>
      <w:r>
        <w:rPr>
          <w:b/>
          <w:u w:val="single"/>
        </w:rPr>
        <w:t xml:space="preserve">1.8 </w:t>
      </w:r>
      <w:r w:rsidR="00745FAF">
        <w:rPr>
          <w:b/>
          <w:u w:val="single"/>
        </w:rPr>
        <w:t>Funding</w:t>
      </w:r>
      <w:r w:rsidR="007C64B0">
        <w:rPr>
          <w:b/>
          <w:u w:val="single"/>
        </w:rPr>
        <w:t xml:space="preserve"> and Payment</w:t>
      </w:r>
    </w:p>
    <w:p w:rsidR="00745FAF" w:rsidRDefault="00745FAF" w:rsidP="00814B5A">
      <w:r>
        <w:t>Once agree</w:t>
      </w:r>
      <w:r w:rsidR="007C64B0">
        <w:t>d, will be paid on the Council’s normal 30 day terms following receipt of a valid invoice.</w:t>
      </w:r>
    </w:p>
    <w:p w:rsidR="00814B5A" w:rsidRDefault="00814B5A" w:rsidP="00814B5A">
      <w:r>
        <w:t>The Contract will be awarded in strict accordance with the Council’s Terms and Conditions of Contract (a copy is enclosed).</w:t>
      </w:r>
    </w:p>
    <w:p w:rsidR="00814B5A" w:rsidRDefault="00814B5A" w:rsidP="00814B5A">
      <w:r>
        <w:t xml:space="preserve">Any points for clarification associated with this Specification should be addressed to Laura Fricker, System Lead Finance, Customer Access via email: </w:t>
      </w:r>
      <w:hyperlink r:id="rId8" w:history="1">
        <w:r w:rsidRPr="001A5EAD">
          <w:rPr>
            <w:rStyle w:val="Hyperlink"/>
          </w:rPr>
          <w:t>laura.fricker@exeter.gov.uk</w:t>
        </w:r>
      </w:hyperlink>
    </w:p>
    <w:p w:rsidR="00814B5A" w:rsidRDefault="00814B5A" w:rsidP="00814B5A">
      <w:pPr>
        <w:rPr>
          <w:i/>
        </w:rPr>
      </w:pPr>
      <w:r>
        <w:t>Tender submission should be forwarded to</w:t>
      </w:r>
      <w:r w:rsidR="007C64B0">
        <w:t xml:space="preserve"> </w:t>
      </w:r>
      <w:hyperlink r:id="rId9" w:history="1">
        <w:r w:rsidR="007C64B0" w:rsidRPr="009357B4">
          <w:rPr>
            <w:rStyle w:val="Hyperlink"/>
          </w:rPr>
          <w:t>eccprocurement@exeter.gov.uk</w:t>
        </w:r>
      </w:hyperlink>
      <w:r w:rsidR="007C64B0">
        <w:t xml:space="preserve"> by no l</w:t>
      </w:r>
      <w:r>
        <w:t xml:space="preserve">ater than </w:t>
      </w:r>
      <w:r w:rsidR="00CC215E">
        <w:rPr>
          <w:b/>
        </w:rPr>
        <w:t>noon on 7</w:t>
      </w:r>
      <w:r w:rsidR="00CC215E" w:rsidRPr="00CC215E">
        <w:rPr>
          <w:b/>
          <w:vertAlign w:val="superscript"/>
        </w:rPr>
        <w:t>th</w:t>
      </w:r>
      <w:r w:rsidR="00CC215E">
        <w:rPr>
          <w:b/>
        </w:rPr>
        <w:t xml:space="preserve"> April, 2</w:t>
      </w:r>
      <w:bookmarkStart w:id="0" w:name="_GoBack"/>
      <w:bookmarkEnd w:id="0"/>
      <w:r>
        <w:rPr>
          <w:b/>
        </w:rPr>
        <w:t xml:space="preserve">017. </w:t>
      </w:r>
      <w:r>
        <w:rPr>
          <w:i/>
        </w:rPr>
        <w:t>Please note that late submissions cannot be accepted.</w:t>
      </w:r>
    </w:p>
    <w:p w:rsidR="00127A67" w:rsidRDefault="00127A67">
      <w:pPr>
        <w:spacing w:after="0" w:line="240" w:lineRule="auto"/>
        <w:rPr>
          <w:b/>
          <w:sz w:val="28"/>
          <w:szCs w:val="28"/>
        </w:rPr>
      </w:pPr>
      <w:r>
        <w:rPr>
          <w:b/>
          <w:sz w:val="28"/>
          <w:szCs w:val="28"/>
        </w:rPr>
        <w:br w:type="page"/>
      </w:r>
    </w:p>
    <w:p w:rsidR="00701898" w:rsidRDefault="00701898" w:rsidP="00814B5A">
      <w:pPr>
        <w:rPr>
          <w:b/>
          <w:sz w:val="28"/>
          <w:szCs w:val="28"/>
        </w:rPr>
      </w:pPr>
      <w:r>
        <w:rPr>
          <w:b/>
          <w:sz w:val="28"/>
          <w:szCs w:val="28"/>
        </w:rPr>
        <w:lastRenderedPageBreak/>
        <w:t>Annexe 1 – Reporting Specification 1 (C</w:t>
      </w:r>
      <w:r w:rsidR="00BD1056">
        <w:rPr>
          <w:b/>
          <w:sz w:val="28"/>
          <w:szCs w:val="28"/>
        </w:rPr>
        <w:t>oaching Provided</w:t>
      </w:r>
      <w:r>
        <w:rPr>
          <w:b/>
          <w:sz w:val="28"/>
          <w:szCs w:val="28"/>
        </w:rPr>
        <w:t>)</w:t>
      </w:r>
    </w:p>
    <w:p w:rsidR="00BD1056" w:rsidRDefault="00BD1056" w:rsidP="00814B5A">
      <w:pPr>
        <w:rPr>
          <w:b/>
          <w:sz w:val="28"/>
          <w:szCs w:val="28"/>
        </w:rPr>
      </w:pPr>
    </w:p>
    <w:tbl>
      <w:tblPr>
        <w:tblStyle w:val="TableGrid"/>
        <w:tblW w:w="0" w:type="auto"/>
        <w:tblLook w:val="04A0" w:firstRow="1" w:lastRow="0" w:firstColumn="1" w:lastColumn="0" w:noHBand="0" w:noVBand="1"/>
      </w:tblPr>
      <w:tblGrid>
        <w:gridCol w:w="2765"/>
        <w:gridCol w:w="2765"/>
        <w:gridCol w:w="2766"/>
      </w:tblGrid>
      <w:tr w:rsidR="005E48D5" w:rsidTr="005E48D5">
        <w:tc>
          <w:tcPr>
            <w:tcW w:w="2765" w:type="dxa"/>
          </w:tcPr>
          <w:p w:rsidR="005E48D5" w:rsidRDefault="005E48D5" w:rsidP="005E48D5">
            <w:pPr>
              <w:jc w:val="center"/>
              <w:rPr>
                <w:sz w:val="24"/>
                <w:szCs w:val="24"/>
              </w:rPr>
            </w:pPr>
            <w:r>
              <w:rPr>
                <w:sz w:val="24"/>
                <w:szCs w:val="24"/>
              </w:rPr>
              <w:t>Staff name</w:t>
            </w:r>
          </w:p>
        </w:tc>
        <w:tc>
          <w:tcPr>
            <w:tcW w:w="2765" w:type="dxa"/>
          </w:tcPr>
          <w:p w:rsidR="005E48D5" w:rsidRDefault="005E48D5" w:rsidP="005E48D5">
            <w:pPr>
              <w:jc w:val="center"/>
              <w:rPr>
                <w:sz w:val="24"/>
                <w:szCs w:val="24"/>
              </w:rPr>
            </w:pPr>
            <w:r>
              <w:rPr>
                <w:sz w:val="24"/>
                <w:szCs w:val="24"/>
              </w:rPr>
              <w:t>Details of coaching</w:t>
            </w:r>
          </w:p>
        </w:tc>
        <w:tc>
          <w:tcPr>
            <w:tcW w:w="2766" w:type="dxa"/>
          </w:tcPr>
          <w:p w:rsidR="005E48D5" w:rsidRDefault="005E48D5" w:rsidP="005E48D5">
            <w:pPr>
              <w:jc w:val="center"/>
              <w:rPr>
                <w:sz w:val="24"/>
                <w:szCs w:val="24"/>
              </w:rPr>
            </w:pPr>
            <w:r>
              <w:rPr>
                <w:sz w:val="24"/>
                <w:szCs w:val="24"/>
              </w:rPr>
              <w:t>Date provided</w:t>
            </w:r>
          </w:p>
        </w:tc>
      </w:tr>
      <w:tr w:rsidR="005E48D5" w:rsidTr="005E48D5">
        <w:tc>
          <w:tcPr>
            <w:tcW w:w="2765" w:type="dxa"/>
          </w:tcPr>
          <w:p w:rsidR="005E48D5" w:rsidRDefault="005E48D5" w:rsidP="00814B5A">
            <w:pPr>
              <w:rPr>
                <w:sz w:val="24"/>
                <w:szCs w:val="24"/>
              </w:rPr>
            </w:pPr>
          </w:p>
        </w:tc>
        <w:tc>
          <w:tcPr>
            <w:tcW w:w="2765" w:type="dxa"/>
          </w:tcPr>
          <w:p w:rsidR="005E48D5" w:rsidRDefault="005E48D5" w:rsidP="00814B5A">
            <w:pPr>
              <w:rPr>
                <w:sz w:val="24"/>
                <w:szCs w:val="24"/>
              </w:rPr>
            </w:pPr>
          </w:p>
        </w:tc>
        <w:tc>
          <w:tcPr>
            <w:tcW w:w="2766" w:type="dxa"/>
          </w:tcPr>
          <w:p w:rsidR="005E48D5" w:rsidRDefault="005E48D5" w:rsidP="00814B5A">
            <w:pPr>
              <w:rPr>
                <w:sz w:val="24"/>
                <w:szCs w:val="24"/>
              </w:rPr>
            </w:pPr>
          </w:p>
        </w:tc>
      </w:tr>
    </w:tbl>
    <w:p w:rsidR="006A6FD0" w:rsidRPr="006A6FD0" w:rsidRDefault="006A6FD0" w:rsidP="00814B5A">
      <w:pPr>
        <w:rPr>
          <w:sz w:val="24"/>
          <w:szCs w:val="24"/>
        </w:rPr>
      </w:pPr>
    </w:p>
    <w:p w:rsidR="00BD1056" w:rsidRDefault="00BD1056" w:rsidP="00814B5A">
      <w:pPr>
        <w:rPr>
          <w:b/>
          <w:sz w:val="28"/>
          <w:szCs w:val="28"/>
        </w:rPr>
      </w:pPr>
    </w:p>
    <w:p w:rsidR="00BD1056" w:rsidRDefault="00BD1056" w:rsidP="00814B5A">
      <w:pPr>
        <w:rPr>
          <w:b/>
          <w:sz w:val="28"/>
          <w:szCs w:val="28"/>
        </w:rPr>
      </w:pPr>
    </w:p>
    <w:p w:rsidR="00BD1056" w:rsidRDefault="00BD1056" w:rsidP="00814B5A">
      <w:pPr>
        <w:rPr>
          <w:b/>
          <w:sz w:val="28"/>
          <w:szCs w:val="28"/>
        </w:rPr>
      </w:pPr>
      <w:r>
        <w:rPr>
          <w:b/>
          <w:sz w:val="28"/>
          <w:szCs w:val="28"/>
        </w:rPr>
        <w:t>Annexe 2 – Reporting Specification 2 (Case Reporting – Outcomes)</w:t>
      </w:r>
    </w:p>
    <w:p w:rsidR="00B246CC" w:rsidRDefault="00B246CC" w:rsidP="00814B5A">
      <w:pPr>
        <w:rPr>
          <w:b/>
          <w:sz w:val="28"/>
          <w:szCs w:val="28"/>
        </w:rPr>
      </w:pPr>
    </w:p>
    <w:tbl>
      <w:tblPr>
        <w:tblStyle w:val="TableGrid"/>
        <w:tblW w:w="10632" w:type="dxa"/>
        <w:tblInd w:w="-1170" w:type="dxa"/>
        <w:tblLook w:val="04A0" w:firstRow="1" w:lastRow="0" w:firstColumn="1" w:lastColumn="0" w:noHBand="0" w:noVBand="1"/>
      </w:tblPr>
      <w:tblGrid>
        <w:gridCol w:w="750"/>
        <w:gridCol w:w="951"/>
        <w:gridCol w:w="1176"/>
        <w:gridCol w:w="862"/>
        <w:gridCol w:w="1077"/>
        <w:gridCol w:w="862"/>
        <w:gridCol w:w="1046"/>
        <w:gridCol w:w="921"/>
        <w:gridCol w:w="1046"/>
        <w:gridCol w:w="862"/>
        <w:gridCol w:w="1079"/>
      </w:tblGrid>
      <w:tr w:rsidR="00B246CC" w:rsidTr="00B246CC">
        <w:tc>
          <w:tcPr>
            <w:tcW w:w="750" w:type="dxa"/>
          </w:tcPr>
          <w:p w:rsidR="00B246CC" w:rsidRDefault="00B246CC" w:rsidP="00814B5A"/>
        </w:tc>
        <w:tc>
          <w:tcPr>
            <w:tcW w:w="951" w:type="dxa"/>
          </w:tcPr>
          <w:p w:rsidR="00B246CC" w:rsidRDefault="00B246CC" w:rsidP="00814B5A"/>
        </w:tc>
        <w:tc>
          <w:tcPr>
            <w:tcW w:w="1176" w:type="dxa"/>
          </w:tcPr>
          <w:p w:rsidR="00B246CC" w:rsidRDefault="00B246CC" w:rsidP="00814B5A"/>
        </w:tc>
        <w:tc>
          <w:tcPr>
            <w:tcW w:w="1939" w:type="dxa"/>
            <w:gridSpan w:val="2"/>
          </w:tcPr>
          <w:p w:rsidR="00B246CC" w:rsidRDefault="00B246CC" w:rsidP="00B246CC">
            <w:pPr>
              <w:jc w:val="center"/>
            </w:pPr>
            <w:r>
              <w:t>Q1</w:t>
            </w:r>
          </w:p>
        </w:tc>
        <w:tc>
          <w:tcPr>
            <w:tcW w:w="1908" w:type="dxa"/>
            <w:gridSpan w:val="2"/>
          </w:tcPr>
          <w:p w:rsidR="00B246CC" w:rsidRDefault="00B246CC" w:rsidP="00B246CC">
            <w:pPr>
              <w:jc w:val="center"/>
            </w:pPr>
            <w:r>
              <w:t>Q2</w:t>
            </w:r>
          </w:p>
        </w:tc>
        <w:tc>
          <w:tcPr>
            <w:tcW w:w="1967" w:type="dxa"/>
            <w:gridSpan w:val="2"/>
          </w:tcPr>
          <w:p w:rsidR="00B246CC" w:rsidRDefault="00B246CC" w:rsidP="00B246CC">
            <w:pPr>
              <w:jc w:val="center"/>
            </w:pPr>
            <w:r>
              <w:t>Q3</w:t>
            </w:r>
          </w:p>
        </w:tc>
        <w:tc>
          <w:tcPr>
            <w:tcW w:w="1941" w:type="dxa"/>
            <w:gridSpan w:val="2"/>
          </w:tcPr>
          <w:p w:rsidR="00B246CC" w:rsidRDefault="00B246CC" w:rsidP="00B246CC">
            <w:pPr>
              <w:jc w:val="center"/>
            </w:pPr>
            <w:r>
              <w:t>Q4</w:t>
            </w:r>
          </w:p>
        </w:tc>
      </w:tr>
      <w:tr w:rsidR="005E48D5" w:rsidTr="00B246CC">
        <w:tc>
          <w:tcPr>
            <w:tcW w:w="750" w:type="dxa"/>
          </w:tcPr>
          <w:p w:rsidR="005E48D5" w:rsidRDefault="005E48D5" w:rsidP="00B246CC">
            <w:pPr>
              <w:jc w:val="center"/>
            </w:pPr>
            <w:r>
              <w:t>Name</w:t>
            </w:r>
          </w:p>
        </w:tc>
        <w:tc>
          <w:tcPr>
            <w:tcW w:w="951" w:type="dxa"/>
          </w:tcPr>
          <w:p w:rsidR="005E48D5" w:rsidRDefault="005E48D5" w:rsidP="00B246CC">
            <w:pPr>
              <w:jc w:val="center"/>
            </w:pPr>
            <w:r>
              <w:t>Address</w:t>
            </w:r>
          </w:p>
        </w:tc>
        <w:tc>
          <w:tcPr>
            <w:tcW w:w="1176" w:type="dxa"/>
          </w:tcPr>
          <w:p w:rsidR="005E48D5" w:rsidRDefault="005E48D5" w:rsidP="00B246CC">
            <w:pPr>
              <w:jc w:val="center"/>
            </w:pPr>
            <w:r>
              <w:t>Date assistance completed</w:t>
            </w:r>
          </w:p>
        </w:tc>
        <w:tc>
          <w:tcPr>
            <w:tcW w:w="862" w:type="dxa"/>
          </w:tcPr>
          <w:p w:rsidR="005E48D5" w:rsidRDefault="005E48D5" w:rsidP="00B246CC">
            <w:pPr>
              <w:jc w:val="center"/>
            </w:pPr>
            <w:r>
              <w:t>Review date</w:t>
            </w:r>
          </w:p>
        </w:tc>
        <w:tc>
          <w:tcPr>
            <w:tcW w:w="1077" w:type="dxa"/>
          </w:tcPr>
          <w:p w:rsidR="005E48D5" w:rsidRDefault="005E48D5" w:rsidP="00B246CC">
            <w:pPr>
              <w:jc w:val="center"/>
            </w:pPr>
            <w:r>
              <w:t>Outcome</w:t>
            </w:r>
          </w:p>
        </w:tc>
        <w:tc>
          <w:tcPr>
            <w:tcW w:w="862" w:type="dxa"/>
          </w:tcPr>
          <w:p w:rsidR="005E48D5" w:rsidRDefault="005E48D5" w:rsidP="00B246CC">
            <w:pPr>
              <w:jc w:val="center"/>
            </w:pPr>
            <w:r>
              <w:t>Review date</w:t>
            </w:r>
          </w:p>
        </w:tc>
        <w:tc>
          <w:tcPr>
            <w:tcW w:w="1046" w:type="dxa"/>
          </w:tcPr>
          <w:p w:rsidR="005E48D5" w:rsidRDefault="005E48D5" w:rsidP="00B246CC">
            <w:pPr>
              <w:jc w:val="center"/>
            </w:pPr>
            <w:r>
              <w:t>Outcome</w:t>
            </w:r>
          </w:p>
        </w:tc>
        <w:tc>
          <w:tcPr>
            <w:tcW w:w="921" w:type="dxa"/>
          </w:tcPr>
          <w:p w:rsidR="005E48D5" w:rsidRDefault="005E48D5" w:rsidP="00B246CC">
            <w:pPr>
              <w:jc w:val="center"/>
            </w:pPr>
            <w:r>
              <w:t>Review date</w:t>
            </w:r>
          </w:p>
        </w:tc>
        <w:tc>
          <w:tcPr>
            <w:tcW w:w="1046" w:type="dxa"/>
          </w:tcPr>
          <w:p w:rsidR="005E48D5" w:rsidRDefault="005E48D5" w:rsidP="00B246CC">
            <w:pPr>
              <w:jc w:val="center"/>
            </w:pPr>
            <w:r>
              <w:t>Outcome</w:t>
            </w:r>
          </w:p>
        </w:tc>
        <w:tc>
          <w:tcPr>
            <w:tcW w:w="862" w:type="dxa"/>
          </w:tcPr>
          <w:p w:rsidR="005E48D5" w:rsidRDefault="00B246CC" w:rsidP="00B246CC">
            <w:pPr>
              <w:jc w:val="center"/>
            </w:pPr>
            <w:r w:rsidRPr="00B246CC">
              <w:t>Review date</w:t>
            </w:r>
          </w:p>
        </w:tc>
        <w:tc>
          <w:tcPr>
            <w:tcW w:w="1079" w:type="dxa"/>
          </w:tcPr>
          <w:p w:rsidR="005E48D5" w:rsidRDefault="00B246CC" w:rsidP="00B246CC">
            <w:pPr>
              <w:jc w:val="center"/>
            </w:pPr>
            <w:r>
              <w:t>Outcome</w:t>
            </w:r>
          </w:p>
        </w:tc>
      </w:tr>
      <w:tr w:rsidR="005E48D5" w:rsidTr="00B246CC">
        <w:tc>
          <w:tcPr>
            <w:tcW w:w="750" w:type="dxa"/>
          </w:tcPr>
          <w:p w:rsidR="005E48D5" w:rsidRDefault="005E48D5" w:rsidP="00814B5A"/>
        </w:tc>
        <w:tc>
          <w:tcPr>
            <w:tcW w:w="951" w:type="dxa"/>
          </w:tcPr>
          <w:p w:rsidR="005E48D5" w:rsidRDefault="005E48D5" w:rsidP="00814B5A"/>
        </w:tc>
        <w:tc>
          <w:tcPr>
            <w:tcW w:w="1176" w:type="dxa"/>
          </w:tcPr>
          <w:p w:rsidR="005E48D5" w:rsidRDefault="005E48D5" w:rsidP="00814B5A"/>
        </w:tc>
        <w:tc>
          <w:tcPr>
            <w:tcW w:w="862" w:type="dxa"/>
          </w:tcPr>
          <w:p w:rsidR="005E48D5" w:rsidRDefault="005E48D5" w:rsidP="00814B5A"/>
        </w:tc>
        <w:tc>
          <w:tcPr>
            <w:tcW w:w="1077" w:type="dxa"/>
          </w:tcPr>
          <w:p w:rsidR="005E48D5" w:rsidRDefault="005E48D5" w:rsidP="00814B5A"/>
        </w:tc>
        <w:tc>
          <w:tcPr>
            <w:tcW w:w="862" w:type="dxa"/>
          </w:tcPr>
          <w:p w:rsidR="005E48D5" w:rsidRDefault="005E48D5" w:rsidP="00814B5A"/>
        </w:tc>
        <w:tc>
          <w:tcPr>
            <w:tcW w:w="1046" w:type="dxa"/>
          </w:tcPr>
          <w:p w:rsidR="005E48D5" w:rsidRDefault="005E48D5" w:rsidP="00814B5A"/>
        </w:tc>
        <w:tc>
          <w:tcPr>
            <w:tcW w:w="921" w:type="dxa"/>
          </w:tcPr>
          <w:p w:rsidR="005E48D5" w:rsidRDefault="005E48D5" w:rsidP="00814B5A"/>
        </w:tc>
        <w:tc>
          <w:tcPr>
            <w:tcW w:w="1046" w:type="dxa"/>
          </w:tcPr>
          <w:p w:rsidR="005E48D5" w:rsidRDefault="005E48D5" w:rsidP="00814B5A"/>
        </w:tc>
        <w:tc>
          <w:tcPr>
            <w:tcW w:w="862" w:type="dxa"/>
          </w:tcPr>
          <w:p w:rsidR="005E48D5" w:rsidRDefault="005E48D5" w:rsidP="00814B5A"/>
        </w:tc>
        <w:tc>
          <w:tcPr>
            <w:tcW w:w="1079" w:type="dxa"/>
          </w:tcPr>
          <w:p w:rsidR="005E48D5" w:rsidRDefault="005E48D5" w:rsidP="00814B5A"/>
        </w:tc>
      </w:tr>
    </w:tbl>
    <w:p w:rsidR="00701898" w:rsidRPr="005E48D5" w:rsidRDefault="00701898" w:rsidP="00814B5A"/>
    <w:sectPr w:rsidR="00701898" w:rsidRPr="005E48D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323" w:rsidRDefault="00221323" w:rsidP="00221323">
      <w:pPr>
        <w:spacing w:after="0" w:line="240" w:lineRule="auto"/>
      </w:pPr>
      <w:r>
        <w:separator/>
      </w:r>
    </w:p>
  </w:endnote>
  <w:endnote w:type="continuationSeparator" w:id="0">
    <w:p w:rsidR="00221323" w:rsidRDefault="00221323" w:rsidP="0022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123913"/>
      <w:docPartObj>
        <w:docPartGallery w:val="Page Numbers (Bottom of Page)"/>
        <w:docPartUnique/>
      </w:docPartObj>
    </w:sdtPr>
    <w:sdtEndPr>
      <w:rPr>
        <w:color w:val="7F7F7F" w:themeColor="background1" w:themeShade="7F"/>
        <w:spacing w:val="60"/>
      </w:rPr>
    </w:sdtEndPr>
    <w:sdtContent>
      <w:p w:rsidR="00221323" w:rsidRDefault="002213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CC215E">
          <w:rPr>
            <w:noProof/>
          </w:rPr>
          <w:t>1</w:t>
        </w:r>
        <w:r>
          <w:rPr>
            <w:noProof/>
          </w:rPr>
          <w:fldChar w:fldCharType="end"/>
        </w:r>
        <w:r>
          <w:t xml:space="preserve"> | </w:t>
        </w:r>
        <w:r>
          <w:rPr>
            <w:color w:val="7F7F7F" w:themeColor="background1" w:themeShade="7F"/>
            <w:spacing w:val="60"/>
          </w:rPr>
          <w:t>Page</w:t>
        </w:r>
      </w:p>
    </w:sdtContent>
  </w:sdt>
  <w:p w:rsidR="00221323" w:rsidRDefault="00221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323" w:rsidRDefault="00221323" w:rsidP="00221323">
      <w:pPr>
        <w:spacing w:after="0" w:line="240" w:lineRule="auto"/>
      </w:pPr>
      <w:r>
        <w:separator/>
      </w:r>
    </w:p>
  </w:footnote>
  <w:footnote w:type="continuationSeparator" w:id="0">
    <w:p w:rsidR="00221323" w:rsidRDefault="00221323" w:rsidP="002213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1D6B"/>
    <w:multiLevelType w:val="hybridMultilevel"/>
    <w:tmpl w:val="73CE3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DB623F"/>
    <w:multiLevelType w:val="hybridMultilevel"/>
    <w:tmpl w:val="D7F69EE4"/>
    <w:lvl w:ilvl="0" w:tplc="7CF413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1EE3BE8"/>
    <w:multiLevelType w:val="hybridMultilevel"/>
    <w:tmpl w:val="C1C64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9693A"/>
    <w:multiLevelType w:val="hybridMultilevel"/>
    <w:tmpl w:val="DAC43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5C764E"/>
    <w:multiLevelType w:val="hybridMultilevel"/>
    <w:tmpl w:val="73CE3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5F6723"/>
    <w:multiLevelType w:val="hybridMultilevel"/>
    <w:tmpl w:val="EF9E3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71122C"/>
    <w:multiLevelType w:val="multilevel"/>
    <w:tmpl w:val="9212655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3E4D63"/>
    <w:multiLevelType w:val="hybridMultilevel"/>
    <w:tmpl w:val="2EC6C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2C0"/>
    <w:rsid w:val="00000F61"/>
    <w:rsid w:val="00051176"/>
    <w:rsid w:val="00093B2E"/>
    <w:rsid w:val="0009557D"/>
    <w:rsid w:val="000A532A"/>
    <w:rsid w:val="000D2280"/>
    <w:rsid w:val="000F4703"/>
    <w:rsid w:val="0011701C"/>
    <w:rsid w:val="00127A67"/>
    <w:rsid w:val="00133E45"/>
    <w:rsid w:val="001C59CC"/>
    <w:rsid w:val="001E5F6F"/>
    <w:rsid w:val="0020799E"/>
    <w:rsid w:val="00221323"/>
    <w:rsid w:val="00226BBF"/>
    <w:rsid w:val="0025218A"/>
    <w:rsid w:val="00271CC6"/>
    <w:rsid w:val="00287AD4"/>
    <w:rsid w:val="002913A6"/>
    <w:rsid w:val="00313822"/>
    <w:rsid w:val="00340F0C"/>
    <w:rsid w:val="00347998"/>
    <w:rsid w:val="00374FA6"/>
    <w:rsid w:val="0038202F"/>
    <w:rsid w:val="0038335A"/>
    <w:rsid w:val="003D252C"/>
    <w:rsid w:val="003F5A02"/>
    <w:rsid w:val="0042477D"/>
    <w:rsid w:val="00426B0D"/>
    <w:rsid w:val="00485711"/>
    <w:rsid w:val="004A3D96"/>
    <w:rsid w:val="004C78BE"/>
    <w:rsid w:val="00501BE9"/>
    <w:rsid w:val="00506F5F"/>
    <w:rsid w:val="00540D85"/>
    <w:rsid w:val="00566D39"/>
    <w:rsid w:val="005E1876"/>
    <w:rsid w:val="005E48D5"/>
    <w:rsid w:val="006301A0"/>
    <w:rsid w:val="00630C26"/>
    <w:rsid w:val="00640810"/>
    <w:rsid w:val="006451D6"/>
    <w:rsid w:val="00655369"/>
    <w:rsid w:val="0068468C"/>
    <w:rsid w:val="006859F7"/>
    <w:rsid w:val="006A4BDD"/>
    <w:rsid w:val="006A6FD0"/>
    <w:rsid w:val="00701898"/>
    <w:rsid w:val="00722D75"/>
    <w:rsid w:val="00745FAF"/>
    <w:rsid w:val="00751AE8"/>
    <w:rsid w:val="007A57E1"/>
    <w:rsid w:val="007C64B0"/>
    <w:rsid w:val="00814B5A"/>
    <w:rsid w:val="008462C0"/>
    <w:rsid w:val="00846BBF"/>
    <w:rsid w:val="00861722"/>
    <w:rsid w:val="008656A8"/>
    <w:rsid w:val="00871D67"/>
    <w:rsid w:val="00887519"/>
    <w:rsid w:val="008B1AB5"/>
    <w:rsid w:val="008F0926"/>
    <w:rsid w:val="0091776C"/>
    <w:rsid w:val="00934367"/>
    <w:rsid w:val="00937E4E"/>
    <w:rsid w:val="009B7D16"/>
    <w:rsid w:val="00A20D2B"/>
    <w:rsid w:val="00AB7918"/>
    <w:rsid w:val="00AE12AD"/>
    <w:rsid w:val="00AF7FCB"/>
    <w:rsid w:val="00B07D4D"/>
    <w:rsid w:val="00B246CC"/>
    <w:rsid w:val="00B559B1"/>
    <w:rsid w:val="00B86593"/>
    <w:rsid w:val="00BD1056"/>
    <w:rsid w:val="00C00C01"/>
    <w:rsid w:val="00C05EB5"/>
    <w:rsid w:val="00C2024A"/>
    <w:rsid w:val="00C41E34"/>
    <w:rsid w:val="00CA5E25"/>
    <w:rsid w:val="00CA7243"/>
    <w:rsid w:val="00CB746A"/>
    <w:rsid w:val="00CC215E"/>
    <w:rsid w:val="00CD13FE"/>
    <w:rsid w:val="00CF6C61"/>
    <w:rsid w:val="00D13273"/>
    <w:rsid w:val="00D2435F"/>
    <w:rsid w:val="00D43AEF"/>
    <w:rsid w:val="00D85635"/>
    <w:rsid w:val="00D86520"/>
    <w:rsid w:val="00DE78BD"/>
    <w:rsid w:val="00E16A63"/>
    <w:rsid w:val="00E25A8F"/>
    <w:rsid w:val="00E31892"/>
    <w:rsid w:val="00E53A69"/>
    <w:rsid w:val="00E54E4F"/>
    <w:rsid w:val="00E94D7F"/>
    <w:rsid w:val="00E958B9"/>
    <w:rsid w:val="00F22920"/>
    <w:rsid w:val="00F51BA2"/>
    <w:rsid w:val="00F61F8E"/>
    <w:rsid w:val="00F903CA"/>
    <w:rsid w:val="00FA223E"/>
    <w:rsid w:val="00FC09E4"/>
    <w:rsid w:val="00FE5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1495AD-CE7F-4350-84AF-5D93FAD8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A02"/>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AE8"/>
    <w:pPr>
      <w:ind w:left="720"/>
      <w:contextualSpacing/>
    </w:pPr>
  </w:style>
  <w:style w:type="character" w:styleId="Hyperlink">
    <w:name w:val="Hyperlink"/>
    <w:basedOn w:val="DefaultParagraphFont"/>
    <w:rsid w:val="00814B5A"/>
    <w:rPr>
      <w:color w:val="0563C1" w:themeColor="hyperlink"/>
      <w:u w:val="single"/>
    </w:rPr>
  </w:style>
  <w:style w:type="paragraph" w:styleId="BalloonText">
    <w:name w:val="Balloon Text"/>
    <w:basedOn w:val="Normal"/>
    <w:link w:val="BalloonTextChar"/>
    <w:rsid w:val="00655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55369"/>
    <w:rPr>
      <w:rFonts w:ascii="Segoe UI" w:eastAsiaTheme="minorHAnsi" w:hAnsi="Segoe UI" w:cs="Segoe UI"/>
      <w:sz w:val="18"/>
      <w:szCs w:val="18"/>
      <w:lang w:eastAsia="en-US"/>
    </w:rPr>
  </w:style>
  <w:style w:type="table" w:styleId="TableGrid">
    <w:name w:val="Table Grid"/>
    <w:basedOn w:val="TableNormal"/>
    <w:rsid w:val="005E4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21323"/>
    <w:pPr>
      <w:tabs>
        <w:tab w:val="center" w:pos="4513"/>
        <w:tab w:val="right" w:pos="9026"/>
      </w:tabs>
      <w:spacing w:after="0" w:line="240" w:lineRule="auto"/>
    </w:pPr>
  </w:style>
  <w:style w:type="character" w:customStyle="1" w:styleId="HeaderChar">
    <w:name w:val="Header Char"/>
    <w:basedOn w:val="DefaultParagraphFont"/>
    <w:link w:val="Header"/>
    <w:rsid w:val="00221323"/>
    <w:rPr>
      <w:rFonts w:asciiTheme="minorHAnsi" w:eastAsiaTheme="minorHAnsi" w:hAnsiTheme="minorHAnsi" w:cstheme="minorBidi"/>
      <w:sz w:val="22"/>
      <w:szCs w:val="22"/>
      <w:lang w:eastAsia="en-US"/>
    </w:rPr>
  </w:style>
  <w:style w:type="paragraph" w:styleId="Footer">
    <w:name w:val="footer"/>
    <w:basedOn w:val="Normal"/>
    <w:link w:val="FooterChar"/>
    <w:uiPriority w:val="99"/>
    <w:rsid w:val="00221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32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fricker@exeter.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ccprocurement@exe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Fricker, Laura</dc:creator>
  <cp:keywords/>
  <dc:description/>
  <cp:lastModifiedBy>Scott, David</cp:lastModifiedBy>
  <cp:revision>2</cp:revision>
  <cp:lastPrinted>2017-03-14T11:50:00Z</cp:lastPrinted>
  <dcterms:created xsi:type="dcterms:W3CDTF">2017-03-23T14:28:00Z</dcterms:created>
  <dcterms:modified xsi:type="dcterms:W3CDTF">2017-03-23T14:28:00Z</dcterms:modified>
</cp:coreProperties>
</file>