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BF61D" w14:textId="25848D7D" w:rsidR="00C64FDD" w:rsidRDefault="003D5D8C" w:rsidP="003D5D8C">
      <w:pPr>
        <w:rPr>
          <w:rFonts w:cs="Arial"/>
          <w:sz w:val="72"/>
          <w:szCs w:val="72"/>
        </w:rPr>
      </w:pPr>
      <w:r>
        <w:rPr>
          <w:noProof/>
        </w:rPr>
        <w:drawing>
          <wp:inline distT="0" distB="0" distL="0" distR="0" wp14:anchorId="64680C28" wp14:editId="06A744DC">
            <wp:extent cx="3129282" cy="97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266" cy="1006958"/>
                    </a:xfrm>
                    <a:prstGeom prst="rect">
                      <a:avLst/>
                    </a:prstGeom>
                  </pic:spPr>
                </pic:pic>
              </a:graphicData>
            </a:graphic>
          </wp:inline>
        </w:drawing>
      </w:r>
    </w:p>
    <w:p w14:paraId="036F8384" w14:textId="77777777" w:rsidR="00140C88" w:rsidRDefault="00140C88">
      <w:pPr>
        <w:spacing w:after="0" w:line="240" w:lineRule="auto"/>
        <w:rPr>
          <w:rFonts w:cs="Arial"/>
          <w:sz w:val="48"/>
          <w:szCs w:val="48"/>
        </w:rPr>
      </w:pPr>
    </w:p>
    <w:p w14:paraId="0C2E9A99" w14:textId="77777777" w:rsidR="009454BF" w:rsidRPr="001A3847" w:rsidRDefault="009454BF">
      <w:pPr>
        <w:spacing w:after="0" w:line="240" w:lineRule="auto"/>
        <w:rPr>
          <w:rFonts w:cs="Arial"/>
          <w:sz w:val="48"/>
          <w:szCs w:val="48"/>
        </w:rPr>
      </w:pPr>
    </w:p>
    <w:p w14:paraId="72ED9634" w14:textId="18F33B30" w:rsidR="00C64FDD" w:rsidRDefault="0000503E" w:rsidP="00A30688">
      <w:pPr>
        <w:spacing w:after="0" w:line="240" w:lineRule="auto"/>
        <w:jc w:val="center"/>
        <w:rPr>
          <w:rFonts w:cs="Arial"/>
          <w:sz w:val="48"/>
          <w:szCs w:val="48"/>
        </w:rPr>
      </w:pPr>
      <w:r w:rsidRPr="001A3847">
        <w:rPr>
          <w:rFonts w:cs="Arial"/>
          <w:sz w:val="48"/>
          <w:szCs w:val="48"/>
        </w:rPr>
        <w:t>Volume One (1)</w:t>
      </w:r>
    </w:p>
    <w:p w14:paraId="1FA832B1" w14:textId="77777777" w:rsidR="001A3847" w:rsidRDefault="001A3847" w:rsidP="00A30688">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0E788C" w:rsidRPr="00BB442C" w14:paraId="4B45A3E4" w14:textId="77777777" w:rsidTr="003D5D8C">
        <w:trPr>
          <w:trHeight w:hRule="exact" w:val="1643"/>
        </w:trPr>
        <w:tc>
          <w:tcPr>
            <w:tcW w:w="9748" w:type="dxa"/>
            <w:shd w:val="clear" w:color="auto" w:fill="C00000"/>
            <w:vAlign w:val="center"/>
          </w:tcPr>
          <w:p w14:paraId="66DA3951" w14:textId="77777777" w:rsidR="007A650A" w:rsidRDefault="000E788C" w:rsidP="00A30688">
            <w:pPr>
              <w:spacing w:after="0" w:line="240" w:lineRule="auto"/>
              <w:jc w:val="center"/>
              <w:rPr>
                <w:rFonts w:cs="Arial"/>
                <w:color w:val="FFFFFF" w:themeColor="background1"/>
                <w:sz w:val="48"/>
                <w:szCs w:val="48"/>
              </w:rPr>
            </w:pPr>
            <w:r>
              <w:rPr>
                <w:rFonts w:cs="Arial"/>
                <w:color w:val="FFFFFF" w:themeColor="background1"/>
                <w:sz w:val="48"/>
                <w:szCs w:val="48"/>
              </w:rPr>
              <w:t xml:space="preserve">Contract for:  </w:t>
            </w:r>
          </w:p>
          <w:p w14:paraId="2A48F0AB" w14:textId="790C45AF" w:rsidR="000E788C" w:rsidRPr="00BB442C" w:rsidRDefault="007A650A" w:rsidP="00A30688">
            <w:pPr>
              <w:spacing w:after="0" w:line="240" w:lineRule="auto"/>
              <w:jc w:val="center"/>
              <w:rPr>
                <w:rFonts w:cs="Arial"/>
                <w:color w:val="FFFFFF" w:themeColor="background1"/>
                <w:sz w:val="48"/>
                <w:szCs w:val="48"/>
              </w:rPr>
            </w:pPr>
            <w:r>
              <w:rPr>
                <w:rFonts w:cs="Arial"/>
                <w:color w:val="FFFFFF" w:themeColor="background1"/>
                <w:sz w:val="48"/>
                <w:szCs w:val="48"/>
              </w:rPr>
              <w:t>Bandstand and Stage, Kimberley Park, Falmouth</w:t>
            </w:r>
          </w:p>
        </w:tc>
      </w:tr>
    </w:tbl>
    <w:p w14:paraId="3C78A3A7" w14:textId="77777777" w:rsidR="000E788C" w:rsidRPr="001A3847" w:rsidRDefault="000E788C" w:rsidP="00A30688">
      <w:pPr>
        <w:spacing w:after="0" w:line="240" w:lineRule="auto"/>
        <w:jc w:val="center"/>
        <w:rPr>
          <w:rFonts w:cs="Arial"/>
          <w:sz w:val="48"/>
          <w:szCs w:val="48"/>
        </w:rPr>
      </w:pPr>
    </w:p>
    <w:p w14:paraId="0C92AF5D" w14:textId="0CD043DF" w:rsidR="00F00491" w:rsidRDefault="00F00491" w:rsidP="00A30688">
      <w:pPr>
        <w:spacing w:after="0" w:line="240" w:lineRule="auto"/>
        <w:jc w:val="center"/>
        <w:rPr>
          <w:rFonts w:cs="Arial"/>
          <w:sz w:val="48"/>
          <w:szCs w:val="48"/>
        </w:rPr>
      </w:pPr>
      <w:r>
        <w:rPr>
          <w:rFonts w:cs="Arial"/>
          <w:sz w:val="48"/>
          <w:szCs w:val="48"/>
        </w:rPr>
        <w:t>INVITATION TO TENDER (ITT)</w:t>
      </w:r>
    </w:p>
    <w:p w14:paraId="6A50AB38" w14:textId="77777777" w:rsidR="00A3380F" w:rsidRDefault="00A3380F" w:rsidP="00A30688">
      <w:pPr>
        <w:spacing w:after="0" w:line="240" w:lineRule="auto"/>
        <w:jc w:val="center"/>
        <w:rPr>
          <w:rFonts w:cs="Arial"/>
          <w:color w:val="0070C0"/>
          <w:sz w:val="48"/>
          <w:szCs w:val="48"/>
        </w:rPr>
      </w:pPr>
    </w:p>
    <w:p w14:paraId="2396FB69" w14:textId="2CA8FF23" w:rsidR="00C64FDD" w:rsidRDefault="009454BF" w:rsidP="00A30688">
      <w:pPr>
        <w:spacing w:after="0" w:line="240" w:lineRule="auto"/>
        <w:jc w:val="center"/>
        <w:rPr>
          <w:rFonts w:cs="Arial"/>
          <w:sz w:val="48"/>
          <w:szCs w:val="48"/>
        </w:rPr>
      </w:pPr>
      <w:r>
        <w:rPr>
          <w:rFonts w:cs="Arial"/>
          <w:sz w:val="48"/>
          <w:szCs w:val="48"/>
        </w:rPr>
        <w:t>Background</w:t>
      </w:r>
      <w:r w:rsidR="00A343EC">
        <w:rPr>
          <w:rFonts w:cs="Arial"/>
          <w:sz w:val="48"/>
          <w:szCs w:val="48"/>
        </w:rPr>
        <w:t xml:space="preserve"> Information</w:t>
      </w:r>
      <w:r w:rsidR="008B632E">
        <w:rPr>
          <w:rFonts w:cs="Arial"/>
          <w:sz w:val="48"/>
          <w:szCs w:val="48"/>
        </w:rPr>
        <w:t xml:space="preserve">, </w:t>
      </w:r>
      <w:r w:rsidR="006C375A">
        <w:rPr>
          <w:rFonts w:cs="Arial"/>
          <w:sz w:val="48"/>
          <w:szCs w:val="48"/>
        </w:rPr>
        <w:t>Instructions</w:t>
      </w:r>
      <w:r w:rsidR="008B632E">
        <w:rPr>
          <w:rFonts w:cs="Arial"/>
          <w:sz w:val="48"/>
          <w:szCs w:val="48"/>
        </w:rPr>
        <w:t xml:space="preserve"> and Conditions of Tender</w:t>
      </w:r>
    </w:p>
    <w:p w14:paraId="5F4517F6" w14:textId="77777777" w:rsidR="004E2A68" w:rsidRDefault="004E2A68">
      <w:pPr>
        <w:spacing w:after="0" w:line="240" w:lineRule="auto"/>
        <w:rPr>
          <w:rFonts w:cs="Arial"/>
          <w:sz w:val="48"/>
          <w:szCs w:val="48"/>
        </w:rPr>
      </w:pPr>
    </w:p>
    <w:p w14:paraId="78B51B32" w14:textId="77777777" w:rsidR="004E2A68" w:rsidRDefault="005C5D73" w:rsidP="00A30688">
      <w:pPr>
        <w:spacing w:after="0" w:line="240" w:lineRule="auto"/>
        <w:jc w:val="center"/>
        <w:rPr>
          <w:rFonts w:cs="Arial"/>
          <w:sz w:val="48"/>
          <w:szCs w:val="48"/>
        </w:rPr>
      </w:pPr>
      <w:r>
        <w:rPr>
          <w:rFonts w:cs="Arial"/>
          <w:sz w:val="48"/>
          <w:szCs w:val="48"/>
        </w:rPr>
        <w:t>Applicants should read this Volume first</w:t>
      </w:r>
    </w:p>
    <w:p w14:paraId="56E13D68" w14:textId="77777777" w:rsidR="0033044A" w:rsidRDefault="0033044A">
      <w:pPr>
        <w:spacing w:after="0" w:line="240" w:lineRule="auto"/>
        <w:rPr>
          <w:rFonts w:cs="Arial"/>
          <w:sz w:val="48"/>
          <w:szCs w:val="48"/>
        </w:rPr>
      </w:pPr>
    </w:p>
    <w:p w14:paraId="19FD9C85" w14:textId="77777777" w:rsidR="00C64FDD" w:rsidRDefault="00C64FDD">
      <w:pPr>
        <w:spacing w:after="0" w:line="240" w:lineRule="auto"/>
        <w:rPr>
          <w:rFonts w:cs="Arial"/>
          <w:sz w:val="48"/>
          <w:szCs w:val="48"/>
        </w:rPr>
      </w:pPr>
    </w:p>
    <w:p w14:paraId="4385E386" w14:textId="77777777" w:rsidR="009A4D86" w:rsidRDefault="009A4D86" w:rsidP="00E5080E">
      <w:pPr>
        <w:autoSpaceDE w:val="0"/>
        <w:autoSpaceDN w:val="0"/>
        <w:adjustRightInd w:val="0"/>
        <w:spacing w:after="0" w:line="240" w:lineRule="auto"/>
        <w:rPr>
          <w:rFonts w:cs="Arial"/>
          <w:b/>
          <w:bCs/>
          <w:sz w:val="28"/>
          <w:szCs w:val="28"/>
          <w:lang w:eastAsia="en-GB"/>
        </w:rPr>
      </w:pPr>
    </w:p>
    <w:p w14:paraId="027675C8" w14:textId="77777777" w:rsidR="009A4D86" w:rsidRDefault="009A4D86" w:rsidP="00E5080E">
      <w:pPr>
        <w:autoSpaceDE w:val="0"/>
        <w:autoSpaceDN w:val="0"/>
        <w:adjustRightInd w:val="0"/>
        <w:spacing w:after="0" w:line="240" w:lineRule="auto"/>
        <w:rPr>
          <w:rFonts w:cs="Arial"/>
          <w:b/>
          <w:bCs/>
          <w:sz w:val="28"/>
          <w:szCs w:val="28"/>
          <w:lang w:eastAsia="en-GB"/>
        </w:rPr>
      </w:pPr>
    </w:p>
    <w:p w14:paraId="159134ED" w14:textId="77777777" w:rsidR="009A4D86" w:rsidRDefault="009A4D86" w:rsidP="00E5080E">
      <w:pPr>
        <w:autoSpaceDE w:val="0"/>
        <w:autoSpaceDN w:val="0"/>
        <w:adjustRightInd w:val="0"/>
        <w:spacing w:after="0" w:line="240" w:lineRule="auto"/>
        <w:rPr>
          <w:rFonts w:cs="Arial"/>
          <w:b/>
          <w:bCs/>
          <w:sz w:val="28"/>
          <w:szCs w:val="28"/>
          <w:lang w:eastAsia="en-GB"/>
        </w:rPr>
      </w:pPr>
    </w:p>
    <w:p w14:paraId="016F4BCD" w14:textId="77777777" w:rsidR="00462E35" w:rsidRDefault="00CD344C" w:rsidP="00E5080E">
      <w:pPr>
        <w:autoSpaceDE w:val="0"/>
        <w:autoSpaceDN w:val="0"/>
        <w:adjustRightInd w:val="0"/>
        <w:spacing w:after="0" w:line="240" w:lineRule="auto"/>
        <w:rPr>
          <w:b/>
          <w:bCs/>
          <w:sz w:val="28"/>
          <w:szCs w:val="28"/>
        </w:rPr>
      </w:pPr>
      <w:r w:rsidRPr="00CD344C">
        <w:rPr>
          <w:b/>
          <w:bCs/>
          <w:sz w:val="28"/>
          <w:szCs w:val="28"/>
        </w:rPr>
        <w:t xml:space="preserve">If you would like this information in another </w:t>
      </w:r>
      <w:proofErr w:type="gramStart"/>
      <w:r w:rsidRPr="00CD344C">
        <w:rPr>
          <w:b/>
          <w:bCs/>
          <w:sz w:val="28"/>
          <w:szCs w:val="28"/>
        </w:rPr>
        <w:t>format</w:t>
      </w:r>
      <w:proofErr w:type="gramEnd"/>
      <w:r w:rsidRPr="00CD344C">
        <w:rPr>
          <w:b/>
          <w:bCs/>
          <w:sz w:val="28"/>
          <w:szCs w:val="28"/>
        </w:rPr>
        <w:t xml:space="preserve"> please email </w:t>
      </w:r>
    </w:p>
    <w:p w14:paraId="2C439652" w14:textId="77777777" w:rsidR="00462E35" w:rsidRDefault="00462E35" w:rsidP="00E5080E">
      <w:pPr>
        <w:autoSpaceDE w:val="0"/>
        <w:autoSpaceDN w:val="0"/>
        <w:adjustRightInd w:val="0"/>
        <w:spacing w:after="0" w:line="240" w:lineRule="auto"/>
        <w:rPr>
          <w:rStyle w:val="Hyperlink"/>
          <w:b/>
          <w:bCs/>
          <w:color w:val="0070C0"/>
          <w:sz w:val="28"/>
          <w:szCs w:val="28"/>
        </w:rPr>
      </w:pPr>
    </w:p>
    <w:p w14:paraId="7EA83593" w14:textId="2D32A68A" w:rsidR="00DE0B6D" w:rsidRPr="00462E35" w:rsidRDefault="00F956B4" w:rsidP="00E5080E">
      <w:pPr>
        <w:autoSpaceDE w:val="0"/>
        <w:autoSpaceDN w:val="0"/>
        <w:adjustRightInd w:val="0"/>
        <w:spacing w:after="0" w:line="240" w:lineRule="auto"/>
        <w:rPr>
          <w:b/>
          <w:bCs/>
          <w:color w:val="0070C0"/>
          <w:sz w:val="28"/>
          <w:szCs w:val="28"/>
        </w:rPr>
        <w:sectPr w:rsidR="00DE0B6D" w:rsidRPr="00462E35" w:rsidSect="00EC4FF9">
          <w:footerReference w:type="even" r:id="rId9"/>
          <w:footerReference w:type="default" r:id="rId10"/>
          <w:headerReference w:type="first" r:id="rId11"/>
          <w:footerReference w:type="first" r:id="rId12"/>
          <w:pgSz w:w="11907" w:h="16840" w:code="9"/>
          <w:pgMar w:top="1134" w:right="1134" w:bottom="1134" w:left="1134" w:header="992" w:footer="471" w:gutter="0"/>
          <w:pgBorders w:offsetFrom="page">
            <w:top w:val="single" w:sz="12" w:space="24" w:color="C00000"/>
            <w:left w:val="single" w:sz="12" w:space="24" w:color="C00000"/>
            <w:bottom w:val="single" w:sz="12" w:space="24" w:color="C00000"/>
            <w:right w:val="single" w:sz="12" w:space="24" w:color="C00000"/>
          </w:pgBorders>
          <w:pgNumType w:start="1"/>
          <w:cols w:space="720"/>
          <w:titlePg/>
          <w:docGrid w:linePitch="299"/>
        </w:sectPr>
      </w:pPr>
      <w:r w:rsidRPr="00F956B4">
        <w:rPr>
          <w:rStyle w:val="Hyperlink"/>
          <w:b/>
          <w:bCs/>
          <w:color w:val="0070C0"/>
          <w:sz w:val="28"/>
          <w:szCs w:val="28"/>
        </w:rPr>
        <w:t>ruth@falmouthtowncouncil.com</w:t>
      </w:r>
      <w:r w:rsidR="00CD344C" w:rsidRPr="00AD2582">
        <w:rPr>
          <w:b/>
          <w:bCs/>
          <w:color w:val="0070C0"/>
          <w:sz w:val="28"/>
          <w:szCs w:val="28"/>
        </w:rPr>
        <w:t xml:space="preserve"> </w:t>
      </w:r>
      <w:r w:rsidR="009454BF" w:rsidRPr="00AD2582">
        <w:rPr>
          <w:b/>
          <w:bCs/>
          <w:color w:val="0070C0"/>
          <w:sz w:val="28"/>
          <w:szCs w:val="28"/>
        </w:rPr>
        <w:t xml:space="preserve"> </w:t>
      </w:r>
      <w:r w:rsidR="00706387">
        <w:rPr>
          <w:b/>
          <w:bCs/>
          <w:color w:val="0070C0"/>
          <w:sz w:val="28"/>
          <w:szCs w:val="28"/>
        </w:rPr>
        <w:t xml:space="preserve"> </w:t>
      </w:r>
    </w:p>
    <w:tbl>
      <w:tblPr>
        <w:tblW w:w="0" w:type="auto"/>
        <w:jc w:val="center"/>
        <w:shd w:val="clear" w:color="auto" w:fill="C00000"/>
        <w:tblLook w:val="01E0" w:firstRow="1" w:lastRow="1" w:firstColumn="1" w:lastColumn="1" w:noHBand="0" w:noVBand="0"/>
      </w:tblPr>
      <w:tblGrid>
        <w:gridCol w:w="9639"/>
      </w:tblGrid>
      <w:tr w:rsidR="004B3731" w14:paraId="7A0B5043" w14:textId="77777777" w:rsidTr="000840BF">
        <w:trPr>
          <w:trHeight w:hRule="exact" w:val="567"/>
          <w:jc w:val="center"/>
        </w:trPr>
        <w:tc>
          <w:tcPr>
            <w:tcW w:w="9855" w:type="dxa"/>
            <w:shd w:val="clear" w:color="auto" w:fill="C00000"/>
            <w:vAlign w:val="center"/>
          </w:tcPr>
          <w:p w14:paraId="161C3234"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2BEBAA6" w14:textId="77777777" w:rsidR="004B3731" w:rsidRDefault="004B3731" w:rsidP="009B1C6C">
            <w:pPr>
              <w:jc w:val="center"/>
              <w:rPr>
                <w:rStyle w:val="Heading2Char"/>
              </w:rPr>
            </w:pPr>
          </w:p>
        </w:tc>
      </w:tr>
    </w:tbl>
    <w:p w14:paraId="3BA67DBC" w14:textId="398428D9" w:rsidR="00F42FDE" w:rsidRDefault="00081C28">
      <w:pPr>
        <w:pStyle w:val="TOC2"/>
        <w:rPr>
          <w:rFonts w:asciiTheme="minorHAnsi" w:eastAsiaTheme="minorEastAsia" w:hAnsiTheme="minorHAnsi" w:cstheme="minorBidi"/>
          <w:noProof/>
          <w:lang w:eastAsia="en-GB"/>
        </w:rPr>
      </w:pPr>
      <w:r>
        <w:rPr>
          <w:rFonts w:ascii="ZapfHumnst Ult BT" w:hAnsi="ZapfHumnst Ult BT"/>
        </w:rPr>
        <w:fldChar w:fldCharType="begin"/>
      </w:r>
      <w:r w:rsidR="00AB702F">
        <w:instrText xml:space="preserve"> TOC \o "1-2" \h \z \u </w:instrText>
      </w:r>
      <w:r>
        <w:rPr>
          <w:rFonts w:ascii="ZapfHumnst Ult BT" w:hAnsi="ZapfHumnst Ult BT"/>
        </w:rPr>
        <w:fldChar w:fldCharType="separate"/>
      </w:r>
      <w:hyperlink w:anchor="_Toc530675192" w:history="1">
        <w:r w:rsidR="00F42FDE" w:rsidRPr="00C31C18">
          <w:rPr>
            <w:rStyle w:val="Hyperlink"/>
            <w:noProof/>
          </w:rPr>
          <w:t>Information and Instructions</w:t>
        </w:r>
        <w:r w:rsidR="00F42FDE">
          <w:rPr>
            <w:noProof/>
            <w:webHidden/>
          </w:rPr>
          <w:tab/>
        </w:r>
        <w:r w:rsidR="00F42FDE">
          <w:rPr>
            <w:noProof/>
            <w:webHidden/>
          </w:rPr>
          <w:fldChar w:fldCharType="begin"/>
        </w:r>
        <w:r w:rsidR="00F42FDE">
          <w:rPr>
            <w:noProof/>
            <w:webHidden/>
          </w:rPr>
          <w:instrText xml:space="preserve"> PAGEREF _Toc530675192 \h </w:instrText>
        </w:r>
        <w:r w:rsidR="00F42FDE">
          <w:rPr>
            <w:noProof/>
            <w:webHidden/>
          </w:rPr>
        </w:r>
        <w:r w:rsidR="00F42FDE">
          <w:rPr>
            <w:noProof/>
            <w:webHidden/>
          </w:rPr>
          <w:fldChar w:fldCharType="separate"/>
        </w:r>
        <w:r w:rsidR="00F42FDE">
          <w:rPr>
            <w:noProof/>
            <w:webHidden/>
          </w:rPr>
          <w:t>3</w:t>
        </w:r>
        <w:r w:rsidR="00F42FDE">
          <w:rPr>
            <w:noProof/>
            <w:webHidden/>
          </w:rPr>
          <w:fldChar w:fldCharType="end"/>
        </w:r>
      </w:hyperlink>
    </w:p>
    <w:p w14:paraId="7D326072" w14:textId="567063F2" w:rsidR="00F42FDE" w:rsidRDefault="00F956B4">
      <w:pPr>
        <w:pStyle w:val="TOC2"/>
        <w:rPr>
          <w:rFonts w:asciiTheme="minorHAnsi" w:eastAsiaTheme="minorEastAsia" w:hAnsiTheme="minorHAnsi" w:cstheme="minorBidi"/>
          <w:noProof/>
          <w:lang w:eastAsia="en-GB"/>
        </w:rPr>
      </w:pPr>
      <w:hyperlink w:anchor="_Toc530675193" w:history="1">
        <w:r w:rsidR="00F42FDE" w:rsidRPr="00C31C18">
          <w:rPr>
            <w:rStyle w:val="Hyperlink"/>
            <w:noProof/>
          </w:rPr>
          <w:t>Section 1 – About the Council</w:t>
        </w:r>
        <w:r w:rsidR="00F42FDE">
          <w:rPr>
            <w:noProof/>
            <w:webHidden/>
          </w:rPr>
          <w:tab/>
        </w:r>
        <w:r w:rsidR="00F42FDE">
          <w:rPr>
            <w:noProof/>
            <w:webHidden/>
          </w:rPr>
          <w:fldChar w:fldCharType="begin"/>
        </w:r>
        <w:r w:rsidR="00F42FDE">
          <w:rPr>
            <w:noProof/>
            <w:webHidden/>
          </w:rPr>
          <w:instrText xml:space="preserve"> PAGEREF _Toc530675193 \h </w:instrText>
        </w:r>
        <w:r w:rsidR="00F42FDE">
          <w:rPr>
            <w:noProof/>
            <w:webHidden/>
          </w:rPr>
        </w:r>
        <w:r w:rsidR="00F42FDE">
          <w:rPr>
            <w:noProof/>
            <w:webHidden/>
          </w:rPr>
          <w:fldChar w:fldCharType="separate"/>
        </w:r>
        <w:r w:rsidR="00F42FDE">
          <w:rPr>
            <w:noProof/>
            <w:webHidden/>
          </w:rPr>
          <w:t>3</w:t>
        </w:r>
        <w:r w:rsidR="00F42FDE">
          <w:rPr>
            <w:noProof/>
            <w:webHidden/>
          </w:rPr>
          <w:fldChar w:fldCharType="end"/>
        </w:r>
      </w:hyperlink>
    </w:p>
    <w:p w14:paraId="10AAFCBD" w14:textId="1D4AD79E" w:rsidR="00F42FDE" w:rsidRDefault="00F956B4">
      <w:pPr>
        <w:pStyle w:val="TOC2"/>
        <w:rPr>
          <w:rFonts w:asciiTheme="minorHAnsi" w:eastAsiaTheme="minorEastAsia" w:hAnsiTheme="minorHAnsi" w:cstheme="minorBidi"/>
          <w:noProof/>
          <w:lang w:eastAsia="en-GB"/>
        </w:rPr>
      </w:pPr>
      <w:hyperlink w:anchor="_Toc530675194" w:history="1">
        <w:r w:rsidR="00F42FDE" w:rsidRPr="00C31C18">
          <w:rPr>
            <w:rStyle w:val="Hyperlink"/>
            <w:noProof/>
          </w:rPr>
          <w:t>1.1</w:t>
        </w:r>
        <w:r w:rsidR="00F42FDE">
          <w:rPr>
            <w:rFonts w:asciiTheme="minorHAnsi" w:eastAsiaTheme="minorEastAsia" w:hAnsiTheme="minorHAnsi" w:cstheme="minorBidi"/>
            <w:noProof/>
            <w:lang w:eastAsia="en-GB"/>
          </w:rPr>
          <w:tab/>
        </w:r>
        <w:r w:rsidR="00F42FDE" w:rsidRPr="00C31C18">
          <w:rPr>
            <w:rStyle w:val="Hyperlink"/>
            <w:noProof/>
          </w:rPr>
          <w:t>The Council</w:t>
        </w:r>
        <w:r w:rsidR="00F42FDE">
          <w:rPr>
            <w:noProof/>
            <w:webHidden/>
          </w:rPr>
          <w:tab/>
        </w:r>
        <w:r w:rsidR="00F42FDE">
          <w:rPr>
            <w:noProof/>
            <w:webHidden/>
          </w:rPr>
          <w:fldChar w:fldCharType="begin"/>
        </w:r>
        <w:r w:rsidR="00F42FDE">
          <w:rPr>
            <w:noProof/>
            <w:webHidden/>
          </w:rPr>
          <w:instrText xml:space="preserve"> PAGEREF _Toc530675194 \h </w:instrText>
        </w:r>
        <w:r w:rsidR="00F42FDE">
          <w:rPr>
            <w:noProof/>
            <w:webHidden/>
          </w:rPr>
        </w:r>
        <w:r w:rsidR="00F42FDE">
          <w:rPr>
            <w:noProof/>
            <w:webHidden/>
          </w:rPr>
          <w:fldChar w:fldCharType="separate"/>
        </w:r>
        <w:r w:rsidR="00F42FDE">
          <w:rPr>
            <w:noProof/>
            <w:webHidden/>
          </w:rPr>
          <w:t>3</w:t>
        </w:r>
        <w:r w:rsidR="00F42FDE">
          <w:rPr>
            <w:noProof/>
            <w:webHidden/>
          </w:rPr>
          <w:fldChar w:fldCharType="end"/>
        </w:r>
      </w:hyperlink>
    </w:p>
    <w:p w14:paraId="0AAE93F0" w14:textId="26D0176C" w:rsidR="00F42FDE" w:rsidRDefault="00F956B4">
      <w:pPr>
        <w:pStyle w:val="TOC2"/>
        <w:rPr>
          <w:rFonts w:asciiTheme="minorHAnsi" w:eastAsiaTheme="minorEastAsia" w:hAnsiTheme="minorHAnsi" w:cstheme="minorBidi"/>
          <w:noProof/>
          <w:lang w:eastAsia="en-GB"/>
        </w:rPr>
      </w:pPr>
      <w:hyperlink w:anchor="_Toc530675195" w:history="1">
        <w:r w:rsidR="00F42FDE" w:rsidRPr="00C31C18">
          <w:rPr>
            <w:rStyle w:val="Hyperlink"/>
            <w:noProof/>
          </w:rPr>
          <w:t>Section 2 – About the Tender</w:t>
        </w:r>
        <w:r w:rsidR="00F42FDE">
          <w:rPr>
            <w:noProof/>
            <w:webHidden/>
          </w:rPr>
          <w:tab/>
        </w:r>
        <w:r w:rsidR="00F42FDE">
          <w:rPr>
            <w:noProof/>
            <w:webHidden/>
          </w:rPr>
          <w:fldChar w:fldCharType="begin"/>
        </w:r>
        <w:r w:rsidR="00F42FDE">
          <w:rPr>
            <w:noProof/>
            <w:webHidden/>
          </w:rPr>
          <w:instrText xml:space="preserve"> PAGEREF _Toc530675195 \h </w:instrText>
        </w:r>
        <w:r w:rsidR="00F42FDE">
          <w:rPr>
            <w:noProof/>
            <w:webHidden/>
          </w:rPr>
        </w:r>
        <w:r w:rsidR="00F42FDE">
          <w:rPr>
            <w:noProof/>
            <w:webHidden/>
          </w:rPr>
          <w:fldChar w:fldCharType="separate"/>
        </w:r>
        <w:r w:rsidR="00F42FDE">
          <w:rPr>
            <w:noProof/>
            <w:webHidden/>
          </w:rPr>
          <w:t>4</w:t>
        </w:r>
        <w:r w:rsidR="00F42FDE">
          <w:rPr>
            <w:noProof/>
            <w:webHidden/>
          </w:rPr>
          <w:fldChar w:fldCharType="end"/>
        </w:r>
      </w:hyperlink>
    </w:p>
    <w:p w14:paraId="666E1748" w14:textId="492B5A94" w:rsidR="00F42FDE" w:rsidRDefault="00F956B4">
      <w:pPr>
        <w:pStyle w:val="TOC2"/>
        <w:rPr>
          <w:rFonts w:asciiTheme="minorHAnsi" w:eastAsiaTheme="minorEastAsia" w:hAnsiTheme="minorHAnsi" w:cstheme="minorBidi"/>
          <w:noProof/>
          <w:lang w:eastAsia="en-GB"/>
        </w:rPr>
      </w:pPr>
      <w:hyperlink w:anchor="_Toc530675198" w:history="1">
        <w:r w:rsidR="00F42FDE" w:rsidRPr="00C31C18">
          <w:rPr>
            <w:rStyle w:val="Hyperlink"/>
            <w:noProof/>
          </w:rPr>
          <w:t>2.1</w:t>
        </w:r>
        <w:r w:rsidR="00F42FDE">
          <w:rPr>
            <w:rFonts w:asciiTheme="minorHAnsi" w:eastAsiaTheme="minorEastAsia" w:hAnsiTheme="minorHAnsi" w:cstheme="minorBidi"/>
            <w:noProof/>
            <w:lang w:eastAsia="en-GB"/>
          </w:rPr>
          <w:tab/>
        </w:r>
        <w:r w:rsidR="00F42FDE" w:rsidRPr="00C31C18">
          <w:rPr>
            <w:rStyle w:val="Hyperlink"/>
            <w:noProof/>
          </w:rPr>
          <w:t>The Tender</w:t>
        </w:r>
        <w:r w:rsidR="00F42FDE">
          <w:rPr>
            <w:noProof/>
            <w:webHidden/>
          </w:rPr>
          <w:tab/>
        </w:r>
        <w:r w:rsidR="00F42FDE">
          <w:rPr>
            <w:noProof/>
            <w:webHidden/>
          </w:rPr>
          <w:fldChar w:fldCharType="begin"/>
        </w:r>
        <w:r w:rsidR="00F42FDE">
          <w:rPr>
            <w:noProof/>
            <w:webHidden/>
          </w:rPr>
          <w:instrText xml:space="preserve"> PAGEREF _Toc530675198 \h </w:instrText>
        </w:r>
        <w:r w:rsidR="00F42FDE">
          <w:rPr>
            <w:noProof/>
            <w:webHidden/>
          </w:rPr>
        </w:r>
        <w:r w:rsidR="00F42FDE">
          <w:rPr>
            <w:noProof/>
            <w:webHidden/>
          </w:rPr>
          <w:fldChar w:fldCharType="separate"/>
        </w:r>
        <w:r w:rsidR="00F42FDE">
          <w:rPr>
            <w:noProof/>
            <w:webHidden/>
          </w:rPr>
          <w:t>4</w:t>
        </w:r>
        <w:r w:rsidR="00F42FDE">
          <w:rPr>
            <w:noProof/>
            <w:webHidden/>
          </w:rPr>
          <w:fldChar w:fldCharType="end"/>
        </w:r>
      </w:hyperlink>
    </w:p>
    <w:p w14:paraId="28800EBB" w14:textId="058C2B83" w:rsidR="00F42FDE" w:rsidRDefault="00F956B4">
      <w:pPr>
        <w:pStyle w:val="TOC2"/>
        <w:rPr>
          <w:rFonts w:asciiTheme="minorHAnsi" w:eastAsiaTheme="minorEastAsia" w:hAnsiTheme="minorHAnsi" w:cstheme="minorBidi"/>
          <w:noProof/>
          <w:lang w:eastAsia="en-GB"/>
        </w:rPr>
      </w:pPr>
      <w:hyperlink w:anchor="_Toc530675199" w:history="1">
        <w:r w:rsidR="00F42FDE" w:rsidRPr="00C31C18">
          <w:rPr>
            <w:rStyle w:val="Hyperlink"/>
            <w:noProof/>
          </w:rPr>
          <w:t>2.2</w:t>
        </w:r>
        <w:r w:rsidR="00F42FDE">
          <w:rPr>
            <w:rFonts w:asciiTheme="minorHAnsi" w:eastAsiaTheme="minorEastAsia" w:hAnsiTheme="minorHAnsi" w:cstheme="minorBidi"/>
            <w:noProof/>
            <w:lang w:eastAsia="en-GB"/>
          </w:rPr>
          <w:tab/>
        </w:r>
        <w:r w:rsidR="00F42FDE" w:rsidRPr="00C31C18">
          <w:rPr>
            <w:rStyle w:val="Hyperlink"/>
            <w:noProof/>
          </w:rPr>
          <w:t>Contract Period</w:t>
        </w:r>
        <w:r w:rsidR="00F42FDE">
          <w:rPr>
            <w:noProof/>
            <w:webHidden/>
          </w:rPr>
          <w:tab/>
        </w:r>
        <w:r w:rsidR="00F42FDE">
          <w:rPr>
            <w:noProof/>
            <w:webHidden/>
          </w:rPr>
          <w:fldChar w:fldCharType="begin"/>
        </w:r>
        <w:r w:rsidR="00F42FDE">
          <w:rPr>
            <w:noProof/>
            <w:webHidden/>
          </w:rPr>
          <w:instrText xml:space="preserve"> PAGEREF _Toc530675199 \h </w:instrText>
        </w:r>
        <w:r w:rsidR="00F42FDE">
          <w:rPr>
            <w:noProof/>
            <w:webHidden/>
          </w:rPr>
        </w:r>
        <w:r w:rsidR="00F42FDE">
          <w:rPr>
            <w:noProof/>
            <w:webHidden/>
          </w:rPr>
          <w:fldChar w:fldCharType="separate"/>
        </w:r>
        <w:r w:rsidR="00F42FDE">
          <w:rPr>
            <w:noProof/>
            <w:webHidden/>
          </w:rPr>
          <w:t>4</w:t>
        </w:r>
        <w:r w:rsidR="00F42FDE">
          <w:rPr>
            <w:noProof/>
            <w:webHidden/>
          </w:rPr>
          <w:fldChar w:fldCharType="end"/>
        </w:r>
      </w:hyperlink>
    </w:p>
    <w:p w14:paraId="53C1F326" w14:textId="61207D28" w:rsidR="00F42FDE" w:rsidRDefault="00F956B4">
      <w:pPr>
        <w:pStyle w:val="TOC2"/>
        <w:rPr>
          <w:rFonts w:asciiTheme="minorHAnsi" w:eastAsiaTheme="minorEastAsia" w:hAnsiTheme="minorHAnsi" w:cstheme="minorBidi"/>
          <w:noProof/>
          <w:lang w:eastAsia="en-GB"/>
        </w:rPr>
      </w:pPr>
      <w:hyperlink w:anchor="_Toc530675200" w:history="1">
        <w:r w:rsidR="00F42FDE" w:rsidRPr="00C31C18">
          <w:rPr>
            <w:rStyle w:val="Hyperlink"/>
            <w:noProof/>
          </w:rPr>
          <w:t>2.3</w:t>
        </w:r>
        <w:r w:rsidR="00F42FDE">
          <w:rPr>
            <w:rFonts w:asciiTheme="minorHAnsi" w:eastAsiaTheme="minorEastAsia" w:hAnsiTheme="minorHAnsi" w:cstheme="minorBidi"/>
            <w:noProof/>
            <w:lang w:eastAsia="en-GB"/>
          </w:rPr>
          <w:tab/>
        </w:r>
        <w:r w:rsidR="00F42FDE" w:rsidRPr="00C31C18">
          <w:rPr>
            <w:rStyle w:val="Hyperlink"/>
            <w:noProof/>
          </w:rPr>
          <w:t>Insurance Levels</w:t>
        </w:r>
        <w:r w:rsidR="00F42FDE">
          <w:rPr>
            <w:noProof/>
            <w:webHidden/>
          </w:rPr>
          <w:tab/>
        </w:r>
        <w:r w:rsidR="00F42FDE">
          <w:rPr>
            <w:noProof/>
            <w:webHidden/>
          </w:rPr>
          <w:fldChar w:fldCharType="begin"/>
        </w:r>
        <w:r w:rsidR="00F42FDE">
          <w:rPr>
            <w:noProof/>
            <w:webHidden/>
          </w:rPr>
          <w:instrText xml:space="preserve"> PAGEREF _Toc530675200 \h </w:instrText>
        </w:r>
        <w:r w:rsidR="00F42FDE">
          <w:rPr>
            <w:noProof/>
            <w:webHidden/>
          </w:rPr>
        </w:r>
        <w:r w:rsidR="00F42FDE">
          <w:rPr>
            <w:noProof/>
            <w:webHidden/>
          </w:rPr>
          <w:fldChar w:fldCharType="separate"/>
        </w:r>
        <w:r w:rsidR="00F42FDE">
          <w:rPr>
            <w:noProof/>
            <w:webHidden/>
          </w:rPr>
          <w:t>4</w:t>
        </w:r>
        <w:r w:rsidR="00F42FDE">
          <w:rPr>
            <w:noProof/>
            <w:webHidden/>
          </w:rPr>
          <w:fldChar w:fldCharType="end"/>
        </w:r>
      </w:hyperlink>
    </w:p>
    <w:p w14:paraId="5299E321" w14:textId="44ECF830" w:rsidR="00F42FDE" w:rsidRDefault="00F956B4">
      <w:pPr>
        <w:pStyle w:val="TOC2"/>
        <w:rPr>
          <w:rFonts w:asciiTheme="minorHAnsi" w:eastAsiaTheme="minorEastAsia" w:hAnsiTheme="minorHAnsi" w:cstheme="minorBidi"/>
          <w:noProof/>
          <w:lang w:eastAsia="en-GB"/>
        </w:rPr>
      </w:pPr>
      <w:hyperlink w:anchor="_Toc530675201" w:history="1">
        <w:r w:rsidR="00F42FDE" w:rsidRPr="00C31C18">
          <w:rPr>
            <w:rStyle w:val="Hyperlink"/>
            <w:noProof/>
          </w:rPr>
          <w:t>Section 3 - About the Procurement Process</w:t>
        </w:r>
        <w:r w:rsidR="00F42FDE">
          <w:rPr>
            <w:noProof/>
            <w:webHidden/>
          </w:rPr>
          <w:tab/>
        </w:r>
        <w:r w:rsidR="00F42FDE">
          <w:rPr>
            <w:noProof/>
            <w:webHidden/>
          </w:rPr>
          <w:fldChar w:fldCharType="begin"/>
        </w:r>
        <w:r w:rsidR="00F42FDE">
          <w:rPr>
            <w:noProof/>
            <w:webHidden/>
          </w:rPr>
          <w:instrText xml:space="preserve"> PAGEREF _Toc530675201 \h </w:instrText>
        </w:r>
        <w:r w:rsidR="00F42FDE">
          <w:rPr>
            <w:noProof/>
            <w:webHidden/>
          </w:rPr>
        </w:r>
        <w:r w:rsidR="00F42FDE">
          <w:rPr>
            <w:noProof/>
            <w:webHidden/>
          </w:rPr>
          <w:fldChar w:fldCharType="separate"/>
        </w:r>
        <w:r w:rsidR="00F42FDE">
          <w:rPr>
            <w:noProof/>
            <w:webHidden/>
          </w:rPr>
          <w:t>5</w:t>
        </w:r>
        <w:r w:rsidR="00F42FDE">
          <w:rPr>
            <w:noProof/>
            <w:webHidden/>
          </w:rPr>
          <w:fldChar w:fldCharType="end"/>
        </w:r>
      </w:hyperlink>
    </w:p>
    <w:p w14:paraId="74AB3929" w14:textId="29939A8B" w:rsidR="00F42FDE" w:rsidRDefault="00F956B4">
      <w:pPr>
        <w:pStyle w:val="TOC2"/>
        <w:rPr>
          <w:rFonts w:asciiTheme="minorHAnsi" w:eastAsiaTheme="minorEastAsia" w:hAnsiTheme="minorHAnsi" w:cstheme="minorBidi"/>
          <w:noProof/>
          <w:lang w:eastAsia="en-GB"/>
        </w:rPr>
      </w:pPr>
      <w:hyperlink w:anchor="_Toc530675203" w:history="1">
        <w:r w:rsidR="00F42FDE" w:rsidRPr="00C31C18">
          <w:rPr>
            <w:rStyle w:val="Hyperlink"/>
            <w:noProof/>
          </w:rPr>
          <w:t>3.1</w:t>
        </w:r>
        <w:r w:rsidR="00F42FDE">
          <w:rPr>
            <w:rFonts w:asciiTheme="minorHAnsi" w:eastAsiaTheme="minorEastAsia" w:hAnsiTheme="minorHAnsi" w:cstheme="minorBidi"/>
            <w:noProof/>
            <w:lang w:eastAsia="en-GB"/>
          </w:rPr>
          <w:tab/>
        </w:r>
        <w:r w:rsidR="00F42FDE" w:rsidRPr="00C31C18">
          <w:rPr>
            <w:rStyle w:val="Hyperlink"/>
            <w:noProof/>
          </w:rPr>
          <w:t>Procurement Procedure</w:t>
        </w:r>
        <w:r w:rsidR="00F42FDE">
          <w:rPr>
            <w:noProof/>
            <w:webHidden/>
          </w:rPr>
          <w:tab/>
        </w:r>
        <w:r w:rsidR="00F42FDE">
          <w:rPr>
            <w:noProof/>
            <w:webHidden/>
          </w:rPr>
          <w:fldChar w:fldCharType="begin"/>
        </w:r>
        <w:r w:rsidR="00F42FDE">
          <w:rPr>
            <w:noProof/>
            <w:webHidden/>
          </w:rPr>
          <w:instrText xml:space="preserve"> PAGEREF _Toc530675203 \h </w:instrText>
        </w:r>
        <w:r w:rsidR="00F42FDE">
          <w:rPr>
            <w:noProof/>
            <w:webHidden/>
          </w:rPr>
        </w:r>
        <w:r w:rsidR="00F42FDE">
          <w:rPr>
            <w:noProof/>
            <w:webHidden/>
          </w:rPr>
          <w:fldChar w:fldCharType="separate"/>
        </w:r>
        <w:r w:rsidR="00F42FDE">
          <w:rPr>
            <w:noProof/>
            <w:webHidden/>
          </w:rPr>
          <w:t>5</w:t>
        </w:r>
        <w:r w:rsidR="00F42FDE">
          <w:rPr>
            <w:noProof/>
            <w:webHidden/>
          </w:rPr>
          <w:fldChar w:fldCharType="end"/>
        </w:r>
      </w:hyperlink>
    </w:p>
    <w:p w14:paraId="67BCC15E" w14:textId="52D5DAEF" w:rsidR="00F42FDE" w:rsidRDefault="00F956B4">
      <w:pPr>
        <w:pStyle w:val="TOC2"/>
        <w:rPr>
          <w:rFonts w:asciiTheme="minorHAnsi" w:eastAsiaTheme="minorEastAsia" w:hAnsiTheme="minorHAnsi" w:cstheme="minorBidi"/>
          <w:noProof/>
          <w:lang w:eastAsia="en-GB"/>
        </w:rPr>
      </w:pPr>
      <w:hyperlink w:anchor="_Toc530675204" w:history="1">
        <w:r w:rsidR="00F42FDE" w:rsidRPr="00C31C18">
          <w:rPr>
            <w:rStyle w:val="Hyperlink"/>
            <w:noProof/>
          </w:rPr>
          <w:t>3.2</w:t>
        </w:r>
        <w:r w:rsidR="00F42FDE">
          <w:rPr>
            <w:rFonts w:asciiTheme="minorHAnsi" w:eastAsiaTheme="minorEastAsia" w:hAnsiTheme="minorHAnsi" w:cstheme="minorBidi"/>
            <w:noProof/>
            <w:lang w:eastAsia="en-GB"/>
          </w:rPr>
          <w:tab/>
        </w:r>
        <w:r w:rsidR="00F42FDE" w:rsidRPr="00C31C18">
          <w:rPr>
            <w:rStyle w:val="Hyperlink"/>
            <w:noProof/>
          </w:rPr>
          <w:t>Instructions for Completion</w:t>
        </w:r>
        <w:r w:rsidR="00F42FDE">
          <w:rPr>
            <w:noProof/>
            <w:webHidden/>
          </w:rPr>
          <w:tab/>
        </w:r>
        <w:r w:rsidR="00F42FDE">
          <w:rPr>
            <w:noProof/>
            <w:webHidden/>
          </w:rPr>
          <w:fldChar w:fldCharType="begin"/>
        </w:r>
        <w:r w:rsidR="00F42FDE">
          <w:rPr>
            <w:noProof/>
            <w:webHidden/>
          </w:rPr>
          <w:instrText xml:space="preserve"> PAGEREF _Toc530675204 \h </w:instrText>
        </w:r>
        <w:r w:rsidR="00F42FDE">
          <w:rPr>
            <w:noProof/>
            <w:webHidden/>
          </w:rPr>
        </w:r>
        <w:r w:rsidR="00F42FDE">
          <w:rPr>
            <w:noProof/>
            <w:webHidden/>
          </w:rPr>
          <w:fldChar w:fldCharType="separate"/>
        </w:r>
        <w:r w:rsidR="00F42FDE">
          <w:rPr>
            <w:noProof/>
            <w:webHidden/>
          </w:rPr>
          <w:t>5</w:t>
        </w:r>
        <w:r w:rsidR="00F42FDE">
          <w:rPr>
            <w:noProof/>
            <w:webHidden/>
          </w:rPr>
          <w:fldChar w:fldCharType="end"/>
        </w:r>
      </w:hyperlink>
    </w:p>
    <w:p w14:paraId="4F532D81" w14:textId="5F30FDC6" w:rsidR="00F42FDE" w:rsidRDefault="00F956B4">
      <w:pPr>
        <w:pStyle w:val="TOC2"/>
        <w:rPr>
          <w:rFonts w:asciiTheme="minorHAnsi" w:eastAsiaTheme="minorEastAsia" w:hAnsiTheme="minorHAnsi" w:cstheme="minorBidi"/>
          <w:noProof/>
          <w:lang w:eastAsia="en-GB"/>
        </w:rPr>
      </w:pPr>
      <w:hyperlink w:anchor="_Toc530675205" w:history="1">
        <w:r w:rsidR="00F42FDE" w:rsidRPr="00C31C18">
          <w:rPr>
            <w:rStyle w:val="Hyperlink"/>
            <w:noProof/>
          </w:rPr>
          <w:t>3.3</w:t>
        </w:r>
        <w:r w:rsidR="00F42FDE">
          <w:rPr>
            <w:rFonts w:asciiTheme="minorHAnsi" w:eastAsiaTheme="minorEastAsia" w:hAnsiTheme="minorHAnsi" w:cstheme="minorBidi"/>
            <w:noProof/>
            <w:lang w:eastAsia="en-GB"/>
          </w:rPr>
          <w:tab/>
        </w:r>
        <w:r w:rsidR="00F42FDE" w:rsidRPr="00C31C18">
          <w:rPr>
            <w:rStyle w:val="Hyperlink"/>
            <w:noProof/>
          </w:rPr>
          <w:t>Clarification Process</w:t>
        </w:r>
        <w:r w:rsidR="00F42FDE">
          <w:rPr>
            <w:noProof/>
            <w:webHidden/>
          </w:rPr>
          <w:tab/>
        </w:r>
        <w:r w:rsidR="00F42FDE">
          <w:rPr>
            <w:noProof/>
            <w:webHidden/>
          </w:rPr>
          <w:fldChar w:fldCharType="begin"/>
        </w:r>
        <w:r w:rsidR="00F42FDE">
          <w:rPr>
            <w:noProof/>
            <w:webHidden/>
          </w:rPr>
          <w:instrText xml:space="preserve"> PAGEREF _Toc530675205 \h </w:instrText>
        </w:r>
        <w:r w:rsidR="00F42FDE">
          <w:rPr>
            <w:noProof/>
            <w:webHidden/>
          </w:rPr>
        </w:r>
        <w:r w:rsidR="00F42FDE">
          <w:rPr>
            <w:noProof/>
            <w:webHidden/>
          </w:rPr>
          <w:fldChar w:fldCharType="separate"/>
        </w:r>
        <w:r w:rsidR="00F42FDE">
          <w:rPr>
            <w:noProof/>
            <w:webHidden/>
          </w:rPr>
          <w:t>5</w:t>
        </w:r>
        <w:r w:rsidR="00F42FDE">
          <w:rPr>
            <w:noProof/>
            <w:webHidden/>
          </w:rPr>
          <w:fldChar w:fldCharType="end"/>
        </w:r>
      </w:hyperlink>
    </w:p>
    <w:p w14:paraId="45059F74" w14:textId="761ED520" w:rsidR="00F42FDE" w:rsidRDefault="00F956B4">
      <w:pPr>
        <w:pStyle w:val="TOC2"/>
        <w:rPr>
          <w:rFonts w:asciiTheme="minorHAnsi" w:eastAsiaTheme="minorEastAsia" w:hAnsiTheme="minorHAnsi" w:cstheme="minorBidi"/>
          <w:noProof/>
          <w:lang w:eastAsia="en-GB"/>
        </w:rPr>
      </w:pPr>
      <w:hyperlink w:anchor="_Toc530675206" w:history="1">
        <w:r w:rsidR="00F42FDE" w:rsidRPr="00C31C18">
          <w:rPr>
            <w:rStyle w:val="Hyperlink"/>
            <w:noProof/>
          </w:rPr>
          <w:t>3.4</w:t>
        </w:r>
        <w:r w:rsidR="00F42FDE">
          <w:rPr>
            <w:rFonts w:asciiTheme="minorHAnsi" w:eastAsiaTheme="minorEastAsia" w:hAnsiTheme="minorHAnsi" w:cstheme="minorBidi"/>
            <w:noProof/>
            <w:lang w:eastAsia="en-GB"/>
          </w:rPr>
          <w:tab/>
        </w:r>
        <w:r w:rsidR="00F42FDE" w:rsidRPr="00C31C18">
          <w:rPr>
            <w:rStyle w:val="Hyperlink"/>
            <w:noProof/>
          </w:rPr>
          <w:t>Authority Representatives</w:t>
        </w:r>
        <w:r w:rsidR="00F42FDE">
          <w:rPr>
            <w:noProof/>
            <w:webHidden/>
          </w:rPr>
          <w:tab/>
        </w:r>
        <w:r w:rsidR="00F42FDE">
          <w:rPr>
            <w:noProof/>
            <w:webHidden/>
          </w:rPr>
          <w:fldChar w:fldCharType="begin"/>
        </w:r>
        <w:r w:rsidR="00F42FDE">
          <w:rPr>
            <w:noProof/>
            <w:webHidden/>
          </w:rPr>
          <w:instrText xml:space="preserve"> PAGEREF _Toc530675206 \h </w:instrText>
        </w:r>
        <w:r w:rsidR="00F42FDE">
          <w:rPr>
            <w:noProof/>
            <w:webHidden/>
          </w:rPr>
        </w:r>
        <w:r w:rsidR="00F42FDE">
          <w:rPr>
            <w:noProof/>
            <w:webHidden/>
          </w:rPr>
          <w:fldChar w:fldCharType="separate"/>
        </w:r>
        <w:r w:rsidR="00F42FDE">
          <w:rPr>
            <w:noProof/>
            <w:webHidden/>
          </w:rPr>
          <w:t>6</w:t>
        </w:r>
        <w:r w:rsidR="00F42FDE">
          <w:rPr>
            <w:noProof/>
            <w:webHidden/>
          </w:rPr>
          <w:fldChar w:fldCharType="end"/>
        </w:r>
      </w:hyperlink>
    </w:p>
    <w:p w14:paraId="03C30D12" w14:textId="69BE4E64" w:rsidR="00F42FDE" w:rsidRDefault="00F956B4">
      <w:pPr>
        <w:pStyle w:val="TOC2"/>
        <w:rPr>
          <w:rFonts w:asciiTheme="minorHAnsi" w:eastAsiaTheme="minorEastAsia" w:hAnsiTheme="minorHAnsi" w:cstheme="minorBidi"/>
          <w:noProof/>
          <w:lang w:eastAsia="en-GB"/>
        </w:rPr>
      </w:pPr>
      <w:hyperlink w:anchor="_Toc530675207" w:history="1">
        <w:r w:rsidR="00F42FDE" w:rsidRPr="00C31C18">
          <w:rPr>
            <w:rStyle w:val="Hyperlink"/>
            <w:noProof/>
          </w:rPr>
          <w:t>3.5</w:t>
        </w:r>
        <w:r w:rsidR="00F42FDE">
          <w:rPr>
            <w:rFonts w:asciiTheme="minorHAnsi" w:eastAsiaTheme="minorEastAsia" w:hAnsiTheme="minorHAnsi" w:cstheme="minorBidi"/>
            <w:noProof/>
            <w:lang w:eastAsia="en-GB"/>
          </w:rPr>
          <w:tab/>
        </w:r>
        <w:r w:rsidR="00F42FDE" w:rsidRPr="00C31C18">
          <w:rPr>
            <w:rStyle w:val="Hyperlink"/>
            <w:noProof/>
          </w:rPr>
          <w:t>Format of Response / Submission</w:t>
        </w:r>
        <w:r w:rsidR="00F42FDE">
          <w:rPr>
            <w:noProof/>
            <w:webHidden/>
          </w:rPr>
          <w:tab/>
        </w:r>
        <w:r w:rsidR="00F42FDE">
          <w:rPr>
            <w:noProof/>
            <w:webHidden/>
          </w:rPr>
          <w:fldChar w:fldCharType="begin"/>
        </w:r>
        <w:r w:rsidR="00F42FDE">
          <w:rPr>
            <w:noProof/>
            <w:webHidden/>
          </w:rPr>
          <w:instrText xml:space="preserve"> PAGEREF _Toc530675207 \h </w:instrText>
        </w:r>
        <w:r w:rsidR="00F42FDE">
          <w:rPr>
            <w:noProof/>
            <w:webHidden/>
          </w:rPr>
        </w:r>
        <w:r w:rsidR="00F42FDE">
          <w:rPr>
            <w:noProof/>
            <w:webHidden/>
          </w:rPr>
          <w:fldChar w:fldCharType="separate"/>
        </w:r>
        <w:r w:rsidR="00F42FDE">
          <w:rPr>
            <w:noProof/>
            <w:webHidden/>
          </w:rPr>
          <w:t>6</w:t>
        </w:r>
        <w:r w:rsidR="00F42FDE">
          <w:rPr>
            <w:noProof/>
            <w:webHidden/>
          </w:rPr>
          <w:fldChar w:fldCharType="end"/>
        </w:r>
      </w:hyperlink>
    </w:p>
    <w:p w14:paraId="6CD91C8A" w14:textId="669109C2" w:rsidR="00F42FDE" w:rsidRDefault="00F956B4">
      <w:pPr>
        <w:pStyle w:val="TOC2"/>
        <w:rPr>
          <w:rFonts w:asciiTheme="minorHAnsi" w:eastAsiaTheme="minorEastAsia" w:hAnsiTheme="minorHAnsi" w:cstheme="minorBidi"/>
          <w:noProof/>
          <w:lang w:eastAsia="en-GB"/>
        </w:rPr>
      </w:pPr>
      <w:hyperlink w:anchor="_Toc530675208" w:history="1">
        <w:r w:rsidR="00F42FDE" w:rsidRPr="00C31C18">
          <w:rPr>
            <w:rStyle w:val="Hyperlink"/>
            <w:noProof/>
          </w:rPr>
          <w:t>3.6</w:t>
        </w:r>
        <w:r w:rsidR="00F42FDE">
          <w:rPr>
            <w:rFonts w:asciiTheme="minorHAnsi" w:eastAsiaTheme="minorEastAsia" w:hAnsiTheme="minorHAnsi" w:cstheme="minorBidi"/>
            <w:noProof/>
            <w:lang w:eastAsia="en-GB"/>
          </w:rPr>
          <w:tab/>
        </w:r>
        <w:r w:rsidR="00F42FDE" w:rsidRPr="00C31C18">
          <w:rPr>
            <w:rStyle w:val="Hyperlink"/>
            <w:noProof/>
          </w:rPr>
          <w:t>Validity Period</w:t>
        </w:r>
        <w:r w:rsidR="00F42FDE">
          <w:rPr>
            <w:noProof/>
            <w:webHidden/>
          </w:rPr>
          <w:tab/>
        </w:r>
        <w:r w:rsidR="00F42FDE">
          <w:rPr>
            <w:noProof/>
            <w:webHidden/>
          </w:rPr>
          <w:fldChar w:fldCharType="begin"/>
        </w:r>
        <w:r w:rsidR="00F42FDE">
          <w:rPr>
            <w:noProof/>
            <w:webHidden/>
          </w:rPr>
          <w:instrText xml:space="preserve"> PAGEREF _Toc530675208 \h </w:instrText>
        </w:r>
        <w:r w:rsidR="00F42FDE">
          <w:rPr>
            <w:noProof/>
            <w:webHidden/>
          </w:rPr>
        </w:r>
        <w:r w:rsidR="00F42FDE">
          <w:rPr>
            <w:noProof/>
            <w:webHidden/>
          </w:rPr>
          <w:fldChar w:fldCharType="separate"/>
        </w:r>
        <w:r w:rsidR="00F42FDE">
          <w:rPr>
            <w:noProof/>
            <w:webHidden/>
          </w:rPr>
          <w:t>6</w:t>
        </w:r>
        <w:r w:rsidR="00F42FDE">
          <w:rPr>
            <w:noProof/>
            <w:webHidden/>
          </w:rPr>
          <w:fldChar w:fldCharType="end"/>
        </w:r>
      </w:hyperlink>
    </w:p>
    <w:p w14:paraId="6028D264" w14:textId="2E0B8B48" w:rsidR="00F42FDE" w:rsidRDefault="00F956B4">
      <w:pPr>
        <w:pStyle w:val="TOC2"/>
        <w:rPr>
          <w:rFonts w:asciiTheme="minorHAnsi" w:eastAsiaTheme="minorEastAsia" w:hAnsiTheme="minorHAnsi" w:cstheme="minorBidi"/>
          <w:noProof/>
          <w:lang w:eastAsia="en-GB"/>
        </w:rPr>
      </w:pPr>
      <w:hyperlink w:anchor="_Toc530675209" w:history="1">
        <w:r w:rsidR="00F42FDE" w:rsidRPr="00C31C18">
          <w:rPr>
            <w:rStyle w:val="Hyperlink"/>
            <w:noProof/>
          </w:rPr>
          <w:t>3.7</w:t>
        </w:r>
        <w:r w:rsidR="00F42FDE">
          <w:rPr>
            <w:rFonts w:asciiTheme="minorHAnsi" w:eastAsiaTheme="minorEastAsia" w:hAnsiTheme="minorHAnsi" w:cstheme="minorBidi"/>
            <w:noProof/>
            <w:lang w:eastAsia="en-GB"/>
          </w:rPr>
          <w:tab/>
        </w:r>
        <w:r w:rsidR="00F42FDE" w:rsidRPr="00C31C18">
          <w:rPr>
            <w:rStyle w:val="Hyperlink"/>
            <w:noProof/>
          </w:rPr>
          <w:t>Procurement Timetable</w:t>
        </w:r>
        <w:r w:rsidR="00F42FDE">
          <w:rPr>
            <w:noProof/>
            <w:webHidden/>
          </w:rPr>
          <w:tab/>
        </w:r>
        <w:r w:rsidR="00F42FDE">
          <w:rPr>
            <w:noProof/>
            <w:webHidden/>
          </w:rPr>
          <w:fldChar w:fldCharType="begin"/>
        </w:r>
        <w:r w:rsidR="00F42FDE">
          <w:rPr>
            <w:noProof/>
            <w:webHidden/>
          </w:rPr>
          <w:instrText xml:space="preserve"> PAGEREF _Toc530675209 \h </w:instrText>
        </w:r>
        <w:r w:rsidR="00F42FDE">
          <w:rPr>
            <w:noProof/>
            <w:webHidden/>
          </w:rPr>
        </w:r>
        <w:r w:rsidR="00F42FDE">
          <w:rPr>
            <w:noProof/>
            <w:webHidden/>
          </w:rPr>
          <w:fldChar w:fldCharType="separate"/>
        </w:r>
        <w:r w:rsidR="00F42FDE">
          <w:rPr>
            <w:noProof/>
            <w:webHidden/>
          </w:rPr>
          <w:t>6</w:t>
        </w:r>
        <w:r w:rsidR="00F42FDE">
          <w:rPr>
            <w:noProof/>
            <w:webHidden/>
          </w:rPr>
          <w:fldChar w:fldCharType="end"/>
        </w:r>
      </w:hyperlink>
    </w:p>
    <w:p w14:paraId="191C34B3" w14:textId="0AA5CDE7" w:rsidR="00F42FDE" w:rsidRDefault="00F956B4">
      <w:pPr>
        <w:pStyle w:val="TOC2"/>
        <w:rPr>
          <w:rFonts w:asciiTheme="minorHAnsi" w:eastAsiaTheme="minorEastAsia" w:hAnsiTheme="minorHAnsi" w:cstheme="minorBidi"/>
          <w:noProof/>
          <w:lang w:eastAsia="en-GB"/>
        </w:rPr>
      </w:pPr>
      <w:hyperlink w:anchor="_Toc530675210" w:history="1">
        <w:r w:rsidR="00F42FDE" w:rsidRPr="00C31C18">
          <w:rPr>
            <w:rStyle w:val="Hyperlink"/>
            <w:noProof/>
          </w:rPr>
          <w:t>3.8</w:t>
        </w:r>
        <w:r w:rsidR="00F42FDE">
          <w:rPr>
            <w:rFonts w:asciiTheme="minorHAnsi" w:eastAsiaTheme="minorEastAsia" w:hAnsiTheme="minorHAnsi" w:cstheme="minorBidi"/>
            <w:noProof/>
            <w:lang w:eastAsia="en-GB"/>
          </w:rPr>
          <w:tab/>
        </w:r>
        <w:r w:rsidR="00F42FDE" w:rsidRPr="00C31C18">
          <w:rPr>
            <w:rStyle w:val="Hyperlink"/>
            <w:noProof/>
          </w:rPr>
          <w:t>Evaluation Approach</w:t>
        </w:r>
        <w:r w:rsidR="00F42FDE">
          <w:rPr>
            <w:noProof/>
            <w:webHidden/>
          </w:rPr>
          <w:tab/>
        </w:r>
        <w:r w:rsidR="00F42FDE">
          <w:rPr>
            <w:noProof/>
            <w:webHidden/>
          </w:rPr>
          <w:fldChar w:fldCharType="begin"/>
        </w:r>
        <w:r w:rsidR="00F42FDE">
          <w:rPr>
            <w:noProof/>
            <w:webHidden/>
          </w:rPr>
          <w:instrText xml:space="preserve"> PAGEREF _Toc530675210 \h </w:instrText>
        </w:r>
        <w:r w:rsidR="00F42FDE">
          <w:rPr>
            <w:noProof/>
            <w:webHidden/>
          </w:rPr>
        </w:r>
        <w:r w:rsidR="00F42FDE">
          <w:rPr>
            <w:noProof/>
            <w:webHidden/>
          </w:rPr>
          <w:fldChar w:fldCharType="separate"/>
        </w:r>
        <w:r w:rsidR="00F42FDE">
          <w:rPr>
            <w:noProof/>
            <w:webHidden/>
          </w:rPr>
          <w:t>7</w:t>
        </w:r>
        <w:r w:rsidR="00F42FDE">
          <w:rPr>
            <w:noProof/>
            <w:webHidden/>
          </w:rPr>
          <w:fldChar w:fldCharType="end"/>
        </w:r>
      </w:hyperlink>
    </w:p>
    <w:p w14:paraId="6A1E7FDB" w14:textId="136E7374" w:rsidR="00F42FDE" w:rsidRDefault="00F956B4">
      <w:pPr>
        <w:pStyle w:val="TOC2"/>
        <w:rPr>
          <w:rFonts w:asciiTheme="minorHAnsi" w:eastAsiaTheme="minorEastAsia" w:hAnsiTheme="minorHAnsi" w:cstheme="minorBidi"/>
          <w:noProof/>
          <w:lang w:eastAsia="en-GB"/>
        </w:rPr>
      </w:pPr>
      <w:hyperlink w:anchor="_Toc530675211" w:history="1">
        <w:r w:rsidR="00F42FDE" w:rsidRPr="00C31C18">
          <w:rPr>
            <w:rStyle w:val="Hyperlink"/>
            <w:noProof/>
          </w:rPr>
          <w:t>3.9</w:t>
        </w:r>
        <w:r w:rsidR="00F42FDE">
          <w:rPr>
            <w:rFonts w:asciiTheme="minorHAnsi" w:eastAsiaTheme="minorEastAsia" w:hAnsiTheme="minorHAnsi" w:cstheme="minorBidi"/>
            <w:noProof/>
            <w:lang w:eastAsia="en-GB"/>
          </w:rPr>
          <w:tab/>
        </w:r>
        <w:r w:rsidR="00F42FDE" w:rsidRPr="00C31C18">
          <w:rPr>
            <w:rStyle w:val="Hyperlink"/>
            <w:noProof/>
          </w:rPr>
          <w:t>Commercial / Price Evaluation</w:t>
        </w:r>
        <w:r w:rsidR="00F42FDE">
          <w:rPr>
            <w:noProof/>
            <w:webHidden/>
          </w:rPr>
          <w:tab/>
        </w:r>
        <w:r w:rsidR="00F42FDE">
          <w:rPr>
            <w:noProof/>
            <w:webHidden/>
          </w:rPr>
          <w:fldChar w:fldCharType="begin"/>
        </w:r>
        <w:r w:rsidR="00F42FDE">
          <w:rPr>
            <w:noProof/>
            <w:webHidden/>
          </w:rPr>
          <w:instrText xml:space="preserve"> PAGEREF _Toc530675211 \h </w:instrText>
        </w:r>
        <w:r w:rsidR="00F42FDE">
          <w:rPr>
            <w:noProof/>
            <w:webHidden/>
          </w:rPr>
        </w:r>
        <w:r w:rsidR="00F42FDE">
          <w:rPr>
            <w:noProof/>
            <w:webHidden/>
          </w:rPr>
          <w:fldChar w:fldCharType="separate"/>
        </w:r>
        <w:r w:rsidR="00F42FDE">
          <w:rPr>
            <w:noProof/>
            <w:webHidden/>
          </w:rPr>
          <w:t>7</w:t>
        </w:r>
        <w:r w:rsidR="00F42FDE">
          <w:rPr>
            <w:noProof/>
            <w:webHidden/>
          </w:rPr>
          <w:fldChar w:fldCharType="end"/>
        </w:r>
      </w:hyperlink>
    </w:p>
    <w:p w14:paraId="2F1BE3AE" w14:textId="40750E24" w:rsidR="00F42FDE" w:rsidRDefault="00F956B4">
      <w:pPr>
        <w:pStyle w:val="TOC2"/>
        <w:rPr>
          <w:rFonts w:asciiTheme="minorHAnsi" w:eastAsiaTheme="minorEastAsia" w:hAnsiTheme="minorHAnsi" w:cstheme="minorBidi"/>
          <w:noProof/>
          <w:lang w:eastAsia="en-GB"/>
        </w:rPr>
      </w:pPr>
      <w:hyperlink w:anchor="_Toc530675212" w:history="1">
        <w:r w:rsidR="00F42FDE" w:rsidRPr="00C31C18">
          <w:rPr>
            <w:rStyle w:val="Hyperlink"/>
            <w:noProof/>
          </w:rPr>
          <w:t>Section 4 – Conditions of Tender</w:t>
        </w:r>
        <w:r w:rsidR="00F42FDE">
          <w:rPr>
            <w:noProof/>
            <w:webHidden/>
          </w:rPr>
          <w:tab/>
        </w:r>
        <w:r w:rsidR="00F42FDE">
          <w:rPr>
            <w:noProof/>
            <w:webHidden/>
          </w:rPr>
          <w:fldChar w:fldCharType="begin"/>
        </w:r>
        <w:r w:rsidR="00F42FDE">
          <w:rPr>
            <w:noProof/>
            <w:webHidden/>
          </w:rPr>
          <w:instrText xml:space="preserve"> PAGEREF _Toc530675212 \h </w:instrText>
        </w:r>
        <w:r w:rsidR="00F42FDE">
          <w:rPr>
            <w:noProof/>
            <w:webHidden/>
          </w:rPr>
        </w:r>
        <w:r w:rsidR="00F42FDE">
          <w:rPr>
            <w:noProof/>
            <w:webHidden/>
          </w:rPr>
          <w:fldChar w:fldCharType="separate"/>
        </w:r>
        <w:r w:rsidR="00F42FDE">
          <w:rPr>
            <w:noProof/>
            <w:webHidden/>
          </w:rPr>
          <w:t>8</w:t>
        </w:r>
        <w:r w:rsidR="00F42FDE">
          <w:rPr>
            <w:noProof/>
            <w:webHidden/>
          </w:rPr>
          <w:fldChar w:fldCharType="end"/>
        </w:r>
      </w:hyperlink>
    </w:p>
    <w:p w14:paraId="5BFA4BFF" w14:textId="3352CD99" w:rsidR="00F42FDE" w:rsidRDefault="00F956B4">
      <w:pPr>
        <w:pStyle w:val="TOC2"/>
        <w:rPr>
          <w:rFonts w:asciiTheme="minorHAnsi" w:eastAsiaTheme="minorEastAsia" w:hAnsiTheme="minorHAnsi" w:cstheme="minorBidi"/>
          <w:noProof/>
          <w:lang w:eastAsia="en-GB"/>
        </w:rPr>
      </w:pPr>
      <w:hyperlink w:anchor="_Toc530675214" w:history="1">
        <w:r w:rsidR="00F42FDE" w:rsidRPr="00C31C18">
          <w:rPr>
            <w:rStyle w:val="Hyperlink"/>
            <w:noProof/>
          </w:rPr>
          <w:t>4.1</w:t>
        </w:r>
        <w:r w:rsidR="00F42FDE">
          <w:rPr>
            <w:rFonts w:asciiTheme="minorHAnsi" w:eastAsiaTheme="minorEastAsia" w:hAnsiTheme="minorHAnsi" w:cstheme="minorBidi"/>
            <w:noProof/>
            <w:lang w:eastAsia="en-GB"/>
          </w:rPr>
          <w:tab/>
        </w:r>
        <w:r w:rsidR="00F42FDE" w:rsidRPr="00C31C18">
          <w:rPr>
            <w:rStyle w:val="Hyperlink"/>
            <w:noProof/>
          </w:rPr>
          <w:t>Authority’s Warranties and Disclaimers</w:t>
        </w:r>
        <w:r w:rsidR="00F42FDE">
          <w:rPr>
            <w:noProof/>
            <w:webHidden/>
          </w:rPr>
          <w:tab/>
        </w:r>
        <w:r w:rsidR="00F42FDE">
          <w:rPr>
            <w:noProof/>
            <w:webHidden/>
          </w:rPr>
          <w:fldChar w:fldCharType="begin"/>
        </w:r>
        <w:r w:rsidR="00F42FDE">
          <w:rPr>
            <w:noProof/>
            <w:webHidden/>
          </w:rPr>
          <w:instrText xml:space="preserve"> PAGEREF _Toc530675214 \h </w:instrText>
        </w:r>
        <w:r w:rsidR="00F42FDE">
          <w:rPr>
            <w:noProof/>
            <w:webHidden/>
          </w:rPr>
        </w:r>
        <w:r w:rsidR="00F42FDE">
          <w:rPr>
            <w:noProof/>
            <w:webHidden/>
          </w:rPr>
          <w:fldChar w:fldCharType="separate"/>
        </w:r>
        <w:r w:rsidR="00F42FDE">
          <w:rPr>
            <w:noProof/>
            <w:webHidden/>
          </w:rPr>
          <w:t>8</w:t>
        </w:r>
        <w:r w:rsidR="00F42FDE">
          <w:rPr>
            <w:noProof/>
            <w:webHidden/>
          </w:rPr>
          <w:fldChar w:fldCharType="end"/>
        </w:r>
      </w:hyperlink>
    </w:p>
    <w:p w14:paraId="2C4261E9" w14:textId="42BAAAA7" w:rsidR="00F42FDE" w:rsidRDefault="00F956B4">
      <w:pPr>
        <w:pStyle w:val="TOC2"/>
        <w:rPr>
          <w:rFonts w:asciiTheme="minorHAnsi" w:eastAsiaTheme="minorEastAsia" w:hAnsiTheme="minorHAnsi" w:cstheme="minorBidi"/>
          <w:noProof/>
          <w:lang w:eastAsia="en-GB"/>
        </w:rPr>
      </w:pPr>
      <w:hyperlink w:anchor="_Toc530675215" w:history="1">
        <w:r w:rsidR="00F42FDE" w:rsidRPr="00C31C18">
          <w:rPr>
            <w:rStyle w:val="Hyperlink"/>
            <w:noProof/>
          </w:rPr>
          <w:t>4.2</w:t>
        </w:r>
        <w:r w:rsidR="00F42FDE">
          <w:rPr>
            <w:rFonts w:asciiTheme="minorHAnsi" w:eastAsiaTheme="minorEastAsia" w:hAnsiTheme="minorHAnsi" w:cstheme="minorBidi"/>
            <w:noProof/>
            <w:lang w:eastAsia="en-GB"/>
          </w:rPr>
          <w:tab/>
        </w:r>
        <w:r w:rsidR="00F42FDE" w:rsidRPr="00C31C18">
          <w:rPr>
            <w:rStyle w:val="Hyperlink"/>
            <w:noProof/>
          </w:rPr>
          <w:t>Bribery Act</w:t>
        </w:r>
        <w:r w:rsidR="00F42FDE">
          <w:rPr>
            <w:noProof/>
            <w:webHidden/>
          </w:rPr>
          <w:tab/>
        </w:r>
        <w:r w:rsidR="00F42FDE">
          <w:rPr>
            <w:noProof/>
            <w:webHidden/>
          </w:rPr>
          <w:fldChar w:fldCharType="begin"/>
        </w:r>
        <w:r w:rsidR="00F42FDE">
          <w:rPr>
            <w:noProof/>
            <w:webHidden/>
          </w:rPr>
          <w:instrText xml:space="preserve"> PAGEREF _Toc530675215 \h </w:instrText>
        </w:r>
        <w:r w:rsidR="00F42FDE">
          <w:rPr>
            <w:noProof/>
            <w:webHidden/>
          </w:rPr>
        </w:r>
        <w:r w:rsidR="00F42FDE">
          <w:rPr>
            <w:noProof/>
            <w:webHidden/>
          </w:rPr>
          <w:fldChar w:fldCharType="separate"/>
        </w:r>
        <w:r w:rsidR="00F42FDE">
          <w:rPr>
            <w:noProof/>
            <w:webHidden/>
          </w:rPr>
          <w:t>8</w:t>
        </w:r>
        <w:r w:rsidR="00F42FDE">
          <w:rPr>
            <w:noProof/>
            <w:webHidden/>
          </w:rPr>
          <w:fldChar w:fldCharType="end"/>
        </w:r>
      </w:hyperlink>
    </w:p>
    <w:p w14:paraId="09B2ED2E" w14:textId="7EEC64C0" w:rsidR="00F42FDE" w:rsidRDefault="00F956B4">
      <w:pPr>
        <w:pStyle w:val="TOC2"/>
        <w:rPr>
          <w:rFonts w:asciiTheme="minorHAnsi" w:eastAsiaTheme="minorEastAsia" w:hAnsiTheme="minorHAnsi" w:cstheme="minorBidi"/>
          <w:noProof/>
          <w:lang w:eastAsia="en-GB"/>
        </w:rPr>
      </w:pPr>
      <w:hyperlink w:anchor="_Toc530675216" w:history="1">
        <w:r w:rsidR="00F42FDE" w:rsidRPr="00C31C18">
          <w:rPr>
            <w:rStyle w:val="Hyperlink"/>
            <w:noProof/>
          </w:rPr>
          <w:t>4.3</w:t>
        </w:r>
        <w:r w:rsidR="00F42FDE">
          <w:rPr>
            <w:rFonts w:asciiTheme="minorHAnsi" w:eastAsiaTheme="minorEastAsia" w:hAnsiTheme="minorHAnsi" w:cstheme="minorBidi"/>
            <w:noProof/>
            <w:lang w:eastAsia="en-GB"/>
          </w:rPr>
          <w:tab/>
        </w:r>
        <w:r w:rsidR="00F42FDE" w:rsidRPr="00C31C18">
          <w:rPr>
            <w:rStyle w:val="Hyperlink"/>
            <w:noProof/>
          </w:rPr>
          <w:t>Public Services (Social Value) Act</w:t>
        </w:r>
        <w:r w:rsidR="00F42FDE">
          <w:rPr>
            <w:noProof/>
            <w:webHidden/>
          </w:rPr>
          <w:tab/>
        </w:r>
        <w:r w:rsidR="00F42FDE">
          <w:rPr>
            <w:noProof/>
            <w:webHidden/>
          </w:rPr>
          <w:fldChar w:fldCharType="begin"/>
        </w:r>
        <w:r w:rsidR="00F42FDE">
          <w:rPr>
            <w:noProof/>
            <w:webHidden/>
          </w:rPr>
          <w:instrText xml:space="preserve"> PAGEREF _Toc530675216 \h </w:instrText>
        </w:r>
        <w:r w:rsidR="00F42FDE">
          <w:rPr>
            <w:noProof/>
            <w:webHidden/>
          </w:rPr>
        </w:r>
        <w:r w:rsidR="00F42FDE">
          <w:rPr>
            <w:noProof/>
            <w:webHidden/>
          </w:rPr>
          <w:fldChar w:fldCharType="separate"/>
        </w:r>
        <w:r w:rsidR="00F42FDE">
          <w:rPr>
            <w:noProof/>
            <w:webHidden/>
          </w:rPr>
          <w:t>8</w:t>
        </w:r>
        <w:r w:rsidR="00F42FDE">
          <w:rPr>
            <w:noProof/>
            <w:webHidden/>
          </w:rPr>
          <w:fldChar w:fldCharType="end"/>
        </w:r>
      </w:hyperlink>
    </w:p>
    <w:p w14:paraId="3041C6C4" w14:textId="4608F320" w:rsidR="00F42FDE" w:rsidRDefault="00F956B4">
      <w:pPr>
        <w:pStyle w:val="TOC2"/>
        <w:rPr>
          <w:rFonts w:asciiTheme="minorHAnsi" w:eastAsiaTheme="minorEastAsia" w:hAnsiTheme="minorHAnsi" w:cstheme="minorBidi"/>
          <w:noProof/>
          <w:lang w:eastAsia="en-GB"/>
        </w:rPr>
      </w:pPr>
      <w:hyperlink w:anchor="_Toc530675217" w:history="1">
        <w:r w:rsidR="00F42FDE" w:rsidRPr="00C31C18">
          <w:rPr>
            <w:rStyle w:val="Hyperlink"/>
            <w:noProof/>
          </w:rPr>
          <w:t>4.4</w:t>
        </w:r>
        <w:r w:rsidR="00F42FDE">
          <w:rPr>
            <w:rFonts w:asciiTheme="minorHAnsi" w:eastAsiaTheme="minorEastAsia" w:hAnsiTheme="minorHAnsi" w:cstheme="minorBidi"/>
            <w:noProof/>
            <w:lang w:eastAsia="en-GB"/>
          </w:rPr>
          <w:tab/>
        </w:r>
        <w:r w:rsidR="00F42FDE" w:rsidRPr="00C31C18">
          <w:rPr>
            <w:rStyle w:val="Hyperlink"/>
            <w:noProof/>
          </w:rPr>
          <w:t>Freedom of Information Act 2000 and Environmental Information Regulations 2004 and Data Protection Act 2018</w:t>
        </w:r>
        <w:r w:rsidR="00F42FDE">
          <w:rPr>
            <w:noProof/>
            <w:webHidden/>
          </w:rPr>
          <w:tab/>
        </w:r>
        <w:r w:rsidR="00F42FDE">
          <w:rPr>
            <w:noProof/>
            <w:webHidden/>
          </w:rPr>
          <w:fldChar w:fldCharType="begin"/>
        </w:r>
        <w:r w:rsidR="00F42FDE">
          <w:rPr>
            <w:noProof/>
            <w:webHidden/>
          </w:rPr>
          <w:instrText xml:space="preserve"> PAGEREF _Toc530675217 \h </w:instrText>
        </w:r>
        <w:r w:rsidR="00F42FDE">
          <w:rPr>
            <w:noProof/>
            <w:webHidden/>
          </w:rPr>
        </w:r>
        <w:r w:rsidR="00F42FDE">
          <w:rPr>
            <w:noProof/>
            <w:webHidden/>
          </w:rPr>
          <w:fldChar w:fldCharType="separate"/>
        </w:r>
        <w:r w:rsidR="00F42FDE">
          <w:rPr>
            <w:noProof/>
            <w:webHidden/>
          </w:rPr>
          <w:t>9</w:t>
        </w:r>
        <w:r w:rsidR="00F42FDE">
          <w:rPr>
            <w:noProof/>
            <w:webHidden/>
          </w:rPr>
          <w:fldChar w:fldCharType="end"/>
        </w:r>
      </w:hyperlink>
    </w:p>
    <w:p w14:paraId="66732ADD" w14:textId="486A008D" w:rsidR="00F42FDE" w:rsidRDefault="00F956B4">
      <w:pPr>
        <w:pStyle w:val="TOC2"/>
        <w:rPr>
          <w:rFonts w:asciiTheme="minorHAnsi" w:eastAsiaTheme="minorEastAsia" w:hAnsiTheme="minorHAnsi" w:cstheme="minorBidi"/>
          <w:noProof/>
          <w:lang w:eastAsia="en-GB"/>
        </w:rPr>
      </w:pPr>
      <w:hyperlink w:anchor="_Toc530675218" w:history="1">
        <w:r w:rsidR="00F42FDE" w:rsidRPr="00C31C18">
          <w:rPr>
            <w:rStyle w:val="Hyperlink"/>
            <w:noProof/>
          </w:rPr>
          <w:t>4.5</w:t>
        </w:r>
        <w:r w:rsidR="00F42FDE">
          <w:rPr>
            <w:rFonts w:asciiTheme="minorHAnsi" w:eastAsiaTheme="minorEastAsia" w:hAnsiTheme="minorHAnsi" w:cstheme="minorBidi"/>
            <w:noProof/>
            <w:lang w:eastAsia="en-GB"/>
          </w:rPr>
          <w:tab/>
        </w:r>
        <w:r w:rsidR="00F42FDE" w:rsidRPr="00C31C18">
          <w:rPr>
            <w:rStyle w:val="Hyperlink"/>
            <w:noProof/>
          </w:rPr>
          <w:t>Transparency in Local Government</w:t>
        </w:r>
        <w:r w:rsidR="00F42FDE">
          <w:rPr>
            <w:noProof/>
            <w:webHidden/>
          </w:rPr>
          <w:tab/>
        </w:r>
        <w:r w:rsidR="00F42FDE">
          <w:rPr>
            <w:noProof/>
            <w:webHidden/>
          </w:rPr>
          <w:fldChar w:fldCharType="begin"/>
        </w:r>
        <w:r w:rsidR="00F42FDE">
          <w:rPr>
            <w:noProof/>
            <w:webHidden/>
          </w:rPr>
          <w:instrText xml:space="preserve"> PAGEREF _Toc530675218 \h </w:instrText>
        </w:r>
        <w:r w:rsidR="00F42FDE">
          <w:rPr>
            <w:noProof/>
            <w:webHidden/>
          </w:rPr>
        </w:r>
        <w:r w:rsidR="00F42FDE">
          <w:rPr>
            <w:noProof/>
            <w:webHidden/>
          </w:rPr>
          <w:fldChar w:fldCharType="separate"/>
        </w:r>
        <w:r w:rsidR="00F42FDE">
          <w:rPr>
            <w:noProof/>
            <w:webHidden/>
          </w:rPr>
          <w:t>9</w:t>
        </w:r>
        <w:r w:rsidR="00F42FDE">
          <w:rPr>
            <w:noProof/>
            <w:webHidden/>
          </w:rPr>
          <w:fldChar w:fldCharType="end"/>
        </w:r>
      </w:hyperlink>
    </w:p>
    <w:p w14:paraId="6B403C12" w14:textId="5DDB1C5D" w:rsidR="00F42FDE" w:rsidRDefault="00F956B4">
      <w:pPr>
        <w:pStyle w:val="TOC2"/>
        <w:rPr>
          <w:rFonts w:asciiTheme="minorHAnsi" w:eastAsiaTheme="minorEastAsia" w:hAnsiTheme="minorHAnsi" w:cstheme="minorBidi"/>
          <w:noProof/>
          <w:lang w:eastAsia="en-GB"/>
        </w:rPr>
      </w:pPr>
      <w:hyperlink w:anchor="_Toc530675219" w:history="1">
        <w:r w:rsidR="00F42FDE" w:rsidRPr="00C31C18">
          <w:rPr>
            <w:rStyle w:val="Hyperlink"/>
            <w:noProof/>
          </w:rPr>
          <w:t>4.6</w:t>
        </w:r>
        <w:r w:rsidR="00F42FDE">
          <w:rPr>
            <w:rFonts w:asciiTheme="minorHAnsi" w:eastAsiaTheme="minorEastAsia" w:hAnsiTheme="minorHAnsi" w:cstheme="minorBidi"/>
            <w:noProof/>
            <w:lang w:eastAsia="en-GB"/>
          </w:rPr>
          <w:tab/>
        </w:r>
        <w:r w:rsidR="00F42FDE" w:rsidRPr="00C31C18">
          <w:rPr>
            <w:rStyle w:val="Hyperlink"/>
            <w:noProof/>
          </w:rPr>
          <w:t>GDPR and Data Protection Act 2018</w:t>
        </w:r>
        <w:r w:rsidR="00F42FDE">
          <w:rPr>
            <w:noProof/>
            <w:webHidden/>
          </w:rPr>
          <w:tab/>
        </w:r>
        <w:r w:rsidR="00F42FDE">
          <w:rPr>
            <w:noProof/>
            <w:webHidden/>
          </w:rPr>
          <w:fldChar w:fldCharType="begin"/>
        </w:r>
        <w:r w:rsidR="00F42FDE">
          <w:rPr>
            <w:noProof/>
            <w:webHidden/>
          </w:rPr>
          <w:instrText xml:space="preserve"> PAGEREF _Toc530675219 \h </w:instrText>
        </w:r>
        <w:r w:rsidR="00F42FDE">
          <w:rPr>
            <w:noProof/>
            <w:webHidden/>
          </w:rPr>
        </w:r>
        <w:r w:rsidR="00F42FDE">
          <w:rPr>
            <w:noProof/>
            <w:webHidden/>
          </w:rPr>
          <w:fldChar w:fldCharType="separate"/>
        </w:r>
        <w:r w:rsidR="00F42FDE">
          <w:rPr>
            <w:noProof/>
            <w:webHidden/>
          </w:rPr>
          <w:t>9</w:t>
        </w:r>
        <w:r w:rsidR="00F42FDE">
          <w:rPr>
            <w:noProof/>
            <w:webHidden/>
          </w:rPr>
          <w:fldChar w:fldCharType="end"/>
        </w:r>
      </w:hyperlink>
    </w:p>
    <w:p w14:paraId="1A4D6BF0" w14:textId="662DA081" w:rsidR="00F42FDE" w:rsidRDefault="00F956B4">
      <w:pPr>
        <w:pStyle w:val="TOC2"/>
        <w:rPr>
          <w:rFonts w:asciiTheme="minorHAnsi" w:eastAsiaTheme="minorEastAsia" w:hAnsiTheme="minorHAnsi" w:cstheme="minorBidi"/>
          <w:noProof/>
          <w:lang w:eastAsia="en-GB"/>
        </w:rPr>
      </w:pPr>
      <w:hyperlink w:anchor="_Toc530675220" w:history="1">
        <w:r w:rsidR="00F42FDE" w:rsidRPr="00C31C18">
          <w:rPr>
            <w:rStyle w:val="Hyperlink"/>
            <w:noProof/>
          </w:rPr>
          <w:t>4.7</w:t>
        </w:r>
        <w:r w:rsidR="00F42FDE">
          <w:rPr>
            <w:rFonts w:asciiTheme="minorHAnsi" w:eastAsiaTheme="minorEastAsia" w:hAnsiTheme="minorHAnsi" w:cstheme="minorBidi"/>
            <w:noProof/>
            <w:lang w:eastAsia="en-GB"/>
          </w:rPr>
          <w:tab/>
        </w:r>
        <w:r w:rsidR="00F42FDE" w:rsidRPr="00C31C18">
          <w:rPr>
            <w:rStyle w:val="Hyperlink"/>
            <w:noProof/>
          </w:rPr>
          <w:t>Counter Terrorism and Security Act 2015</w:t>
        </w:r>
        <w:r w:rsidR="00F42FDE">
          <w:rPr>
            <w:noProof/>
            <w:webHidden/>
          </w:rPr>
          <w:tab/>
        </w:r>
        <w:r w:rsidR="00F42FDE">
          <w:rPr>
            <w:noProof/>
            <w:webHidden/>
          </w:rPr>
          <w:fldChar w:fldCharType="begin"/>
        </w:r>
        <w:r w:rsidR="00F42FDE">
          <w:rPr>
            <w:noProof/>
            <w:webHidden/>
          </w:rPr>
          <w:instrText xml:space="preserve"> PAGEREF _Toc530675220 \h </w:instrText>
        </w:r>
        <w:r w:rsidR="00F42FDE">
          <w:rPr>
            <w:noProof/>
            <w:webHidden/>
          </w:rPr>
        </w:r>
        <w:r w:rsidR="00F42FDE">
          <w:rPr>
            <w:noProof/>
            <w:webHidden/>
          </w:rPr>
          <w:fldChar w:fldCharType="separate"/>
        </w:r>
        <w:r w:rsidR="00F42FDE">
          <w:rPr>
            <w:noProof/>
            <w:webHidden/>
          </w:rPr>
          <w:t>10</w:t>
        </w:r>
        <w:r w:rsidR="00F42FDE">
          <w:rPr>
            <w:noProof/>
            <w:webHidden/>
          </w:rPr>
          <w:fldChar w:fldCharType="end"/>
        </w:r>
      </w:hyperlink>
    </w:p>
    <w:p w14:paraId="27329128" w14:textId="6F8512B4" w:rsidR="00F42FDE" w:rsidRDefault="00F956B4">
      <w:pPr>
        <w:pStyle w:val="TOC2"/>
        <w:rPr>
          <w:rFonts w:asciiTheme="minorHAnsi" w:eastAsiaTheme="minorEastAsia" w:hAnsiTheme="minorHAnsi" w:cstheme="minorBidi"/>
          <w:noProof/>
          <w:lang w:eastAsia="en-GB"/>
        </w:rPr>
      </w:pPr>
      <w:hyperlink w:anchor="_Toc530675221" w:history="1">
        <w:r w:rsidR="00F42FDE" w:rsidRPr="00C31C18">
          <w:rPr>
            <w:rStyle w:val="Hyperlink"/>
            <w:noProof/>
          </w:rPr>
          <w:t>4.8</w:t>
        </w:r>
        <w:r w:rsidR="00F42FDE">
          <w:rPr>
            <w:rFonts w:asciiTheme="minorHAnsi" w:eastAsiaTheme="minorEastAsia" w:hAnsiTheme="minorHAnsi" w:cstheme="minorBidi"/>
            <w:noProof/>
            <w:lang w:eastAsia="en-GB"/>
          </w:rPr>
          <w:tab/>
        </w:r>
        <w:r w:rsidR="00F42FDE" w:rsidRPr="00C31C18">
          <w:rPr>
            <w:rStyle w:val="Hyperlink"/>
            <w:noProof/>
          </w:rPr>
          <w:t>Modern Slavery Act 2015</w:t>
        </w:r>
        <w:r w:rsidR="00F42FDE">
          <w:rPr>
            <w:noProof/>
            <w:webHidden/>
          </w:rPr>
          <w:tab/>
        </w:r>
        <w:r w:rsidR="00F42FDE">
          <w:rPr>
            <w:noProof/>
            <w:webHidden/>
          </w:rPr>
          <w:fldChar w:fldCharType="begin"/>
        </w:r>
        <w:r w:rsidR="00F42FDE">
          <w:rPr>
            <w:noProof/>
            <w:webHidden/>
          </w:rPr>
          <w:instrText xml:space="preserve"> PAGEREF _Toc530675221 \h </w:instrText>
        </w:r>
        <w:r w:rsidR="00F42FDE">
          <w:rPr>
            <w:noProof/>
            <w:webHidden/>
          </w:rPr>
        </w:r>
        <w:r w:rsidR="00F42FDE">
          <w:rPr>
            <w:noProof/>
            <w:webHidden/>
          </w:rPr>
          <w:fldChar w:fldCharType="separate"/>
        </w:r>
        <w:r w:rsidR="00F42FDE">
          <w:rPr>
            <w:noProof/>
            <w:webHidden/>
          </w:rPr>
          <w:t>10</w:t>
        </w:r>
        <w:r w:rsidR="00F42FDE">
          <w:rPr>
            <w:noProof/>
            <w:webHidden/>
          </w:rPr>
          <w:fldChar w:fldCharType="end"/>
        </w:r>
      </w:hyperlink>
    </w:p>
    <w:p w14:paraId="59F7837F" w14:textId="05713A8E" w:rsidR="00F42FDE" w:rsidRDefault="00F956B4">
      <w:pPr>
        <w:pStyle w:val="TOC2"/>
        <w:rPr>
          <w:rFonts w:asciiTheme="minorHAnsi" w:eastAsiaTheme="minorEastAsia" w:hAnsiTheme="minorHAnsi" w:cstheme="minorBidi"/>
          <w:noProof/>
          <w:lang w:eastAsia="en-GB"/>
        </w:rPr>
      </w:pPr>
      <w:hyperlink w:anchor="_Toc530675222" w:history="1">
        <w:r w:rsidR="00F42FDE" w:rsidRPr="00C31C18">
          <w:rPr>
            <w:rStyle w:val="Hyperlink"/>
            <w:noProof/>
          </w:rPr>
          <w:t>4.9</w:t>
        </w:r>
        <w:r w:rsidR="00F42FDE">
          <w:rPr>
            <w:rFonts w:asciiTheme="minorHAnsi" w:eastAsiaTheme="minorEastAsia" w:hAnsiTheme="minorHAnsi" w:cstheme="minorBidi"/>
            <w:noProof/>
            <w:lang w:eastAsia="en-GB"/>
          </w:rPr>
          <w:tab/>
        </w:r>
        <w:r w:rsidR="00F42FDE" w:rsidRPr="00C31C18">
          <w:rPr>
            <w:rStyle w:val="Hyperlink"/>
            <w:noProof/>
          </w:rPr>
          <w:t>Late Payment Directive 2015</w:t>
        </w:r>
        <w:r w:rsidR="00F42FDE">
          <w:rPr>
            <w:noProof/>
            <w:webHidden/>
          </w:rPr>
          <w:tab/>
        </w:r>
        <w:r w:rsidR="00F42FDE">
          <w:rPr>
            <w:noProof/>
            <w:webHidden/>
          </w:rPr>
          <w:fldChar w:fldCharType="begin"/>
        </w:r>
        <w:r w:rsidR="00F42FDE">
          <w:rPr>
            <w:noProof/>
            <w:webHidden/>
          </w:rPr>
          <w:instrText xml:space="preserve"> PAGEREF _Toc530675222 \h </w:instrText>
        </w:r>
        <w:r w:rsidR="00F42FDE">
          <w:rPr>
            <w:noProof/>
            <w:webHidden/>
          </w:rPr>
        </w:r>
        <w:r w:rsidR="00F42FDE">
          <w:rPr>
            <w:noProof/>
            <w:webHidden/>
          </w:rPr>
          <w:fldChar w:fldCharType="separate"/>
        </w:r>
        <w:r w:rsidR="00F42FDE">
          <w:rPr>
            <w:noProof/>
            <w:webHidden/>
          </w:rPr>
          <w:t>10</w:t>
        </w:r>
        <w:r w:rsidR="00F42FDE">
          <w:rPr>
            <w:noProof/>
            <w:webHidden/>
          </w:rPr>
          <w:fldChar w:fldCharType="end"/>
        </w:r>
      </w:hyperlink>
    </w:p>
    <w:p w14:paraId="077C826C" w14:textId="09B3B24B" w:rsidR="00F42FDE" w:rsidRDefault="00F956B4">
      <w:pPr>
        <w:pStyle w:val="TOC2"/>
        <w:rPr>
          <w:rFonts w:asciiTheme="minorHAnsi" w:eastAsiaTheme="minorEastAsia" w:hAnsiTheme="minorHAnsi" w:cstheme="minorBidi"/>
          <w:noProof/>
          <w:lang w:eastAsia="en-GB"/>
        </w:rPr>
      </w:pPr>
      <w:hyperlink w:anchor="_Toc530675223" w:history="1">
        <w:r w:rsidR="00F42FDE" w:rsidRPr="00C31C18">
          <w:rPr>
            <w:rStyle w:val="Hyperlink"/>
            <w:noProof/>
          </w:rPr>
          <w:t>4.10</w:t>
        </w:r>
        <w:r w:rsidR="00F42FDE">
          <w:rPr>
            <w:rFonts w:asciiTheme="minorHAnsi" w:eastAsiaTheme="minorEastAsia" w:hAnsiTheme="minorHAnsi" w:cstheme="minorBidi"/>
            <w:noProof/>
            <w:lang w:eastAsia="en-GB"/>
          </w:rPr>
          <w:tab/>
        </w:r>
        <w:r w:rsidR="00F42FDE" w:rsidRPr="00C31C18">
          <w:rPr>
            <w:rStyle w:val="Hyperlink"/>
            <w:noProof/>
          </w:rPr>
          <w:t>Study of the Document</w:t>
        </w:r>
        <w:r w:rsidR="00F42FDE">
          <w:rPr>
            <w:noProof/>
            <w:webHidden/>
          </w:rPr>
          <w:tab/>
        </w:r>
        <w:r w:rsidR="00F42FDE">
          <w:rPr>
            <w:noProof/>
            <w:webHidden/>
          </w:rPr>
          <w:fldChar w:fldCharType="begin"/>
        </w:r>
        <w:r w:rsidR="00F42FDE">
          <w:rPr>
            <w:noProof/>
            <w:webHidden/>
          </w:rPr>
          <w:instrText xml:space="preserve"> PAGEREF _Toc530675223 \h </w:instrText>
        </w:r>
        <w:r w:rsidR="00F42FDE">
          <w:rPr>
            <w:noProof/>
            <w:webHidden/>
          </w:rPr>
        </w:r>
        <w:r w:rsidR="00F42FDE">
          <w:rPr>
            <w:noProof/>
            <w:webHidden/>
          </w:rPr>
          <w:fldChar w:fldCharType="separate"/>
        </w:r>
        <w:r w:rsidR="00F42FDE">
          <w:rPr>
            <w:noProof/>
            <w:webHidden/>
          </w:rPr>
          <w:t>10</w:t>
        </w:r>
        <w:r w:rsidR="00F42FDE">
          <w:rPr>
            <w:noProof/>
            <w:webHidden/>
          </w:rPr>
          <w:fldChar w:fldCharType="end"/>
        </w:r>
      </w:hyperlink>
    </w:p>
    <w:p w14:paraId="4EA41032" w14:textId="43F6488E" w:rsidR="00F42FDE" w:rsidRDefault="00F956B4">
      <w:pPr>
        <w:pStyle w:val="TOC2"/>
        <w:rPr>
          <w:rFonts w:asciiTheme="minorHAnsi" w:eastAsiaTheme="minorEastAsia" w:hAnsiTheme="minorHAnsi" w:cstheme="minorBidi"/>
          <w:noProof/>
          <w:lang w:eastAsia="en-GB"/>
        </w:rPr>
      </w:pPr>
      <w:hyperlink w:anchor="_Toc530675224" w:history="1">
        <w:r w:rsidR="00F42FDE" w:rsidRPr="00C31C18">
          <w:rPr>
            <w:rStyle w:val="Hyperlink"/>
            <w:noProof/>
          </w:rPr>
          <w:t>4.11</w:t>
        </w:r>
        <w:r w:rsidR="00F42FDE">
          <w:rPr>
            <w:rFonts w:asciiTheme="minorHAnsi" w:eastAsiaTheme="minorEastAsia" w:hAnsiTheme="minorHAnsi" w:cstheme="minorBidi"/>
            <w:noProof/>
            <w:lang w:eastAsia="en-GB"/>
          </w:rPr>
          <w:tab/>
        </w:r>
        <w:r w:rsidR="00F42FDE" w:rsidRPr="00C31C18">
          <w:rPr>
            <w:rStyle w:val="Hyperlink"/>
            <w:noProof/>
          </w:rPr>
          <w:t>Consortia and Sub-contracting</w:t>
        </w:r>
        <w:r w:rsidR="00F42FDE">
          <w:rPr>
            <w:noProof/>
            <w:webHidden/>
          </w:rPr>
          <w:tab/>
        </w:r>
        <w:r w:rsidR="00F42FDE">
          <w:rPr>
            <w:noProof/>
            <w:webHidden/>
          </w:rPr>
          <w:fldChar w:fldCharType="begin"/>
        </w:r>
        <w:r w:rsidR="00F42FDE">
          <w:rPr>
            <w:noProof/>
            <w:webHidden/>
          </w:rPr>
          <w:instrText xml:space="preserve"> PAGEREF _Toc530675224 \h </w:instrText>
        </w:r>
        <w:r w:rsidR="00F42FDE">
          <w:rPr>
            <w:noProof/>
            <w:webHidden/>
          </w:rPr>
        </w:r>
        <w:r w:rsidR="00F42FDE">
          <w:rPr>
            <w:noProof/>
            <w:webHidden/>
          </w:rPr>
          <w:fldChar w:fldCharType="separate"/>
        </w:r>
        <w:r w:rsidR="00F42FDE">
          <w:rPr>
            <w:noProof/>
            <w:webHidden/>
          </w:rPr>
          <w:t>11</w:t>
        </w:r>
        <w:r w:rsidR="00F42FDE">
          <w:rPr>
            <w:noProof/>
            <w:webHidden/>
          </w:rPr>
          <w:fldChar w:fldCharType="end"/>
        </w:r>
      </w:hyperlink>
    </w:p>
    <w:p w14:paraId="070E3964" w14:textId="467791E6" w:rsidR="00F42FDE" w:rsidRDefault="00F956B4">
      <w:pPr>
        <w:pStyle w:val="TOC2"/>
        <w:rPr>
          <w:rFonts w:asciiTheme="minorHAnsi" w:eastAsiaTheme="minorEastAsia" w:hAnsiTheme="minorHAnsi" w:cstheme="minorBidi"/>
          <w:noProof/>
          <w:lang w:eastAsia="en-GB"/>
        </w:rPr>
      </w:pPr>
      <w:hyperlink w:anchor="_Toc530675225" w:history="1">
        <w:r w:rsidR="00F42FDE" w:rsidRPr="00C31C18">
          <w:rPr>
            <w:rStyle w:val="Hyperlink"/>
            <w:noProof/>
          </w:rPr>
          <w:t>4.12</w:t>
        </w:r>
        <w:r w:rsidR="00F42FDE">
          <w:rPr>
            <w:rFonts w:asciiTheme="minorHAnsi" w:eastAsiaTheme="minorEastAsia" w:hAnsiTheme="minorHAnsi" w:cstheme="minorBidi"/>
            <w:noProof/>
            <w:lang w:eastAsia="en-GB"/>
          </w:rPr>
          <w:tab/>
        </w:r>
        <w:r w:rsidR="00F42FDE" w:rsidRPr="00C31C18">
          <w:rPr>
            <w:rStyle w:val="Hyperlink"/>
            <w:noProof/>
          </w:rPr>
          <w:t>Ownership</w:t>
        </w:r>
        <w:r w:rsidR="00F42FDE">
          <w:rPr>
            <w:noProof/>
            <w:webHidden/>
          </w:rPr>
          <w:tab/>
        </w:r>
        <w:r w:rsidR="00F42FDE">
          <w:rPr>
            <w:noProof/>
            <w:webHidden/>
          </w:rPr>
          <w:fldChar w:fldCharType="begin"/>
        </w:r>
        <w:r w:rsidR="00F42FDE">
          <w:rPr>
            <w:noProof/>
            <w:webHidden/>
          </w:rPr>
          <w:instrText xml:space="preserve"> PAGEREF _Toc530675225 \h </w:instrText>
        </w:r>
        <w:r w:rsidR="00F42FDE">
          <w:rPr>
            <w:noProof/>
            <w:webHidden/>
          </w:rPr>
        </w:r>
        <w:r w:rsidR="00F42FDE">
          <w:rPr>
            <w:noProof/>
            <w:webHidden/>
          </w:rPr>
          <w:fldChar w:fldCharType="separate"/>
        </w:r>
        <w:r w:rsidR="00F42FDE">
          <w:rPr>
            <w:noProof/>
            <w:webHidden/>
          </w:rPr>
          <w:t>12</w:t>
        </w:r>
        <w:r w:rsidR="00F42FDE">
          <w:rPr>
            <w:noProof/>
            <w:webHidden/>
          </w:rPr>
          <w:fldChar w:fldCharType="end"/>
        </w:r>
      </w:hyperlink>
    </w:p>
    <w:p w14:paraId="47BC6208" w14:textId="6063D6A9" w:rsidR="00F42FDE" w:rsidRDefault="00F956B4">
      <w:pPr>
        <w:pStyle w:val="TOC2"/>
        <w:rPr>
          <w:rFonts w:asciiTheme="minorHAnsi" w:eastAsiaTheme="minorEastAsia" w:hAnsiTheme="minorHAnsi" w:cstheme="minorBidi"/>
          <w:noProof/>
          <w:lang w:eastAsia="en-GB"/>
        </w:rPr>
      </w:pPr>
      <w:hyperlink w:anchor="_Toc530675226" w:history="1">
        <w:r w:rsidR="00F42FDE" w:rsidRPr="00C31C18">
          <w:rPr>
            <w:rStyle w:val="Hyperlink"/>
            <w:noProof/>
          </w:rPr>
          <w:t>4.13</w:t>
        </w:r>
        <w:r w:rsidR="00F42FDE">
          <w:rPr>
            <w:rFonts w:asciiTheme="minorHAnsi" w:eastAsiaTheme="minorEastAsia" w:hAnsiTheme="minorHAnsi" w:cstheme="minorBidi"/>
            <w:noProof/>
            <w:lang w:eastAsia="en-GB"/>
          </w:rPr>
          <w:tab/>
        </w:r>
        <w:r w:rsidR="00F42FDE" w:rsidRPr="00C31C18">
          <w:rPr>
            <w:rStyle w:val="Hyperlink"/>
            <w:noProof/>
          </w:rPr>
          <w:t>Discrepancies, Omissions and Enquiries concerning the Documents</w:t>
        </w:r>
        <w:r w:rsidR="00F42FDE">
          <w:rPr>
            <w:noProof/>
            <w:webHidden/>
          </w:rPr>
          <w:tab/>
        </w:r>
        <w:r w:rsidR="00F42FDE">
          <w:rPr>
            <w:noProof/>
            <w:webHidden/>
          </w:rPr>
          <w:fldChar w:fldCharType="begin"/>
        </w:r>
        <w:r w:rsidR="00F42FDE">
          <w:rPr>
            <w:noProof/>
            <w:webHidden/>
          </w:rPr>
          <w:instrText xml:space="preserve"> PAGEREF _Toc530675226 \h </w:instrText>
        </w:r>
        <w:r w:rsidR="00F42FDE">
          <w:rPr>
            <w:noProof/>
            <w:webHidden/>
          </w:rPr>
        </w:r>
        <w:r w:rsidR="00F42FDE">
          <w:rPr>
            <w:noProof/>
            <w:webHidden/>
          </w:rPr>
          <w:fldChar w:fldCharType="separate"/>
        </w:r>
        <w:r w:rsidR="00F42FDE">
          <w:rPr>
            <w:noProof/>
            <w:webHidden/>
          </w:rPr>
          <w:t>12</w:t>
        </w:r>
        <w:r w:rsidR="00F42FDE">
          <w:rPr>
            <w:noProof/>
            <w:webHidden/>
          </w:rPr>
          <w:fldChar w:fldCharType="end"/>
        </w:r>
      </w:hyperlink>
    </w:p>
    <w:p w14:paraId="2109A94C" w14:textId="039056E6" w:rsidR="00F42FDE" w:rsidRDefault="00F956B4">
      <w:pPr>
        <w:pStyle w:val="TOC2"/>
        <w:rPr>
          <w:rFonts w:asciiTheme="minorHAnsi" w:eastAsiaTheme="minorEastAsia" w:hAnsiTheme="minorHAnsi" w:cstheme="minorBidi"/>
          <w:noProof/>
          <w:lang w:eastAsia="en-GB"/>
        </w:rPr>
      </w:pPr>
      <w:hyperlink w:anchor="_Toc530675227" w:history="1">
        <w:r w:rsidR="00F42FDE" w:rsidRPr="00C31C18">
          <w:rPr>
            <w:rStyle w:val="Hyperlink"/>
            <w:noProof/>
          </w:rPr>
          <w:t>4.14</w:t>
        </w:r>
        <w:r w:rsidR="00F42FDE">
          <w:rPr>
            <w:rFonts w:asciiTheme="minorHAnsi" w:eastAsiaTheme="minorEastAsia" w:hAnsiTheme="minorHAnsi" w:cstheme="minorBidi"/>
            <w:noProof/>
            <w:lang w:eastAsia="en-GB"/>
          </w:rPr>
          <w:tab/>
        </w:r>
        <w:r w:rsidR="00F42FDE" w:rsidRPr="00C31C18">
          <w:rPr>
            <w:rStyle w:val="Hyperlink"/>
            <w:bCs/>
            <w:noProof/>
          </w:rPr>
          <w:t xml:space="preserve">Terms </w:t>
        </w:r>
        <w:r w:rsidR="00F42FDE" w:rsidRPr="00C31C18">
          <w:rPr>
            <w:rStyle w:val="Hyperlink"/>
            <w:noProof/>
          </w:rPr>
          <w:t>and</w:t>
        </w:r>
        <w:r w:rsidR="00F42FDE" w:rsidRPr="00C31C18">
          <w:rPr>
            <w:rStyle w:val="Hyperlink"/>
            <w:bCs/>
            <w:noProof/>
          </w:rPr>
          <w:t xml:space="preserve"> Conditions</w:t>
        </w:r>
        <w:r w:rsidR="00F42FDE">
          <w:rPr>
            <w:noProof/>
            <w:webHidden/>
          </w:rPr>
          <w:tab/>
        </w:r>
        <w:r w:rsidR="00F42FDE">
          <w:rPr>
            <w:noProof/>
            <w:webHidden/>
          </w:rPr>
          <w:fldChar w:fldCharType="begin"/>
        </w:r>
        <w:r w:rsidR="00F42FDE">
          <w:rPr>
            <w:noProof/>
            <w:webHidden/>
          </w:rPr>
          <w:instrText xml:space="preserve"> PAGEREF _Toc530675227 \h </w:instrText>
        </w:r>
        <w:r w:rsidR="00F42FDE">
          <w:rPr>
            <w:noProof/>
            <w:webHidden/>
          </w:rPr>
        </w:r>
        <w:r w:rsidR="00F42FDE">
          <w:rPr>
            <w:noProof/>
            <w:webHidden/>
          </w:rPr>
          <w:fldChar w:fldCharType="separate"/>
        </w:r>
        <w:r w:rsidR="00F42FDE">
          <w:rPr>
            <w:noProof/>
            <w:webHidden/>
          </w:rPr>
          <w:t>12</w:t>
        </w:r>
        <w:r w:rsidR="00F42FDE">
          <w:rPr>
            <w:noProof/>
            <w:webHidden/>
          </w:rPr>
          <w:fldChar w:fldCharType="end"/>
        </w:r>
      </w:hyperlink>
    </w:p>
    <w:p w14:paraId="0AB07AAA" w14:textId="71978E55" w:rsidR="00F42FDE" w:rsidRDefault="00F956B4">
      <w:pPr>
        <w:pStyle w:val="TOC2"/>
        <w:rPr>
          <w:rFonts w:asciiTheme="minorHAnsi" w:eastAsiaTheme="minorEastAsia" w:hAnsiTheme="minorHAnsi" w:cstheme="minorBidi"/>
          <w:noProof/>
          <w:lang w:eastAsia="en-GB"/>
        </w:rPr>
      </w:pPr>
      <w:hyperlink w:anchor="_Toc530675228" w:history="1">
        <w:r w:rsidR="00F42FDE" w:rsidRPr="00C31C18">
          <w:rPr>
            <w:rStyle w:val="Hyperlink"/>
            <w:bCs/>
            <w:noProof/>
          </w:rPr>
          <w:t>4.15</w:t>
        </w:r>
        <w:r w:rsidR="00F42FDE">
          <w:rPr>
            <w:rFonts w:asciiTheme="minorHAnsi" w:eastAsiaTheme="minorEastAsia" w:hAnsiTheme="minorHAnsi" w:cstheme="minorBidi"/>
            <w:noProof/>
            <w:lang w:eastAsia="en-GB"/>
          </w:rPr>
          <w:tab/>
        </w:r>
        <w:r w:rsidR="00F42FDE" w:rsidRPr="00C31C18">
          <w:rPr>
            <w:rStyle w:val="Hyperlink"/>
            <w:bCs/>
            <w:noProof/>
          </w:rPr>
          <w:t>Clarification and Circular Advices</w:t>
        </w:r>
        <w:r w:rsidR="00F42FDE">
          <w:rPr>
            <w:noProof/>
            <w:webHidden/>
          </w:rPr>
          <w:tab/>
        </w:r>
        <w:r w:rsidR="00F42FDE">
          <w:rPr>
            <w:noProof/>
            <w:webHidden/>
          </w:rPr>
          <w:fldChar w:fldCharType="begin"/>
        </w:r>
        <w:r w:rsidR="00F42FDE">
          <w:rPr>
            <w:noProof/>
            <w:webHidden/>
          </w:rPr>
          <w:instrText xml:space="preserve"> PAGEREF _Toc530675228 \h </w:instrText>
        </w:r>
        <w:r w:rsidR="00F42FDE">
          <w:rPr>
            <w:noProof/>
            <w:webHidden/>
          </w:rPr>
        </w:r>
        <w:r w:rsidR="00F42FDE">
          <w:rPr>
            <w:noProof/>
            <w:webHidden/>
          </w:rPr>
          <w:fldChar w:fldCharType="separate"/>
        </w:r>
        <w:r w:rsidR="00F42FDE">
          <w:rPr>
            <w:noProof/>
            <w:webHidden/>
          </w:rPr>
          <w:t>13</w:t>
        </w:r>
        <w:r w:rsidR="00F42FDE">
          <w:rPr>
            <w:noProof/>
            <w:webHidden/>
          </w:rPr>
          <w:fldChar w:fldCharType="end"/>
        </w:r>
      </w:hyperlink>
    </w:p>
    <w:p w14:paraId="2F5E8C1F" w14:textId="67351738" w:rsidR="00F42FDE" w:rsidRDefault="00F956B4">
      <w:pPr>
        <w:pStyle w:val="TOC2"/>
        <w:rPr>
          <w:rFonts w:asciiTheme="minorHAnsi" w:eastAsiaTheme="minorEastAsia" w:hAnsiTheme="minorHAnsi" w:cstheme="minorBidi"/>
          <w:noProof/>
          <w:lang w:eastAsia="en-GB"/>
        </w:rPr>
      </w:pPr>
      <w:hyperlink w:anchor="_Toc530675229" w:history="1">
        <w:r w:rsidR="00F42FDE" w:rsidRPr="00C31C18">
          <w:rPr>
            <w:rStyle w:val="Hyperlink"/>
            <w:bCs/>
            <w:noProof/>
          </w:rPr>
          <w:t>4.16</w:t>
        </w:r>
        <w:r w:rsidR="00F42FDE">
          <w:rPr>
            <w:rFonts w:asciiTheme="minorHAnsi" w:eastAsiaTheme="minorEastAsia" w:hAnsiTheme="minorHAnsi" w:cstheme="minorBidi"/>
            <w:noProof/>
            <w:lang w:eastAsia="en-GB"/>
          </w:rPr>
          <w:tab/>
        </w:r>
        <w:r w:rsidR="00F42FDE" w:rsidRPr="00C31C18">
          <w:rPr>
            <w:rStyle w:val="Hyperlink"/>
            <w:bCs/>
            <w:noProof/>
          </w:rPr>
          <w:t>Completion of the Document</w:t>
        </w:r>
        <w:r w:rsidR="00F42FDE">
          <w:rPr>
            <w:noProof/>
            <w:webHidden/>
          </w:rPr>
          <w:tab/>
        </w:r>
        <w:r w:rsidR="00F42FDE">
          <w:rPr>
            <w:noProof/>
            <w:webHidden/>
          </w:rPr>
          <w:fldChar w:fldCharType="begin"/>
        </w:r>
        <w:r w:rsidR="00F42FDE">
          <w:rPr>
            <w:noProof/>
            <w:webHidden/>
          </w:rPr>
          <w:instrText xml:space="preserve"> PAGEREF _Toc530675229 \h </w:instrText>
        </w:r>
        <w:r w:rsidR="00F42FDE">
          <w:rPr>
            <w:noProof/>
            <w:webHidden/>
          </w:rPr>
        </w:r>
        <w:r w:rsidR="00F42FDE">
          <w:rPr>
            <w:noProof/>
            <w:webHidden/>
          </w:rPr>
          <w:fldChar w:fldCharType="separate"/>
        </w:r>
        <w:r w:rsidR="00F42FDE">
          <w:rPr>
            <w:noProof/>
            <w:webHidden/>
          </w:rPr>
          <w:t>13</w:t>
        </w:r>
        <w:r w:rsidR="00F42FDE">
          <w:rPr>
            <w:noProof/>
            <w:webHidden/>
          </w:rPr>
          <w:fldChar w:fldCharType="end"/>
        </w:r>
      </w:hyperlink>
    </w:p>
    <w:p w14:paraId="59325C39" w14:textId="09BBAE31" w:rsidR="00F42FDE" w:rsidRDefault="00F956B4">
      <w:pPr>
        <w:pStyle w:val="TOC2"/>
        <w:rPr>
          <w:rFonts w:asciiTheme="minorHAnsi" w:eastAsiaTheme="minorEastAsia" w:hAnsiTheme="minorHAnsi" w:cstheme="minorBidi"/>
          <w:noProof/>
          <w:lang w:eastAsia="en-GB"/>
        </w:rPr>
      </w:pPr>
      <w:hyperlink w:anchor="_Toc530675230" w:history="1">
        <w:r w:rsidR="00F42FDE" w:rsidRPr="00C31C18">
          <w:rPr>
            <w:rStyle w:val="Hyperlink"/>
            <w:noProof/>
          </w:rPr>
          <w:t>4.17</w:t>
        </w:r>
        <w:r w:rsidR="00F42FDE">
          <w:rPr>
            <w:rFonts w:asciiTheme="minorHAnsi" w:eastAsiaTheme="minorEastAsia" w:hAnsiTheme="minorHAnsi" w:cstheme="minorBidi"/>
            <w:noProof/>
            <w:lang w:eastAsia="en-GB"/>
          </w:rPr>
          <w:tab/>
        </w:r>
        <w:r w:rsidR="00F42FDE" w:rsidRPr="00C31C18">
          <w:rPr>
            <w:rStyle w:val="Hyperlink"/>
            <w:bCs/>
            <w:noProof/>
          </w:rPr>
          <w:t>Applicant</w:t>
        </w:r>
        <w:r w:rsidR="00F42FDE" w:rsidRPr="00C31C18">
          <w:rPr>
            <w:rStyle w:val="Hyperlink"/>
            <w:noProof/>
          </w:rPr>
          <w:t xml:space="preserve"> Site Visits</w:t>
        </w:r>
        <w:r w:rsidR="00F42FDE">
          <w:rPr>
            <w:noProof/>
            <w:webHidden/>
          </w:rPr>
          <w:tab/>
        </w:r>
        <w:r w:rsidR="00F42FDE">
          <w:rPr>
            <w:noProof/>
            <w:webHidden/>
          </w:rPr>
          <w:fldChar w:fldCharType="begin"/>
        </w:r>
        <w:r w:rsidR="00F42FDE">
          <w:rPr>
            <w:noProof/>
            <w:webHidden/>
          </w:rPr>
          <w:instrText xml:space="preserve"> PAGEREF _Toc530675230 \h </w:instrText>
        </w:r>
        <w:r w:rsidR="00F42FDE">
          <w:rPr>
            <w:noProof/>
            <w:webHidden/>
          </w:rPr>
        </w:r>
        <w:r w:rsidR="00F42FDE">
          <w:rPr>
            <w:noProof/>
            <w:webHidden/>
          </w:rPr>
          <w:fldChar w:fldCharType="separate"/>
        </w:r>
        <w:r w:rsidR="00F42FDE">
          <w:rPr>
            <w:noProof/>
            <w:webHidden/>
          </w:rPr>
          <w:t>14</w:t>
        </w:r>
        <w:r w:rsidR="00F42FDE">
          <w:rPr>
            <w:noProof/>
            <w:webHidden/>
          </w:rPr>
          <w:fldChar w:fldCharType="end"/>
        </w:r>
      </w:hyperlink>
    </w:p>
    <w:p w14:paraId="7C08E42D" w14:textId="57398CCE" w:rsidR="00F42FDE" w:rsidRDefault="00F956B4">
      <w:pPr>
        <w:pStyle w:val="TOC2"/>
        <w:rPr>
          <w:rFonts w:asciiTheme="minorHAnsi" w:eastAsiaTheme="minorEastAsia" w:hAnsiTheme="minorHAnsi" w:cstheme="minorBidi"/>
          <w:noProof/>
          <w:lang w:eastAsia="en-GB"/>
        </w:rPr>
      </w:pPr>
      <w:hyperlink w:anchor="_Toc530675231" w:history="1">
        <w:r w:rsidR="00F42FDE" w:rsidRPr="00C31C18">
          <w:rPr>
            <w:rStyle w:val="Hyperlink"/>
            <w:noProof/>
          </w:rPr>
          <w:t>4.18</w:t>
        </w:r>
        <w:r w:rsidR="00F42FDE">
          <w:rPr>
            <w:rFonts w:asciiTheme="minorHAnsi" w:eastAsiaTheme="minorEastAsia" w:hAnsiTheme="minorHAnsi" w:cstheme="minorBidi"/>
            <w:noProof/>
            <w:lang w:eastAsia="en-GB"/>
          </w:rPr>
          <w:tab/>
        </w:r>
        <w:r w:rsidR="00F42FDE" w:rsidRPr="00C31C18">
          <w:rPr>
            <w:rStyle w:val="Hyperlink"/>
            <w:noProof/>
            <w:snapToGrid w:val="0"/>
          </w:rPr>
          <w:t xml:space="preserve">Alternatives and </w:t>
        </w:r>
        <w:r w:rsidR="00F42FDE" w:rsidRPr="00C31C18">
          <w:rPr>
            <w:rStyle w:val="Hyperlink"/>
            <w:bCs/>
            <w:noProof/>
          </w:rPr>
          <w:t>Variations</w:t>
        </w:r>
        <w:r w:rsidR="00F42FDE">
          <w:rPr>
            <w:noProof/>
            <w:webHidden/>
          </w:rPr>
          <w:tab/>
        </w:r>
        <w:r w:rsidR="00F42FDE">
          <w:rPr>
            <w:noProof/>
            <w:webHidden/>
          </w:rPr>
          <w:fldChar w:fldCharType="begin"/>
        </w:r>
        <w:r w:rsidR="00F42FDE">
          <w:rPr>
            <w:noProof/>
            <w:webHidden/>
          </w:rPr>
          <w:instrText xml:space="preserve"> PAGEREF _Toc530675231 \h </w:instrText>
        </w:r>
        <w:r w:rsidR="00F42FDE">
          <w:rPr>
            <w:noProof/>
            <w:webHidden/>
          </w:rPr>
        </w:r>
        <w:r w:rsidR="00F42FDE">
          <w:rPr>
            <w:noProof/>
            <w:webHidden/>
          </w:rPr>
          <w:fldChar w:fldCharType="separate"/>
        </w:r>
        <w:r w:rsidR="00F42FDE">
          <w:rPr>
            <w:noProof/>
            <w:webHidden/>
          </w:rPr>
          <w:t>14</w:t>
        </w:r>
        <w:r w:rsidR="00F42FDE">
          <w:rPr>
            <w:noProof/>
            <w:webHidden/>
          </w:rPr>
          <w:fldChar w:fldCharType="end"/>
        </w:r>
      </w:hyperlink>
    </w:p>
    <w:p w14:paraId="7C267AA5" w14:textId="58BE83C5" w:rsidR="00F42FDE" w:rsidRDefault="00F956B4">
      <w:pPr>
        <w:pStyle w:val="TOC2"/>
        <w:rPr>
          <w:rFonts w:asciiTheme="minorHAnsi" w:eastAsiaTheme="minorEastAsia" w:hAnsiTheme="minorHAnsi" w:cstheme="minorBidi"/>
          <w:noProof/>
          <w:lang w:eastAsia="en-GB"/>
        </w:rPr>
      </w:pPr>
      <w:hyperlink w:anchor="_Toc530675232" w:history="1">
        <w:r w:rsidR="00F42FDE" w:rsidRPr="00C31C18">
          <w:rPr>
            <w:rStyle w:val="Hyperlink"/>
            <w:noProof/>
          </w:rPr>
          <w:t>4.19</w:t>
        </w:r>
        <w:r w:rsidR="00F42FDE">
          <w:rPr>
            <w:rFonts w:asciiTheme="minorHAnsi" w:eastAsiaTheme="minorEastAsia" w:hAnsiTheme="minorHAnsi" w:cstheme="minorBidi"/>
            <w:noProof/>
            <w:lang w:eastAsia="en-GB"/>
          </w:rPr>
          <w:tab/>
        </w:r>
        <w:r w:rsidR="00F42FDE" w:rsidRPr="00C31C18">
          <w:rPr>
            <w:rStyle w:val="Hyperlink"/>
            <w:noProof/>
          </w:rPr>
          <w:t xml:space="preserve">Return of </w:t>
        </w:r>
        <w:r w:rsidR="00F42FDE" w:rsidRPr="00C31C18">
          <w:rPr>
            <w:rStyle w:val="Hyperlink"/>
            <w:noProof/>
            <w:snapToGrid w:val="0"/>
          </w:rPr>
          <w:t>Document</w:t>
        </w:r>
        <w:r w:rsidR="00F42FDE">
          <w:rPr>
            <w:noProof/>
            <w:webHidden/>
          </w:rPr>
          <w:tab/>
        </w:r>
        <w:r w:rsidR="00F42FDE">
          <w:rPr>
            <w:noProof/>
            <w:webHidden/>
          </w:rPr>
          <w:fldChar w:fldCharType="begin"/>
        </w:r>
        <w:r w:rsidR="00F42FDE">
          <w:rPr>
            <w:noProof/>
            <w:webHidden/>
          </w:rPr>
          <w:instrText xml:space="preserve"> PAGEREF _Toc530675232 \h </w:instrText>
        </w:r>
        <w:r w:rsidR="00F42FDE">
          <w:rPr>
            <w:noProof/>
            <w:webHidden/>
          </w:rPr>
        </w:r>
        <w:r w:rsidR="00F42FDE">
          <w:rPr>
            <w:noProof/>
            <w:webHidden/>
          </w:rPr>
          <w:fldChar w:fldCharType="separate"/>
        </w:r>
        <w:r w:rsidR="00F42FDE">
          <w:rPr>
            <w:noProof/>
            <w:webHidden/>
          </w:rPr>
          <w:t>14</w:t>
        </w:r>
        <w:r w:rsidR="00F42FDE">
          <w:rPr>
            <w:noProof/>
            <w:webHidden/>
          </w:rPr>
          <w:fldChar w:fldCharType="end"/>
        </w:r>
      </w:hyperlink>
    </w:p>
    <w:p w14:paraId="6B3C0626" w14:textId="6EC6767D" w:rsidR="00F42FDE" w:rsidRDefault="00F956B4">
      <w:pPr>
        <w:pStyle w:val="TOC2"/>
        <w:rPr>
          <w:rFonts w:asciiTheme="minorHAnsi" w:eastAsiaTheme="minorEastAsia" w:hAnsiTheme="minorHAnsi" w:cstheme="minorBidi"/>
          <w:noProof/>
          <w:lang w:eastAsia="en-GB"/>
        </w:rPr>
      </w:pPr>
      <w:hyperlink w:anchor="_Toc530675233" w:history="1">
        <w:r w:rsidR="00F42FDE" w:rsidRPr="00C31C18">
          <w:rPr>
            <w:rStyle w:val="Hyperlink"/>
            <w:noProof/>
            <w:kern w:val="28"/>
          </w:rPr>
          <w:t>4.20</w:t>
        </w:r>
        <w:r w:rsidR="00F42FDE">
          <w:rPr>
            <w:rFonts w:asciiTheme="minorHAnsi" w:eastAsiaTheme="minorEastAsia" w:hAnsiTheme="minorHAnsi" w:cstheme="minorBidi"/>
            <w:noProof/>
            <w:lang w:eastAsia="en-GB"/>
          </w:rPr>
          <w:tab/>
        </w:r>
        <w:r w:rsidR="00F42FDE" w:rsidRPr="00C31C18">
          <w:rPr>
            <w:rStyle w:val="Hyperlink"/>
            <w:noProof/>
          </w:rPr>
          <w:t>Applicant’s Warranties</w:t>
        </w:r>
        <w:r w:rsidR="00F42FDE">
          <w:rPr>
            <w:noProof/>
            <w:webHidden/>
          </w:rPr>
          <w:tab/>
        </w:r>
        <w:r w:rsidR="00F42FDE">
          <w:rPr>
            <w:noProof/>
            <w:webHidden/>
          </w:rPr>
          <w:fldChar w:fldCharType="begin"/>
        </w:r>
        <w:r w:rsidR="00F42FDE">
          <w:rPr>
            <w:noProof/>
            <w:webHidden/>
          </w:rPr>
          <w:instrText xml:space="preserve"> PAGEREF _Toc530675233 \h </w:instrText>
        </w:r>
        <w:r w:rsidR="00F42FDE">
          <w:rPr>
            <w:noProof/>
            <w:webHidden/>
          </w:rPr>
        </w:r>
        <w:r w:rsidR="00F42FDE">
          <w:rPr>
            <w:noProof/>
            <w:webHidden/>
          </w:rPr>
          <w:fldChar w:fldCharType="separate"/>
        </w:r>
        <w:r w:rsidR="00F42FDE">
          <w:rPr>
            <w:noProof/>
            <w:webHidden/>
          </w:rPr>
          <w:t>15</w:t>
        </w:r>
        <w:r w:rsidR="00F42FDE">
          <w:rPr>
            <w:noProof/>
            <w:webHidden/>
          </w:rPr>
          <w:fldChar w:fldCharType="end"/>
        </w:r>
      </w:hyperlink>
    </w:p>
    <w:p w14:paraId="78C4C388" w14:textId="4629A765" w:rsidR="00F42FDE" w:rsidRDefault="00F956B4">
      <w:pPr>
        <w:pStyle w:val="TOC2"/>
        <w:rPr>
          <w:rFonts w:asciiTheme="minorHAnsi" w:eastAsiaTheme="minorEastAsia" w:hAnsiTheme="minorHAnsi" w:cstheme="minorBidi"/>
          <w:noProof/>
          <w:lang w:eastAsia="en-GB"/>
        </w:rPr>
      </w:pPr>
      <w:hyperlink w:anchor="_Toc530675234" w:history="1">
        <w:r w:rsidR="00F42FDE" w:rsidRPr="00C31C18">
          <w:rPr>
            <w:rStyle w:val="Hyperlink"/>
            <w:noProof/>
          </w:rPr>
          <w:t>4.21</w:t>
        </w:r>
        <w:r w:rsidR="00F42FDE">
          <w:rPr>
            <w:rFonts w:asciiTheme="minorHAnsi" w:eastAsiaTheme="minorEastAsia" w:hAnsiTheme="minorHAnsi" w:cstheme="minorBidi"/>
            <w:noProof/>
            <w:lang w:eastAsia="en-GB"/>
          </w:rPr>
          <w:tab/>
        </w:r>
        <w:r w:rsidR="00F42FDE" w:rsidRPr="00C31C18">
          <w:rPr>
            <w:rStyle w:val="Hyperlink"/>
            <w:noProof/>
          </w:rPr>
          <w:t>Evaluation of Bids</w:t>
        </w:r>
        <w:r w:rsidR="00F42FDE">
          <w:rPr>
            <w:noProof/>
            <w:webHidden/>
          </w:rPr>
          <w:tab/>
        </w:r>
        <w:r w:rsidR="00F42FDE">
          <w:rPr>
            <w:noProof/>
            <w:webHidden/>
          </w:rPr>
          <w:fldChar w:fldCharType="begin"/>
        </w:r>
        <w:r w:rsidR="00F42FDE">
          <w:rPr>
            <w:noProof/>
            <w:webHidden/>
          </w:rPr>
          <w:instrText xml:space="preserve"> PAGEREF _Toc530675234 \h </w:instrText>
        </w:r>
        <w:r w:rsidR="00F42FDE">
          <w:rPr>
            <w:noProof/>
            <w:webHidden/>
          </w:rPr>
        </w:r>
        <w:r w:rsidR="00F42FDE">
          <w:rPr>
            <w:noProof/>
            <w:webHidden/>
          </w:rPr>
          <w:fldChar w:fldCharType="separate"/>
        </w:r>
        <w:r w:rsidR="00F42FDE">
          <w:rPr>
            <w:noProof/>
            <w:webHidden/>
          </w:rPr>
          <w:t>15</w:t>
        </w:r>
        <w:r w:rsidR="00F42FDE">
          <w:rPr>
            <w:noProof/>
            <w:webHidden/>
          </w:rPr>
          <w:fldChar w:fldCharType="end"/>
        </w:r>
      </w:hyperlink>
    </w:p>
    <w:p w14:paraId="2F8E2F9E" w14:textId="268B017B" w:rsidR="00F42FDE" w:rsidRDefault="00F956B4">
      <w:pPr>
        <w:pStyle w:val="TOC2"/>
        <w:rPr>
          <w:rFonts w:asciiTheme="minorHAnsi" w:eastAsiaTheme="minorEastAsia" w:hAnsiTheme="minorHAnsi" w:cstheme="minorBidi"/>
          <w:noProof/>
          <w:lang w:eastAsia="en-GB"/>
        </w:rPr>
      </w:pPr>
      <w:hyperlink w:anchor="_Toc530675235" w:history="1">
        <w:r w:rsidR="00F42FDE" w:rsidRPr="00C31C18">
          <w:rPr>
            <w:rStyle w:val="Hyperlink"/>
            <w:noProof/>
          </w:rPr>
          <w:t>4.22</w:t>
        </w:r>
        <w:r w:rsidR="00F42FDE">
          <w:rPr>
            <w:rFonts w:asciiTheme="minorHAnsi" w:eastAsiaTheme="minorEastAsia" w:hAnsiTheme="minorHAnsi" w:cstheme="minorBidi"/>
            <w:noProof/>
            <w:lang w:eastAsia="en-GB"/>
          </w:rPr>
          <w:tab/>
        </w:r>
        <w:r w:rsidR="00F42FDE" w:rsidRPr="00C31C18">
          <w:rPr>
            <w:rStyle w:val="Hyperlink"/>
            <w:noProof/>
          </w:rPr>
          <w:t>Applicant’s Price</w:t>
        </w:r>
        <w:r w:rsidR="00F42FDE">
          <w:rPr>
            <w:noProof/>
            <w:webHidden/>
          </w:rPr>
          <w:tab/>
        </w:r>
        <w:r w:rsidR="00F42FDE">
          <w:rPr>
            <w:noProof/>
            <w:webHidden/>
          </w:rPr>
          <w:fldChar w:fldCharType="begin"/>
        </w:r>
        <w:r w:rsidR="00F42FDE">
          <w:rPr>
            <w:noProof/>
            <w:webHidden/>
          </w:rPr>
          <w:instrText xml:space="preserve"> PAGEREF _Toc530675235 \h </w:instrText>
        </w:r>
        <w:r w:rsidR="00F42FDE">
          <w:rPr>
            <w:noProof/>
            <w:webHidden/>
          </w:rPr>
        </w:r>
        <w:r w:rsidR="00F42FDE">
          <w:rPr>
            <w:noProof/>
            <w:webHidden/>
          </w:rPr>
          <w:fldChar w:fldCharType="separate"/>
        </w:r>
        <w:r w:rsidR="00F42FDE">
          <w:rPr>
            <w:noProof/>
            <w:webHidden/>
          </w:rPr>
          <w:t>15</w:t>
        </w:r>
        <w:r w:rsidR="00F42FDE">
          <w:rPr>
            <w:noProof/>
            <w:webHidden/>
          </w:rPr>
          <w:fldChar w:fldCharType="end"/>
        </w:r>
      </w:hyperlink>
    </w:p>
    <w:p w14:paraId="7CC599EF" w14:textId="7A2C1451" w:rsidR="00F42FDE" w:rsidRDefault="00F956B4">
      <w:pPr>
        <w:pStyle w:val="TOC2"/>
        <w:rPr>
          <w:rFonts w:asciiTheme="minorHAnsi" w:eastAsiaTheme="minorEastAsia" w:hAnsiTheme="minorHAnsi" w:cstheme="minorBidi"/>
          <w:noProof/>
          <w:lang w:eastAsia="en-GB"/>
        </w:rPr>
      </w:pPr>
      <w:hyperlink w:anchor="_Toc530675236" w:history="1">
        <w:r w:rsidR="00F42FDE" w:rsidRPr="00C31C18">
          <w:rPr>
            <w:rStyle w:val="Hyperlink"/>
            <w:noProof/>
          </w:rPr>
          <w:t>4.23</w:t>
        </w:r>
        <w:r w:rsidR="00F42FDE">
          <w:rPr>
            <w:rFonts w:asciiTheme="minorHAnsi" w:eastAsiaTheme="minorEastAsia" w:hAnsiTheme="minorHAnsi" w:cstheme="minorBidi"/>
            <w:noProof/>
            <w:lang w:eastAsia="en-GB"/>
          </w:rPr>
          <w:tab/>
        </w:r>
        <w:r w:rsidR="00F42FDE" w:rsidRPr="00C31C18">
          <w:rPr>
            <w:rStyle w:val="Hyperlink"/>
            <w:noProof/>
          </w:rPr>
          <w:t>Errors and Omissions in the Applicant’s Bid</w:t>
        </w:r>
        <w:r w:rsidR="00F42FDE">
          <w:rPr>
            <w:noProof/>
            <w:webHidden/>
          </w:rPr>
          <w:tab/>
        </w:r>
        <w:r w:rsidR="00F42FDE">
          <w:rPr>
            <w:noProof/>
            <w:webHidden/>
          </w:rPr>
          <w:fldChar w:fldCharType="begin"/>
        </w:r>
        <w:r w:rsidR="00F42FDE">
          <w:rPr>
            <w:noProof/>
            <w:webHidden/>
          </w:rPr>
          <w:instrText xml:space="preserve"> PAGEREF _Toc530675236 \h </w:instrText>
        </w:r>
        <w:r w:rsidR="00F42FDE">
          <w:rPr>
            <w:noProof/>
            <w:webHidden/>
          </w:rPr>
        </w:r>
        <w:r w:rsidR="00F42FDE">
          <w:rPr>
            <w:noProof/>
            <w:webHidden/>
          </w:rPr>
          <w:fldChar w:fldCharType="separate"/>
        </w:r>
        <w:r w:rsidR="00F42FDE">
          <w:rPr>
            <w:noProof/>
            <w:webHidden/>
          </w:rPr>
          <w:t>16</w:t>
        </w:r>
        <w:r w:rsidR="00F42FDE">
          <w:rPr>
            <w:noProof/>
            <w:webHidden/>
          </w:rPr>
          <w:fldChar w:fldCharType="end"/>
        </w:r>
      </w:hyperlink>
    </w:p>
    <w:p w14:paraId="43AF6859" w14:textId="0D342D75" w:rsidR="00F42FDE" w:rsidRDefault="00F956B4">
      <w:pPr>
        <w:pStyle w:val="TOC2"/>
        <w:rPr>
          <w:rFonts w:asciiTheme="minorHAnsi" w:eastAsiaTheme="minorEastAsia" w:hAnsiTheme="minorHAnsi" w:cstheme="minorBidi"/>
          <w:noProof/>
          <w:lang w:eastAsia="en-GB"/>
        </w:rPr>
      </w:pPr>
      <w:hyperlink w:anchor="_Toc530675237" w:history="1">
        <w:r w:rsidR="00F42FDE" w:rsidRPr="00C31C18">
          <w:rPr>
            <w:rStyle w:val="Hyperlink"/>
            <w:noProof/>
          </w:rPr>
          <w:t>4.24</w:t>
        </w:r>
        <w:r w:rsidR="00F42FDE">
          <w:rPr>
            <w:rFonts w:asciiTheme="minorHAnsi" w:eastAsiaTheme="minorEastAsia" w:hAnsiTheme="minorHAnsi" w:cstheme="minorBidi"/>
            <w:noProof/>
            <w:lang w:eastAsia="en-GB"/>
          </w:rPr>
          <w:tab/>
        </w:r>
        <w:r w:rsidR="00F42FDE" w:rsidRPr="00C31C18">
          <w:rPr>
            <w:rStyle w:val="Hyperlink"/>
            <w:noProof/>
          </w:rPr>
          <w:t>Abnormally Low Bids</w:t>
        </w:r>
        <w:r w:rsidR="00F42FDE">
          <w:rPr>
            <w:noProof/>
            <w:webHidden/>
          </w:rPr>
          <w:tab/>
        </w:r>
        <w:r w:rsidR="00F42FDE">
          <w:rPr>
            <w:noProof/>
            <w:webHidden/>
          </w:rPr>
          <w:fldChar w:fldCharType="begin"/>
        </w:r>
        <w:r w:rsidR="00F42FDE">
          <w:rPr>
            <w:noProof/>
            <w:webHidden/>
          </w:rPr>
          <w:instrText xml:space="preserve"> PAGEREF _Toc530675237 \h </w:instrText>
        </w:r>
        <w:r w:rsidR="00F42FDE">
          <w:rPr>
            <w:noProof/>
            <w:webHidden/>
          </w:rPr>
        </w:r>
        <w:r w:rsidR="00F42FDE">
          <w:rPr>
            <w:noProof/>
            <w:webHidden/>
          </w:rPr>
          <w:fldChar w:fldCharType="separate"/>
        </w:r>
        <w:r w:rsidR="00F42FDE">
          <w:rPr>
            <w:noProof/>
            <w:webHidden/>
          </w:rPr>
          <w:t>16</w:t>
        </w:r>
        <w:r w:rsidR="00F42FDE">
          <w:rPr>
            <w:noProof/>
            <w:webHidden/>
          </w:rPr>
          <w:fldChar w:fldCharType="end"/>
        </w:r>
      </w:hyperlink>
    </w:p>
    <w:p w14:paraId="3B43085B" w14:textId="34A9F66D" w:rsidR="00F42FDE" w:rsidRDefault="00F956B4">
      <w:pPr>
        <w:pStyle w:val="TOC2"/>
        <w:rPr>
          <w:rFonts w:asciiTheme="minorHAnsi" w:eastAsiaTheme="minorEastAsia" w:hAnsiTheme="minorHAnsi" w:cstheme="minorBidi"/>
          <w:noProof/>
          <w:lang w:eastAsia="en-GB"/>
        </w:rPr>
      </w:pPr>
      <w:hyperlink w:anchor="_Toc530675238" w:history="1">
        <w:r w:rsidR="00F42FDE" w:rsidRPr="00C31C18">
          <w:rPr>
            <w:rStyle w:val="Hyperlink"/>
            <w:noProof/>
          </w:rPr>
          <w:t>4.25</w:t>
        </w:r>
        <w:r w:rsidR="00F42FDE">
          <w:rPr>
            <w:rFonts w:asciiTheme="minorHAnsi" w:eastAsiaTheme="minorEastAsia" w:hAnsiTheme="minorHAnsi" w:cstheme="minorBidi"/>
            <w:noProof/>
            <w:lang w:eastAsia="en-GB"/>
          </w:rPr>
          <w:tab/>
        </w:r>
        <w:r w:rsidR="00F42FDE" w:rsidRPr="00C31C18">
          <w:rPr>
            <w:rStyle w:val="Hyperlink"/>
            <w:noProof/>
          </w:rPr>
          <w:t>Authority Site Visits</w:t>
        </w:r>
        <w:r w:rsidR="00F42FDE">
          <w:rPr>
            <w:noProof/>
            <w:webHidden/>
          </w:rPr>
          <w:tab/>
        </w:r>
        <w:r w:rsidR="00F42FDE">
          <w:rPr>
            <w:noProof/>
            <w:webHidden/>
          </w:rPr>
          <w:fldChar w:fldCharType="begin"/>
        </w:r>
        <w:r w:rsidR="00F42FDE">
          <w:rPr>
            <w:noProof/>
            <w:webHidden/>
          </w:rPr>
          <w:instrText xml:space="preserve"> PAGEREF _Toc530675238 \h </w:instrText>
        </w:r>
        <w:r w:rsidR="00F42FDE">
          <w:rPr>
            <w:noProof/>
            <w:webHidden/>
          </w:rPr>
        </w:r>
        <w:r w:rsidR="00F42FDE">
          <w:rPr>
            <w:noProof/>
            <w:webHidden/>
          </w:rPr>
          <w:fldChar w:fldCharType="separate"/>
        </w:r>
        <w:r w:rsidR="00F42FDE">
          <w:rPr>
            <w:noProof/>
            <w:webHidden/>
          </w:rPr>
          <w:t>16</w:t>
        </w:r>
        <w:r w:rsidR="00F42FDE">
          <w:rPr>
            <w:noProof/>
            <w:webHidden/>
          </w:rPr>
          <w:fldChar w:fldCharType="end"/>
        </w:r>
      </w:hyperlink>
    </w:p>
    <w:p w14:paraId="15A465BA" w14:textId="28FF5577" w:rsidR="00F42FDE" w:rsidRDefault="00F956B4">
      <w:pPr>
        <w:pStyle w:val="TOC2"/>
        <w:rPr>
          <w:rFonts w:asciiTheme="minorHAnsi" w:eastAsiaTheme="minorEastAsia" w:hAnsiTheme="minorHAnsi" w:cstheme="minorBidi"/>
          <w:noProof/>
          <w:lang w:eastAsia="en-GB"/>
        </w:rPr>
      </w:pPr>
      <w:hyperlink w:anchor="_Toc530675239" w:history="1">
        <w:r w:rsidR="00F42FDE" w:rsidRPr="00C31C18">
          <w:rPr>
            <w:rStyle w:val="Hyperlink"/>
            <w:noProof/>
          </w:rPr>
          <w:t>4.26</w:t>
        </w:r>
        <w:r w:rsidR="00F42FDE">
          <w:rPr>
            <w:rFonts w:asciiTheme="minorHAnsi" w:eastAsiaTheme="minorEastAsia" w:hAnsiTheme="minorHAnsi" w:cstheme="minorBidi"/>
            <w:noProof/>
            <w:lang w:eastAsia="en-GB"/>
          </w:rPr>
          <w:tab/>
        </w:r>
        <w:r w:rsidR="00F42FDE" w:rsidRPr="00C31C18">
          <w:rPr>
            <w:rStyle w:val="Hyperlink"/>
            <w:noProof/>
          </w:rPr>
          <w:t>Rejection of Offers</w:t>
        </w:r>
        <w:r w:rsidR="00F42FDE">
          <w:rPr>
            <w:noProof/>
            <w:webHidden/>
          </w:rPr>
          <w:tab/>
        </w:r>
        <w:r w:rsidR="00F42FDE">
          <w:rPr>
            <w:noProof/>
            <w:webHidden/>
          </w:rPr>
          <w:fldChar w:fldCharType="begin"/>
        </w:r>
        <w:r w:rsidR="00F42FDE">
          <w:rPr>
            <w:noProof/>
            <w:webHidden/>
          </w:rPr>
          <w:instrText xml:space="preserve"> PAGEREF _Toc530675239 \h </w:instrText>
        </w:r>
        <w:r w:rsidR="00F42FDE">
          <w:rPr>
            <w:noProof/>
            <w:webHidden/>
          </w:rPr>
        </w:r>
        <w:r w:rsidR="00F42FDE">
          <w:rPr>
            <w:noProof/>
            <w:webHidden/>
          </w:rPr>
          <w:fldChar w:fldCharType="separate"/>
        </w:r>
        <w:r w:rsidR="00F42FDE">
          <w:rPr>
            <w:noProof/>
            <w:webHidden/>
          </w:rPr>
          <w:t>16</w:t>
        </w:r>
        <w:r w:rsidR="00F42FDE">
          <w:rPr>
            <w:noProof/>
            <w:webHidden/>
          </w:rPr>
          <w:fldChar w:fldCharType="end"/>
        </w:r>
      </w:hyperlink>
    </w:p>
    <w:p w14:paraId="5EDF3BCD" w14:textId="6E3E5406" w:rsidR="00F42FDE" w:rsidRDefault="00F956B4">
      <w:pPr>
        <w:pStyle w:val="TOC2"/>
        <w:rPr>
          <w:rFonts w:asciiTheme="minorHAnsi" w:eastAsiaTheme="minorEastAsia" w:hAnsiTheme="minorHAnsi" w:cstheme="minorBidi"/>
          <w:noProof/>
          <w:lang w:eastAsia="en-GB"/>
        </w:rPr>
      </w:pPr>
      <w:hyperlink w:anchor="_Toc530675240" w:history="1">
        <w:r w:rsidR="00F42FDE" w:rsidRPr="00C31C18">
          <w:rPr>
            <w:rStyle w:val="Hyperlink"/>
            <w:noProof/>
          </w:rPr>
          <w:t>4.27</w:t>
        </w:r>
        <w:r w:rsidR="00F42FDE">
          <w:rPr>
            <w:rFonts w:asciiTheme="minorHAnsi" w:eastAsiaTheme="minorEastAsia" w:hAnsiTheme="minorHAnsi" w:cstheme="minorBidi"/>
            <w:noProof/>
            <w:lang w:eastAsia="en-GB"/>
          </w:rPr>
          <w:tab/>
        </w:r>
        <w:r w:rsidR="00F42FDE" w:rsidRPr="00C31C18">
          <w:rPr>
            <w:rStyle w:val="Hyperlink"/>
            <w:noProof/>
          </w:rPr>
          <w:t>Acceptance of Offers</w:t>
        </w:r>
        <w:r w:rsidR="00F42FDE">
          <w:rPr>
            <w:noProof/>
            <w:webHidden/>
          </w:rPr>
          <w:tab/>
        </w:r>
        <w:r w:rsidR="00F42FDE">
          <w:rPr>
            <w:noProof/>
            <w:webHidden/>
          </w:rPr>
          <w:fldChar w:fldCharType="begin"/>
        </w:r>
        <w:r w:rsidR="00F42FDE">
          <w:rPr>
            <w:noProof/>
            <w:webHidden/>
          </w:rPr>
          <w:instrText xml:space="preserve"> PAGEREF _Toc530675240 \h </w:instrText>
        </w:r>
        <w:r w:rsidR="00F42FDE">
          <w:rPr>
            <w:noProof/>
            <w:webHidden/>
          </w:rPr>
        </w:r>
        <w:r w:rsidR="00F42FDE">
          <w:rPr>
            <w:noProof/>
            <w:webHidden/>
          </w:rPr>
          <w:fldChar w:fldCharType="separate"/>
        </w:r>
        <w:r w:rsidR="00F42FDE">
          <w:rPr>
            <w:noProof/>
            <w:webHidden/>
          </w:rPr>
          <w:t>17</w:t>
        </w:r>
        <w:r w:rsidR="00F42FDE">
          <w:rPr>
            <w:noProof/>
            <w:webHidden/>
          </w:rPr>
          <w:fldChar w:fldCharType="end"/>
        </w:r>
      </w:hyperlink>
    </w:p>
    <w:p w14:paraId="35062042" w14:textId="7F2BE143" w:rsidR="00F42FDE" w:rsidRDefault="00F956B4">
      <w:pPr>
        <w:pStyle w:val="TOC2"/>
        <w:rPr>
          <w:rFonts w:asciiTheme="minorHAnsi" w:eastAsiaTheme="minorEastAsia" w:hAnsiTheme="minorHAnsi" w:cstheme="minorBidi"/>
          <w:noProof/>
          <w:lang w:eastAsia="en-GB"/>
        </w:rPr>
      </w:pPr>
      <w:hyperlink w:anchor="_Toc530675241" w:history="1">
        <w:r w:rsidR="00F42FDE" w:rsidRPr="00C31C18">
          <w:rPr>
            <w:rStyle w:val="Hyperlink"/>
            <w:noProof/>
          </w:rPr>
          <w:t>4.28</w:t>
        </w:r>
        <w:r w:rsidR="00F42FDE">
          <w:rPr>
            <w:rFonts w:asciiTheme="minorHAnsi" w:eastAsiaTheme="minorEastAsia" w:hAnsiTheme="minorHAnsi" w:cstheme="minorBidi"/>
            <w:noProof/>
            <w:lang w:eastAsia="en-GB"/>
          </w:rPr>
          <w:tab/>
        </w:r>
        <w:r w:rsidR="00F42FDE" w:rsidRPr="00C31C18">
          <w:rPr>
            <w:rStyle w:val="Hyperlink"/>
            <w:noProof/>
          </w:rPr>
          <w:t>Award of Contract</w:t>
        </w:r>
        <w:r w:rsidR="00F42FDE">
          <w:rPr>
            <w:noProof/>
            <w:webHidden/>
          </w:rPr>
          <w:tab/>
        </w:r>
        <w:r w:rsidR="00F42FDE">
          <w:rPr>
            <w:noProof/>
            <w:webHidden/>
          </w:rPr>
          <w:fldChar w:fldCharType="begin"/>
        </w:r>
        <w:r w:rsidR="00F42FDE">
          <w:rPr>
            <w:noProof/>
            <w:webHidden/>
          </w:rPr>
          <w:instrText xml:space="preserve"> PAGEREF _Toc530675241 \h </w:instrText>
        </w:r>
        <w:r w:rsidR="00F42FDE">
          <w:rPr>
            <w:noProof/>
            <w:webHidden/>
          </w:rPr>
        </w:r>
        <w:r w:rsidR="00F42FDE">
          <w:rPr>
            <w:noProof/>
            <w:webHidden/>
          </w:rPr>
          <w:fldChar w:fldCharType="separate"/>
        </w:r>
        <w:r w:rsidR="00F42FDE">
          <w:rPr>
            <w:noProof/>
            <w:webHidden/>
          </w:rPr>
          <w:t>17</w:t>
        </w:r>
        <w:r w:rsidR="00F42FDE">
          <w:rPr>
            <w:noProof/>
            <w:webHidden/>
          </w:rPr>
          <w:fldChar w:fldCharType="end"/>
        </w:r>
      </w:hyperlink>
    </w:p>
    <w:p w14:paraId="47105653" w14:textId="32C2EEC2" w:rsidR="00F42FDE" w:rsidRDefault="00F956B4">
      <w:pPr>
        <w:pStyle w:val="TOC2"/>
        <w:rPr>
          <w:rFonts w:asciiTheme="minorHAnsi" w:eastAsiaTheme="minorEastAsia" w:hAnsiTheme="minorHAnsi" w:cstheme="minorBidi"/>
          <w:noProof/>
          <w:lang w:eastAsia="en-GB"/>
        </w:rPr>
      </w:pPr>
      <w:hyperlink w:anchor="_Toc530675242" w:history="1">
        <w:r w:rsidR="00F42FDE" w:rsidRPr="00C31C18">
          <w:rPr>
            <w:rStyle w:val="Hyperlink"/>
            <w:noProof/>
          </w:rPr>
          <w:t>Definitions</w:t>
        </w:r>
        <w:r w:rsidR="00F42FDE">
          <w:rPr>
            <w:noProof/>
            <w:webHidden/>
          </w:rPr>
          <w:tab/>
        </w:r>
        <w:r w:rsidR="00F42FDE">
          <w:rPr>
            <w:noProof/>
            <w:webHidden/>
          </w:rPr>
          <w:fldChar w:fldCharType="begin"/>
        </w:r>
        <w:r w:rsidR="00F42FDE">
          <w:rPr>
            <w:noProof/>
            <w:webHidden/>
          </w:rPr>
          <w:instrText xml:space="preserve"> PAGEREF _Toc530675242 \h </w:instrText>
        </w:r>
        <w:r w:rsidR="00F42FDE">
          <w:rPr>
            <w:noProof/>
            <w:webHidden/>
          </w:rPr>
        </w:r>
        <w:r w:rsidR="00F42FDE">
          <w:rPr>
            <w:noProof/>
            <w:webHidden/>
          </w:rPr>
          <w:fldChar w:fldCharType="separate"/>
        </w:r>
        <w:r w:rsidR="00F42FDE">
          <w:rPr>
            <w:noProof/>
            <w:webHidden/>
          </w:rPr>
          <w:t>18</w:t>
        </w:r>
        <w:r w:rsidR="00F42FDE">
          <w:rPr>
            <w:noProof/>
            <w:webHidden/>
          </w:rPr>
          <w:fldChar w:fldCharType="end"/>
        </w:r>
      </w:hyperlink>
    </w:p>
    <w:p w14:paraId="27BD5688" w14:textId="2D8AA9F2" w:rsidR="000B23F9" w:rsidRDefault="00081C28">
      <w:r>
        <w:fldChar w:fldCharType="end"/>
      </w:r>
    </w:p>
    <w:p w14:paraId="25AD6085" w14:textId="77777777" w:rsidR="000B23F9" w:rsidRDefault="000B23F9">
      <w:pPr>
        <w:spacing w:after="0" w:line="240" w:lineRule="auto"/>
      </w:pPr>
      <w:r>
        <w:br w:type="page"/>
      </w:r>
    </w:p>
    <w:p w14:paraId="33DBB1C1" w14:textId="77777777" w:rsidR="003D6E68" w:rsidRDefault="003D6E68" w:rsidP="007367F8">
      <w:pPr>
        <w:sectPr w:rsidR="003D6E68" w:rsidSect="00EC4FF9">
          <w:headerReference w:type="first" r:id="rId13"/>
          <w:footerReference w:type="first" r:id="rId14"/>
          <w:pgSz w:w="11907" w:h="16840" w:code="9"/>
          <w:pgMar w:top="1134" w:right="1134" w:bottom="1134" w:left="1134" w:header="992" w:footer="992" w:gutter="0"/>
          <w:pgBorders w:offsetFrom="page">
            <w:top w:val="single" w:sz="12" w:space="24" w:color="C00000"/>
            <w:left w:val="single" w:sz="12" w:space="24" w:color="C00000"/>
            <w:bottom w:val="single" w:sz="12" w:space="24" w:color="C00000"/>
            <w:right w:val="single" w:sz="12" w:space="24" w:color="C00000"/>
          </w:pgBorders>
          <w:pgNumType w:start="1"/>
          <w:cols w:space="720"/>
          <w:titlePg/>
          <w:docGrid w:linePitch="299"/>
        </w:sectPr>
      </w:pPr>
    </w:p>
    <w:p w14:paraId="784F8718" w14:textId="36BBA21E" w:rsidR="00ED0599" w:rsidRPr="00ED0599" w:rsidRDefault="00ED0599" w:rsidP="00ED0599">
      <w:pPr>
        <w:pStyle w:val="Heading2"/>
        <w:numPr>
          <w:ilvl w:val="0"/>
          <w:numId w:val="0"/>
        </w:numPr>
        <w:spacing w:before="240" w:after="240"/>
        <w:rPr>
          <w:b w:val="0"/>
          <w:sz w:val="36"/>
        </w:rPr>
      </w:pPr>
      <w:bookmarkStart w:id="2" w:name="_Toc530675192"/>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ED0599">
        <w:rPr>
          <w:sz w:val="36"/>
        </w:rPr>
        <w:lastRenderedPageBreak/>
        <w:t>Information and Instructions</w:t>
      </w:r>
      <w:bookmarkEnd w:id="2"/>
    </w:p>
    <w:p w14:paraId="4A42A8AF" w14:textId="66AA83B9" w:rsidR="00490BF9" w:rsidRPr="0015465D" w:rsidRDefault="00490BF9" w:rsidP="007153DC">
      <w:pPr>
        <w:pStyle w:val="Heading2"/>
        <w:numPr>
          <w:ilvl w:val="0"/>
          <w:numId w:val="0"/>
        </w:numPr>
        <w:spacing w:before="240" w:after="240"/>
        <w:rPr>
          <w:b w:val="0"/>
        </w:rPr>
      </w:pPr>
      <w:bookmarkStart w:id="17" w:name="_Toc530675193"/>
      <w:r w:rsidRPr="0015465D">
        <w:t>Section</w:t>
      </w:r>
      <w:r w:rsidRPr="0015465D">
        <w:rPr>
          <w:b w:val="0"/>
        </w:rPr>
        <w:t xml:space="preserve"> </w:t>
      </w:r>
      <w:r w:rsidR="00D62857" w:rsidRPr="0015465D">
        <w:t>1</w:t>
      </w:r>
      <w:r w:rsidR="006E634B" w:rsidRPr="0015465D">
        <w:t xml:space="preserve"> – About the Council</w:t>
      </w:r>
      <w:bookmarkEnd w:id="17"/>
    </w:p>
    <w:p w14:paraId="73E7D07B" w14:textId="757B0B0C" w:rsidR="00B81D1E" w:rsidRDefault="004329DE" w:rsidP="007153DC">
      <w:pPr>
        <w:pStyle w:val="Heading2"/>
        <w:tabs>
          <w:tab w:val="num" w:pos="709"/>
        </w:tabs>
        <w:spacing w:before="240" w:after="240"/>
        <w:ind w:left="0" w:firstLine="0"/>
      </w:pPr>
      <w:bookmarkStart w:id="18" w:name="_Toc530675194"/>
      <w:r>
        <w:t>The Council</w:t>
      </w:r>
      <w:bookmarkEnd w:id="18"/>
    </w:p>
    <w:p w14:paraId="7CCF2331" w14:textId="77777777" w:rsidR="003D5D8C" w:rsidRPr="003D5D8C" w:rsidRDefault="003D5D8C" w:rsidP="003D5D8C">
      <w:pPr>
        <w:pStyle w:val="ListParagraph"/>
        <w:numPr>
          <w:ilvl w:val="0"/>
          <w:numId w:val="17"/>
        </w:numPr>
        <w:ind w:hanging="720"/>
        <w:rPr>
          <w:snapToGrid w:val="0"/>
        </w:rPr>
      </w:pPr>
      <w:r w:rsidRPr="003D5D8C">
        <w:rPr>
          <w:snapToGrid w:val="0"/>
        </w:rPr>
        <w:t>The Client for this Project and in effect Contracting Authority is Falmouth Town Council (The Town Council).  The Town Council was formed on local government reorganisation in 1974 from the former Falmouth Borough Council. The town received Royal Charter in 1661.</w:t>
      </w:r>
    </w:p>
    <w:p w14:paraId="31860018" w14:textId="77777777" w:rsidR="003D5D8C" w:rsidRPr="003D5D8C" w:rsidRDefault="003D5D8C" w:rsidP="003D5D8C">
      <w:pPr>
        <w:pStyle w:val="ListParagraph"/>
        <w:rPr>
          <w:snapToGrid w:val="0"/>
        </w:rPr>
      </w:pPr>
    </w:p>
    <w:p w14:paraId="7CBE64C5" w14:textId="77777777" w:rsidR="003D5D8C" w:rsidRPr="003D5D8C" w:rsidRDefault="003D5D8C" w:rsidP="003D5D8C">
      <w:pPr>
        <w:pStyle w:val="ListParagraph"/>
        <w:numPr>
          <w:ilvl w:val="0"/>
          <w:numId w:val="17"/>
        </w:numPr>
        <w:ind w:hanging="720"/>
        <w:rPr>
          <w:snapToGrid w:val="0"/>
        </w:rPr>
      </w:pPr>
      <w:r w:rsidRPr="003D5D8C">
        <w:rPr>
          <w:snapToGrid w:val="0"/>
        </w:rPr>
        <w:t xml:space="preserve">Falmouth is formally twinned with </w:t>
      </w:r>
      <w:proofErr w:type="spellStart"/>
      <w:r w:rsidRPr="003D5D8C">
        <w:rPr>
          <w:snapToGrid w:val="0"/>
        </w:rPr>
        <w:t>Douarnenez</w:t>
      </w:r>
      <w:proofErr w:type="spellEnd"/>
      <w:r w:rsidRPr="003D5D8C">
        <w:rPr>
          <w:snapToGrid w:val="0"/>
        </w:rPr>
        <w:t xml:space="preserve"> in Brittany and </w:t>
      </w:r>
      <w:proofErr w:type="spellStart"/>
      <w:r w:rsidRPr="003D5D8C">
        <w:rPr>
          <w:snapToGrid w:val="0"/>
        </w:rPr>
        <w:t>Rotenburg</w:t>
      </w:r>
      <w:proofErr w:type="spellEnd"/>
      <w:r w:rsidRPr="003D5D8C">
        <w:rPr>
          <w:snapToGrid w:val="0"/>
        </w:rPr>
        <w:t xml:space="preserve"> (</w:t>
      </w:r>
      <w:proofErr w:type="spellStart"/>
      <w:r w:rsidRPr="003D5D8C">
        <w:rPr>
          <w:snapToGrid w:val="0"/>
        </w:rPr>
        <w:t>Wümme</w:t>
      </w:r>
      <w:proofErr w:type="spellEnd"/>
      <w:r w:rsidRPr="003D5D8C">
        <w:rPr>
          <w:snapToGrid w:val="0"/>
        </w:rPr>
        <w:t xml:space="preserve">) in Germany and is encouraging informal cultural links with </w:t>
      </w:r>
      <w:proofErr w:type="spellStart"/>
      <w:r w:rsidRPr="003D5D8C">
        <w:rPr>
          <w:snapToGrid w:val="0"/>
        </w:rPr>
        <w:t>Villagarcia</w:t>
      </w:r>
      <w:proofErr w:type="spellEnd"/>
      <w:r w:rsidRPr="003D5D8C">
        <w:rPr>
          <w:snapToGrid w:val="0"/>
        </w:rPr>
        <w:t xml:space="preserve"> in Spain.</w:t>
      </w:r>
    </w:p>
    <w:p w14:paraId="67311104" w14:textId="6C3E3597" w:rsidR="003D5D8C" w:rsidRPr="003D5D8C" w:rsidRDefault="003D5D8C" w:rsidP="003D5D8C">
      <w:pPr>
        <w:spacing w:after="120"/>
        <w:ind w:left="1440"/>
        <w:rPr>
          <w:snapToGrid w:val="0"/>
        </w:rPr>
      </w:pPr>
      <w:r w:rsidRPr="003D5D8C">
        <w:rPr>
          <w:b/>
          <w:bCs/>
          <w:snapToGrid w:val="0"/>
        </w:rPr>
        <w:t>Total electorate 17,625.</w:t>
      </w:r>
      <w:r w:rsidRPr="003D5D8C">
        <w:rPr>
          <w:b/>
          <w:bCs/>
          <w:snapToGrid w:val="0"/>
        </w:rPr>
        <w:br/>
        <w:t>Total population 21,385.</w:t>
      </w:r>
      <w:r w:rsidRPr="003D5D8C">
        <w:rPr>
          <w:b/>
          <w:bCs/>
          <w:snapToGrid w:val="0"/>
        </w:rPr>
        <w:br/>
        <w:t xml:space="preserve">Area 776 hectares.    </w:t>
      </w:r>
      <w:r w:rsidRPr="003D5D8C">
        <w:rPr>
          <w:snapToGrid w:val="0"/>
        </w:rPr>
        <w:t>See also:</w:t>
      </w:r>
      <w:r w:rsidRPr="00E079B6">
        <w:rPr>
          <w:snapToGrid w:val="0"/>
        </w:rPr>
        <w:t xml:space="preserve">  </w:t>
      </w:r>
      <w:r w:rsidRPr="00E079B6">
        <w:rPr>
          <w:rStyle w:val="Hyperlink"/>
          <w:snapToGrid w:val="0"/>
          <w:color w:val="17365D" w:themeColor="text2" w:themeShade="BF"/>
          <w:u w:val="single"/>
        </w:rPr>
        <w:t>https://www.falmouthtowncouncil.co.uk/</w:t>
      </w:r>
    </w:p>
    <w:p w14:paraId="4C1692B3" w14:textId="252D1FA6" w:rsidR="008E6EC1" w:rsidRDefault="008E6EC1">
      <w:pPr>
        <w:spacing w:after="0" w:line="240" w:lineRule="auto"/>
      </w:pPr>
      <w:r>
        <w:br w:type="page"/>
      </w:r>
    </w:p>
    <w:p w14:paraId="749746C2" w14:textId="3B1615F2" w:rsidR="00B81D1E" w:rsidRPr="003A4703" w:rsidRDefault="00E25B9C" w:rsidP="007153DC">
      <w:pPr>
        <w:pStyle w:val="Heading2"/>
        <w:numPr>
          <w:ilvl w:val="0"/>
          <w:numId w:val="0"/>
        </w:numPr>
        <w:spacing w:before="240" w:after="240"/>
      </w:pPr>
      <w:bookmarkStart w:id="19" w:name="_Toc530675195"/>
      <w:r w:rsidRPr="003A4703">
        <w:lastRenderedPageBreak/>
        <w:t xml:space="preserve">Section </w:t>
      </w:r>
      <w:r w:rsidR="00D62857" w:rsidRPr="003A4703">
        <w:t>2</w:t>
      </w:r>
      <w:r w:rsidR="006E634B" w:rsidRPr="003A4703">
        <w:t xml:space="preserve"> – About the Tender</w:t>
      </w:r>
      <w:bookmarkEnd w:id="19"/>
    </w:p>
    <w:p w14:paraId="02D0B605" w14:textId="77777777" w:rsidR="00BE08A8" w:rsidRPr="00BE08A8" w:rsidRDefault="00BE08A8" w:rsidP="007153DC">
      <w:pPr>
        <w:pStyle w:val="ListParagraph"/>
        <w:keepNext/>
        <w:numPr>
          <w:ilvl w:val="0"/>
          <w:numId w:val="13"/>
        </w:numPr>
        <w:pBdr>
          <w:bottom w:val="single" w:sz="4" w:space="6" w:color="808080"/>
        </w:pBdr>
        <w:tabs>
          <w:tab w:val="num" w:pos="709"/>
        </w:tabs>
        <w:spacing w:before="240"/>
        <w:contextualSpacing w:val="0"/>
        <w:outlineLvl w:val="0"/>
        <w:rPr>
          <w:b/>
          <w:vanish/>
          <w:sz w:val="36"/>
        </w:rPr>
      </w:pPr>
      <w:bookmarkStart w:id="20" w:name="_Toc519242880"/>
      <w:bookmarkStart w:id="21" w:name="_Toc519243059"/>
      <w:bookmarkStart w:id="22" w:name="_Toc519243925"/>
      <w:bookmarkStart w:id="23" w:name="_Toc519244063"/>
      <w:bookmarkStart w:id="24" w:name="_Toc519518174"/>
      <w:bookmarkStart w:id="25" w:name="_Toc527706566"/>
      <w:bookmarkStart w:id="26" w:name="_Toc527706625"/>
      <w:bookmarkStart w:id="27" w:name="_Toc529102505"/>
      <w:bookmarkStart w:id="28" w:name="_Toc529102565"/>
      <w:bookmarkStart w:id="29" w:name="_Toc529102625"/>
      <w:bookmarkStart w:id="30" w:name="_Toc529102685"/>
      <w:bookmarkStart w:id="31" w:name="_Toc530675196"/>
      <w:bookmarkEnd w:id="20"/>
      <w:bookmarkEnd w:id="21"/>
      <w:bookmarkEnd w:id="22"/>
      <w:bookmarkEnd w:id="23"/>
      <w:bookmarkEnd w:id="24"/>
      <w:bookmarkEnd w:id="25"/>
      <w:bookmarkEnd w:id="26"/>
      <w:bookmarkEnd w:id="27"/>
      <w:bookmarkEnd w:id="28"/>
      <w:bookmarkEnd w:id="29"/>
      <w:bookmarkEnd w:id="30"/>
      <w:bookmarkEnd w:id="31"/>
    </w:p>
    <w:p w14:paraId="02DF8C38" w14:textId="77777777" w:rsidR="00BE08A8" w:rsidRPr="00BE08A8" w:rsidRDefault="00BE08A8" w:rsidP="007153DC">
      <w:pPr>
        <w:pStyle w:val="ListParagraph"/>
        <w:keepNext/>
        <w:numPr>
          <w:ilvl w:val="0"/>
          <w:numId w:val="13"/>
        </w:numPr>
        <w:pBdr>
          <w:bottom w:val="single" w:sz="4" w:space="6" w:color="808080"/>
        </w:pBdr>
        <w:tabs>
          <w:tab w:val="num" w:pos="709"/>
        </w:tabs>
        <w:spacing w:before="240"/>
        <w:contextualSpacing w:val="0"/>
        <w:outlineLvl w:val="0"/>
        <w:rPr>
          <w:b/>
          <w:vanish/>
          <w:sz w:val="36"/>
        </w:rPr>
      </w:pPr>
      <w:bookmarkStart w:id="32" w:name="_Toc519242881"/>
      <w:bookmarkStart w:id="33" w:name="_Toc519243060"/>
      <w:bookmarkStart w:id="34" w:name="_Toc519243926"/>
      <w:bookmarkStart w:id="35" w:name="_Toc519244064"/>
      <w:bookmarkStart w:id="36" w:name="_Toc519518175"/>
      <w:bookmarkStart w:id="37" w:name="_Toc527706567"/>
      <w:bookmarkStart w:id="38" w:name="_Toc527706626"/>
      <w:bookmarkStart w:id="39" w:name="_Toc529102506"/>
      <w:bookmarkStart w:id="40" w:name="_Toc529102566"/>
      <w:bookmarkStart w:id="41" w:name="_Toc529102626"/>
      <w:bookmarkStart w:id="42" w:name="_Toc529102686"/>
      <w:bookmarkStart w:id="43" w:name="_Toc530675197"/>
      <w:bookmarkEnd w:id="32"/>
      <w:bookmarkEnd w:id="33"/>
      <w:bookmarkEnd w:id="34"/>
      <w:bookmarkEnd w:id="35"/>
      <w:bookmarkEnd w:id="36"/>
      <w:bookmarkEnd w:id="37"/>
      <w:bookmarkEnd w:id="38"/>
      <w:bookmarkEnd w:id="39"/>
      <w:bookmarkEnd w:id="40"/>
      <w:bookmarkEnd w:id="41"/>
      <w:bookmarkEnd w:id="42"/>
      <w:bookmarkEnd w:id="43"/>
    </w:p>
    <w:p w14:paraId="6077B101" w14:textId="1BE387DB" w:rsidR="00E0592A" w:rsidRPr="00F345F7" w:rsidRDefault="006E634B" w:rsidP="007153DC">
      <w:pPr>
        <w:pStyle w:val="Heading2"/>
        <w:numPr>
          <w:ilvl w:val="1"/>
          <w:numId w:val="13"/>
        </w:numPr>
        <w:tabs>
          <w:tab w:val="num" w:pos="709"/>
        </w:tabs>
        <w:spacing w:before="240" w:after="240"/>
        <w:ind w:hanging="2561"/>
      </w:pPr>
      <w:bookmarkStart w:id="44" w:name="_Toc530675198"/>
      <w:r w:rsidRPr="00F345F7">
        <w:t>T</w:t>
      </w:r>
      <w:r w:rsidR="00B81D1E" w:rsidRPr="00F345F7">
        <w:t>he T</w:t>
      </w:r>
      <w:r w:rsidR="00C028AE" w:rsidRPr="00F345F7">
        <w:t>ender</w:t>
      </w:r>
      <w:bookmarkEnd w:id="44"/>
    </w:p>
    <w:p w14:paraId="19765C99" w14:textId="77777777" w:rsidR="00F43A23" w:rsidRPr="00F956B4" w:rsidRDefault="00F43A23" w:rsidP="00F43A23">
      <w:pPr>
        <w:pStyle w:val="ListParagraph"/>
        <w:numPr>
          <w:ilvl w:val="0"/>
          <w:numId w:val="18"/>
        </w:numPr>
        <w:spacing w:after="120"/>
        <w:ind w:hanging="720"/>
        <w:contextualSpacing w:val="0"/>
        <w:rPr>
          <w:snapToGrid w:val="0"/>
        </w:rPr>
      </w:pPr>
      <w:r w:rsidRPr="00F956B4">
        <w:rPr>
          <w:snapToGrid w:val="0"/>
        </w:rPr>
        <w:t>Kimberley Park is one of the Town Council’s principle parks and is looking to create a centre point within the Park as a bandstand and stage.  Detailed plans and drawings have been produced and this tender opportunity looks to appoint a Contractor to deliver this vision.</w:t>
      </w:r>
    </w:p>
    <w:p w14:paraId="0A46B6A1" w14:textId="0B1CBF53" w:rsidR="007F1F30" w:rsidRPr="00F956B4" w:rsidRDefault="007F1F30" w:rsidP="00A30688">
      <w:pPr>
        <w:pStyle w:val="ListParagraph"/>
        <w:numPr>
          <w:ilvl w:val="0"/>
          <w:numId w:val="18"/>
        </w:numPr>
        <w:spacing w:after="120"/>
        <w:ind w:hanging="720"/>
        <w:contextualSpacing w:val="0"/>
        <w:rPr>
          <w:snapToGrid w:val="0"/>
          <w:color w:val="000000" w:themeColor="text1"/>
        </w:rPr>
      </w:pPr>
      <w:r w:rsidRPr="00F956B4">
        <w:rPr>
          <w:snapToGrid w:val="0"/>
        </w:rPr>
        <w:t xml:space="preserve">Key objectives of the </w:t>
      </w:r>
      <w:r w:rsidR="00B9164F" w:rsidRPr="00F956B4">
        <w:rPr>
          <w:snapToGrid w:val="0"/>
        </w:rPr>
        <w:t>T</w:t>
      </w:r>
      <w:r w:rsidRPr="00F956B4">
        <w:rPr>
          <w:snapToGrid w:val="0"/>
        </w:rPr>
        <w:t>en</w:t>
      </w:r>
      <w:r w:rsidRPr="00F956B4">
        <w:rPr>
          <w:snapToGrid w:val="0"/>
          <w:color w:val="000000" w:themeColor="text1"/>
        </w:rPr>
        <w:t>der are:</w:t>
      </w:r>
    </w:p>
    <w:p w14:paraId="605A5DCF" w14:textId="4625FC1F" w:rsidR="0098652D" w:rsidRPr="00F956B4" w:rsidRDefault="00F43A23" w:rsidP="003B30FC">
      <w:pPr>
        <w:pStyle w:val="ListParagraph"/>
        <w:numPr>
          <w:ilvl w:val="0"/>
          <w:numId w:val="14"/>
        </w:numPr>
        <w:rPr>
          <w:snapToGrid w:val="0"/>
          <w:color w:val="000000" w:themeColor="text1"/>
        </w:rPr>
      </w:pPr>
      <w:r w:rsidRPr="00F956B4">
        <w:rPr>
          <w:snapToGrid w:val="0"/>
          <w:color w:val="000000" w:themeColor="text1"/>
        </w:rPr>
        <w:t xml:space="preserve">Appointment of a competent </w:t>
      </w:r>
      <w:r w:rsidR="001D6047" w:rsidRPr="00F956B4">
        <w:rPr>
          <w:snapToGrid w:val="0"/>
          <w:color w:val="000000" w:themeColor="text1"/>
        </w:rPr>
        <w:t xml:space="preserve">Principal </w:t>
      </w:r>
      <w:r w:rsidRPr="00F956B4">
        <w:rPr>
          <w:snapToGrid w:val="0"/>
          <w:color w:val="000000" w:themeColor="text1"/>
        </w:rPr>
        <w:t>Contractor to deliver the v</w:t>
      </w:r>
      <w:r w:rsidR="001E3C99" w:rsidRPr="00F956B4">
        <w:rPr>
          <w:snapToGrid w:val="0"/>
          <w:color w:val="000000" w:themeColor="text1"/>
        </w:rPr>
        <w:t>ision</w:t>
      </w:r>
    </w:p>
    <w:p w14:paraId="2F0EC0B9" w14:textId="6605A284" w:rsidR="001E3C99" w:rsidRPr="00F956B4" w:rsidRDefault="001E3C99" w:rsidP="003B30FC">
      <w:pPr>
        <w:pStyle w:val="ListParagraph"/>
        <w:numPr>
          <w:ilvl w:val="0"/>
          <w:numId w:val="14"/>
        </w:numPr>
        <w:rPr>
          <w:snapToGrid w:val="0"/>
          <w:color w:val="000000" w:themeColor="text1"/>
        </w:rPr>
      </w:pPr>
      <w:r w:rsidRPr="00F956B4">
        <w:rPr>
          <w:snapToGrid w:val="0"/>
          <w:color w:val="000000" w:themeColor="text1"/>
        </w:rPr>
        <w:t>High quality structure</w:t>
      </w:r>
      <w:r w:rsidR="00774922" w:rsidRPr="00F956B4">
        <w:rPr>
          <w:snapToGrid w:val="0"/>
          <w:color w:val="000000" w:themeColor="text1"/>
        </w:rPr>
        <w:t xml:space="preserve"> valued by the Community</w:t>
      </w:r>
    </w:p>
    <w:p w14:paraId="013897F8" w14:textId="77777777" w:rsidR="008C483F" w:rsidRPr="00F956B4" w:rsidRDefault="008C483F" w:rsidP="008C483F">
      <w:pPr>
        <w:pStyle w:val="ListParagraph"/>
        <w:ind w:left="1080"/>
        <w:rPr>
          <w:snapToGrid w:val="0"/>
          <w:color w:val="000000" w:themeColor="text1"/>
        </w:rPr>
      </w:pPr>
    </w:p>
    <w:p w14:paraId="0569F9C7" w14:textId="51AECEF5" w:rsidR="00F42FDE" w:rsidRPr="00F956B4" w:rsidRDefault="00224B82" w:rsidP="008C483F">
      <w:pPr>
        <w:pStyle w:val="ListParagraph"/>
        <w:numPr>
          <w:ilvl w:val="0"/>
          <w:numId w:val="18"/>
        </w:numPr>
        <w:spacing w:after="120"/>
        <w:ind w:hanging="720"/>
        <w:contextualSpacing w:val="0"/>
        <w:rPr>
          <w:snapToGrid w:val="0"/>
          <w:color w:val="000000" w:themeColor="text1"/>
        </w:rPr>
      </w:pPr>
      <w:r w:rsidRPr="00F956B4">
        <w:rPr>
          <w:snapToGrid w:val="0"/>
          <w:color w:val="000000" w:themeColor="text1"/>
        </w:rPr>
        <w:t xml:space="preserve">The Tender </w:t>
      </w:r>
      <w:r w:rsidRPr="00F956B4">
        <w:rPr>
          <w:snapToGrid w:val="0"/>
        </w:rPr>
        <w:t>consists</w:t>
      </w:r>
      <w:r w:rsidRPr="00F956B4">
        <w:rPr>
          <w:snapToGrid w:val="0"/>
          <w:color w:val="000000" w:themeColor="text1"/>
        </w:rPr>
        <w:t xml:space="preserve"> of the following documents:</w:t>
      </w:r>
    </w:p>
    <w:p w14:paraId="3A4665F2" w14:textId="37E0410F" w:rsidR="00224B82" w:rsidRPr="00F956B4" w:rsidRDefault="00224B82" w:rsidP="008C483F">
      <w:pPr>
        <w:pStyle w:val="ListParagraph"/>
        <w:numPr>
          <w:ilvl w:val="0"/>
          <w:numId w:val="25"/>
        </w:numPr>
        <w:ind w:firstLine="273"/>
        <w:rPr>
          <w:snapToGrid w:val="0"/>
          <w:color w:val="000000" w:themeColor="text1"/>
        </w:rPr>
      </w:pPr>
      <w:r w:rsidRPr="00F956B4">
        <w:rPr>
          <w:snapToGrid w:val="0"/>
          <w:color w:val="000000" w:themeColor="text1"/>
        </w:rPr>
        <w:t>Volume 1 – Information Conditions of Tender (this document)</w:t>
      </w:r>
    </w:p>
    <w:p w14:paraId="312CA85A" w14:textId="728D5705" w:rsidR="00224B82" w:rsidRPr="00F956B4" w:rsidRDefault="00224B82" w:rsidP="008C483F">
      <w:pPr>
        <w:pStyle w:val="ListParagraph"/>
        <w:numPr>
          <w:ilvl w:val="0"/>
          <w:numId w:val="25"/>
        </w:numPr>
        <w:ind w:firstLine="273"/>
        <w:rPr>
          <w:snapToGrid w:val="0"/>
          <w:color w:val="000000" w:themeColor="text1"/>
        </w:rPr>
      </w:pPr>
      <w:r w:rsidRPr="00F956B4">
        <w:rPr>
          <w:snapToGrid w:val="0"/>
          <w:color w:val="000000" w:themeColor="text1"/>
        </w:rPr>
        <w:t xml:space="preserve">Volume 2 – Applicant’s Offer </w:t>
      </w:r>
    </w:p>
    <w:p w14:paraId="0F976CCD" w14:textId="449FDD79" w:rsidR="002E14C1" w:rsidRPr="00F956B4" w:rsidRDefault="002E14C1" w:rsidP="008C483F">
      <w:pPr>
        <w:pStyle w:val="ListParagraph"/>
        <w:numPr>
          <w:ilvl w:val="0"/>
          <w:numId w:val="25"/>
        </w:numPr>
        <w:ind w:firstLine="273"/>
        <w:rPr>
          <w:snapToGrid w:val="0"/>
          <w:color w:val="000000" w:themeColor="text1"/>
        </w:rPr>
      </w:pPr>
      <w:r w:rsidRPr="00F956B4">
        <w:rPr>
          <w:snapToGrid w:val="0"/>
          <w:color w:val="000000" w:themeColor="text1"/>
        </w:rPr>
        <w:t xml:space="preserve">Schedule 1 – Drawings </w:t>
      </w:r>
      <w:r w:rsidR="003635A3" w:rsidRPr="00F956B4">
        <w:rPr>
          <w:snapToGrid w:val="0"/>
          <w:color w:val="000000" w:themeColor="text1"/>
        </w:rPr>
        <w:t>&amp; Documents (list of drawings and documents provided)</w:t>
      </w:r>
    </w:p>
    <w:p w14:paraId="4400343D" w14:textId="0C8DF075" w:rsidR="003635A3" w:rsidRPr="00F956B4" w:rsidRDefault="003635A3" w:rsidP="008C483F">
      <w:pPr>
        <w:pStyle w:val="ListParagraph"/>
        <w:numPr>
          <w:ilvl w:val="0"/>
          <w:numId w:val="25"/>
        </w:numPr>
        <w:ind w:firstLine="273"/>
        <w:rPr>
          <w:snapToGrid w:val="0"/>
          <w:color w:val="000000" w:themeColor="text1"/>
        </w:rPr>
      </w:pPr>
      <w:r w:rsidRPr="00F956B4">
        <w:rPr>
          <w:snapToGrid w:val="0"/>
          <w:color w:val="000000" w:themeColor="text1"/>
        </w:rPr>
        <w:t xml:space="preserve">Schedule 2 </w:t>
      </w:r>
      <w:r w:rsidR="008C483F" w:rsidRPr="00F956B4">
        <w:rPr>
          <w:snapToGrid w:val="0"/>
          <w:color w:val="000000" w:themeColor="text1"/>
        </w:rPr>
        <w:t>–</w:t>
      </w:r>
      <w:r w:rsidRPr="00F956B4">
        <w:rPr>
          <w:snapToGrid w:val="0"/>
          <w:color w:val="000000" w:themeColor="text1"/>
        </w:rPr>
        <w:t xml:space="preserve"> </w:t>
      </w:r>
      <w:r w:rsidR="008C483F" w:rsidRPr="00F956B4">
        <w:rPr>
          <w:snapToGrid w:val="0"/>
          <w:color w:val="000000" w:themeColor="text1"/>
        </w:rPr>
        <w:t>Price</w:t>
      </w:r>
    </w:p>
    <w:p w14:paraId="571093AF" w14:textId="280BCD4E" w:rsidR="008C483F" w:rsidRDefault="008C483F" w:rsidP="008C483F">
      <w:pPr>
        <w:pStyle w:val="ListParagraph"/>
        <w:numPr>
          <w:ilvl w:val="0"/>
          <w:numId w:val="25"/>
        </w:numPr>
        <w:ind w:firstLine="273"/>
        <w:rPr>
          <w:snapToGrid w:val="0"/>
          <w:color w:val="000000" w:themeColor="text1"/>
        </w:rPr>
      </w:pPr>
      <w:r w:rsidRPr="00F956B4">
        <w:rPr>
          <w:snapToGrid w:val="0"/>
          <w:color w:val="000000" w:themeColor="text1"/>
        </w:rPr>
        <w:t>Schedule 3 – General Preambles</w:t>
      </w:r>
    </w:p>
    <w:p w14:paraId="08149841" w14:textId="1B722FEC" w:rsidR="00F956B4" w:rsidRPr="00F956B4" w:rsidRDefault="00F956B4" w:rsidP="00F956B4">
      <w:pPr>
        <w:pStyle w:val="ListParagraph"/>
        <w:numPr>
          <w:ilvl w:val="0"/>
          <w:numId w:val="25"/>
        </w:numPr>
        <w:ind w:firstLine="273"/>
        <w:rPr>
          <w:snapToGrid w:val="0"/>
          <w:color w:val="000000" w:themeColor="text1"/>
        </w:rPr>
      </w:pPr>
      <w:r>
        <w:rPr>
          <w:snapToGrid w:val="0"/>
          <w:color w:val="000000" w:themeColor="text1"/>
        </w:rPr>
        <w:t>Schedule 4 – Key Contacts</w:t>
      </w:r>
    </w:p>
    <w:p w14:paraId="17A20CC0" w14:textId="77777777" w:rsidR="00EF6474" w:rsidRPr="00F956B4" w:rsidRDefault="00EF6474" w:rsidP="000A46DB">
      <w:pPr>
        <w:pStyle w:val="Heading2"/>
        <w:tabs>
          <w:tab w:val="num" w:pos="709"/>
        </w:tabs>
        <w:spacing w:before="240" w:after="240"/>
        <w:ind w:left="709" w:hanging="709"/>
      </w:pPr>
      <w:bookmarkStart w:id="45" w:name="_Toc518996233"/>
      <w:bookmarkStart w:id="46" w:name="_Toc530675199"/>
      <w:r w:rsidRPr="00F956B4">
        <w:t>Contract Period</w:t>
      </w:r>
      <w:bookmarkEnd w:id="45"/>
      <w:bookmarkEnd w:id="46"/>
    </w:p>
    <w:p w14:paraId="0E016833" w14:textId="3D8263EC" w:rsidR="001A7A24" w:rsidRPr="00F956B4" w:rsidRDefault="00EF6474" w:rsidP="007E512E">
      <w:pPr>
        <w:pStyle w:val="ListParagraph"/>
        <w:numPr>
          <w:ilvl w:val="0"/>
          <w:numId w:val="19"/>
        </w:numPr>
        <w:ind w:hanging="720"/>
        <w:contextualSpacing w:val="0"/>
        <w:rPr>
          <w:snapToGrid w:val="0"/>
        </w:rPr>
      </w:pPr>
      <w:r w:rsidRPr="00F956B4">
        <w:rPr>
          <w:snapToGrid w:val="0"/>
        </w:rPr>
        <w:t xml:space="preserve">It is intended that any resultant Contract shall commence as soon </w:t>
      </w:r>
      <w:r w:rsidR="00BC140C" w:rsidRPr="00F956B4">
        <w:rPr>
          <w:snapToGrid w:val="0"/>
        </w:rPr>
        <w:t xml:space="preserve">as practically possible </w:t>
      </w:r>
      <w:r w:rsidRPr="00F956B4">
        <w:rPr>
          <w:snapToGrid w:val="0"/>
        </w:rPr>
        <w:t xml:space="preserve">after receipt of formal letter of award as may be agreed. Contract period </w:t>
      </w:r>
      <w:r w:rsidR="00030DD5" w:rsidRPr="00F956B4">
        <w:rPr>
          <w:snapToGrid w:val="0"/>
        </w:rPr>
        <w:t xml:space="preserve">to be </w:t>
      </w:r>
      <w:r w:rsidR="00BC140C" w:rsidRPr="00F956B4">
        <w:rPr>
          <w:snapToGrid w:val="0"/>
        </w:rPr>
        <w:t>six weeks</w:t>
      </w:r>
      <w:r w:rsidR="00E30A34" w:rsidRPr="00F956B4">
        <w:rPr>
          <w:snapToGrid w:val="0"/>
        </w:rPr>
        <w:t xml:space="preserve"> with the aim of the works starting on or around March 2018 </w:t>
      </w:r>
      <w:r w:rsidR="005569A0" w:rsidRPr="00F956B4">
        <w:rPr>
          <w:snapToGrid w:val="0"/>
        </w:rPr>
        <w:t>with the intention of this</w:t>
      </w:r>
      <w:r w:rsidR="00E30A34" w:rsidRPr="00F956B4">
        <w:rPr>
          <w:snapToGrid w:val="0"/>
        </w:rPr>
        <w:t xml:space="preserve"> being completed by </w:t>
      </w:r>
      <w:r w:rsidR="005569A0" w:rsidRPr="00F956B4">
        <w:rPr>
          <w:snapToGrid w:val="0"/>
        </w:rPr>
        <w:t>3</w:t>
      </w:r>
      <w:r w:rsidR="006E6992" w:rsidRPr="00F956B4">
        <w:rPr>
          <w:snapToGrid w:val="0"/>
        </w:rPr>
        <w:t>1</w:t>
      </w:r>
      <w:r w:rsidR="005569A0" w:rsidRPr="00F956B4">
        <w:rPr>
          <w:snapToGrid w:val="0"/>
        </w:rPr>
        <w:t xml:space="preserve"> May 2019</w:t>
      </w:r>
      <w:r w:rsidR="001A7A24" w:rsidRPr="00F956B4">
        <w:rPr>
          <w:snapToGrid w:val="0"/>
        </w:rPr>
        <w:t xml:space="preserve">. </w:t>
      </w:r>
      <w:r w:rsidR="005569A0" w:rsidRPr="00F956B4">
        <w:rPr>
          <w:snapToGrid w:val="0"/>
        </w:rPr>
        <w:t xml:space="preserve">  NOTE:  If you </w:t>
      </w:r>
      <w:r w:rsidR="00BD3FF9" w:rsidRPr="00F956B4">
        <w:rPr>
          <w:snapToGrid w:val="0"/>
        </w:rPr>
        <w:t>would not be able to complete in this timeframe, please provide a completion date, however please note the Council reserves the right to</w:t>
      </w:r>
      <w:r w:rsidR="00AA7B6E" w:rsidRPr="00F956B4">
        <w:rPr>
          <w:snapToGrid w:val="0"/>
        </w:rPr>
        <w:t xml:space="preserve"> award to another Contractor if this date is not within a suitable timeframe.</w:t>
      </w:r>
    </w:p>
    <w:p w14:paraId="120FB00B" w14:textId="77777777" w:rsidR="005F7767" w:rsidRPr="000A46DB" w:rsidRDefault="005F7767" w:rsidP="000A46DB">
      <w:pPr>
        <w:pStyle w:val="Heading2"/>
        <w:tabs>
          <w:tab w:val="num" w:pos="709"/>
        </w:tabs>
        <w:spacing w:before="240" w:after="240"/>
        <w:ind w:left="709" w:hanging="709"/>
      </w:pPr>
      <w:bookmarkStart w:id="47" w:name="_Toc448995844"/>
      <w:bookmarkStart w:id="48" w:name="_Toc449018580"/>
      <w:bookmarkStart w:id="49" w:name="_Toc518996234"/>
      <w:bookmarkStart w:id="50" w:name="_Toc530675200"/>
      <w:r w:rsidRPr="000A46DB">
        <w:t>Insurance Levels</w:t>
      </w:r>
      <w:bookmarkEnd w:id="47"/>
      <w:bookmarkEnd w:id="48"/>
      <w:bookmarkEnd w:id="49"/>
      <w:bookmarkEnd w:id="50"/>
    </w:p>
    <w:p w14:paraId="75BCC549" w14:textId="77777777" w:rsidR="007E512E" w:rsidRPr="000F0131" w:rsidRDefault="007E512E" w:rsidP="007E512E">
      <w:pPr>
        <w:pStyle w:val="Heading3"/>
        <w:rPr>
          <w:sz w:val="22"/>
        </w:rPr>
      </w:pPr>
      <w:bookmarkStart w:id="51" w:name="_Toc422208903"/>
      <w:bookmarkStart w:id="52" w:name="_Toc424295913"/>
      <w:bookmarkStart w:id="53" w:name="_Toc448995845"/>
      <w:bookmarkStart w:id="54" w:name="_Hlk519065537"/>
      <w:bookmarkStart w:id="55" w:name="_Toc518996235"/>
      <w:r w:rsidRPr="000F0131">
        <w:rPr>
          <w:snapToGrid w:val="0"/>
          <w:sz w:val="22"/>
        </w:rPr>
        <w:t>Employer’s Liability Insurance</w:t>
      </w:r>
      <w:bookmarkEnd w:id="51"/>
      <w:bookmarkEnd w:id="52"/>
      <w:bookmarkEnd w:id="53"/>
    </w:p>
    <w:p w14:paraId="65E96792" w14:textId="5E0F267F" w:rsidR="007E512E" w:rsidRPr="0042424F" w:rsidRDefault="007E512E" w:rsidP="007E512E">
      <w:r>
        <w:t xml:space="preserve">The Authority’s minimum requirement for Employer’s Liability Insurance is </w:t>
      </w:r>
      <w:r w:rsidR="00774922" w:rsidRPr="00F956B4">
        <w:t>£5m</w:t>
      </w:r>
    </w:p>
    <w:p w14:paraId="306361AA" w14:textId="77777777" w:rsidR="007E512E" w:rsidRPr="000F0131" w:rsidRDefault="007E512E" w:rsidP="007E512E">
      <w:pPr>
        <w:pStyle w:val="Heading3"/>
        <w:tabs>
          <w:tab w:val="clear" w:pos="720"/>
        </w:tabs>
        <w:spacing w:before="120"/>
        <w:rPr>
          <w:snapToGrid w:val="0"/>
          <w:sz w:val="22"/>
        </w:rPr>
      </w:pPr>
      <w:bookmarkStart w:id="56" w:name="_Toc422208906"/>
      <w:bookmarkStart w:id="57" w:name="_Toc424295916"/>
      <w:bookmarkStart w:id="58" w:name="_Toc448995848"/>
      <w:r w:rsidRPr="000F0131">
        <w:rPr>
          <w:snapToGrid w:val="0"/>
          <w:sz w:val="22"/>
        </w:rPr>
        <w:t>Public Liability Insurance</w:t>
      </w:r>
      <w:bookmarkEnd w:id="56"/>
      <w:bookmarkEnd w:id="57"/>
      <w:bookmarkEnd w:id="58"/>
    </w:p>
    <w:p w14:paraId="2EF46AB7" w14:textId="7CC2DBBB" w:rsidR="00630E4D" w:rsidRDefault="007E512E" w:rsidP="00630E4D">
      <w:r>
        <w:t xml:space="preserve">The Authority’s minimum requirement for Public Liability Insurance </w:t>
      </w:r>
      <w:r w:rsidRPr="00F956B4">
        <w:t xml:space="preserve">is </w:t>
      </w:r>
      <w:r w:rsidR="00473D5D" w:rsidRPr="00F956B4">
        <w:t>£5m</w:t>
      </w:r>
      <w:r w:rsidRPr="00F956B4">
        <w:t>.</w:t>
      </w:r>
      <w:bookmarkEnd w:id="54"/>
      <w:bookmarkEnd w:id="55"/>
    </w:p>
    <w:p w14:paraId="5A7491EA" w14:textId="30FF0491" w:rsidR="00F956B4" w:rsidRDefault="00F956B4" w:rsidP="00630E4D"/>
    <w:p w14:paraId="425EF868" w14:textId="50642A95" w:rsidR="00F956B4" w:rsidRDefault="00F956B4" w:rsidP="00630E4D"/>
    <w:p w14:paraId="2DC27E35" w14:textId="7E7EB1F7" w:rsidR="00F956B4" w:rsidRDefault="00F956B4" w:rsidP="00630E4D"/>
    <w:p w14:paraId="5D7E5846" w14:textId="7359A607" w:rsidR="00F956B4" w:rsidRDefault="00F956B4" w:rsidP="00630E4D"/>
    <w:p w14:paraId="51434D2F" w14:textId="77777777" w:rsidR="00F956B4" w:rsidRDefault="00F956B4" w:rsidP="00630E4D"/>
    <w:p w14:paraId="5A1756BC" w14:textId="54F752A3" w:rsidR="00DB30B9" w:rsidRPr="00FB11A0" w:rsidRDefault="00E416E8" w:rsidP="00ED1A68">
      <w:pPr>
        <w:pStyle w:val="Heading2"/>
        <w:numPr>
          <w:ilvl w:val="0"/>
          <w:numId w:val="0"/>
        </w:numPr>
        <w:spacing w:after="240"/>
        <w:ind w:left="3697" w:hanging="3697"/>
        <w:rPr>
          <w:u w:val="single"/>
        </w:rPr>
      </w:pPr>
      <w:bookmarkStart w:id="59" w:name="_Toc530675201"/>
      <w:r w:rsidRPr="00FB11A0">
        <w:rPr>
          <w:u w:val="single"/>
        </w:rPr>
        <w:lastRenderedPageBreak/>
        <w:t xml:space="preserve">Section </w:t>
      </w:r>
      <w:r w:rsidR="00A16062">
        <w:rPr>
          <w:u w:val="single"/>
        </w:rPr>
        <w:t>3</w:t>
      </w:r>
      <w:r w:rsidRPr="00FB11A0">
        <w:rPr>
          <w:u w:val="single"/>
        </w:rPr>
        <w:t xml:space="preserve"> </w:t>
      </w:r>
      <w:r w:rsidR="007D0C94" w:rsidRPr="00FB11A0">
        <w:rPr>
          <w:u w:val="single"/>
        </w:rPr>
        <w:t xml:space="preserve">- </w:t>
      </w:r>
      <w:r w:rsidR="00DB30B9" w:rsidRPr="00FB11A0">
        <w:rPr>
          <w:u w:val="single"/>
        </w:rPr>
        <w:t xml:space="preserve">About the </w:t>
      </w:r>
      <w:r w:rsidR="008D4DEE" w:rsidRPr="00FB11A0">
        <w:rPr>
          <w:u w:val="single"/>
        </w:rPr>
        <w:t xml:space="preserve">Procurement </w:t>
      </w:r>
      <w:r w:rsidR="00DB30B9" w:rsidRPr="00FB11A0">
        <w:rPr>
          <w:u w:val="single"/>
        </w:rPr>
        <w:t>Process</w:t>
      </w:r>
      <w:bookmarkEnd w:id="59"/>
    </w:p>
    <w:p w14:paraId="4662E1F8" w14:textId="77777777" w:rsidR="00FA180B" w:rsidRPr="00FA180B" w:rsidRDefault="00FA180B" w:rsidP="00FA180B">
      <w:pPr>
        <w:pStyle w:val="ListParagraph"/>
        <w:keepNext/>
        <w:numPr>
          <w:ilvl w:val="0"/>
          <w:numId w:val="7"/>
        </w:numPr>
        <w:pBdr>
          <w:bottom w:val="single" w:sz="4" w:space="6" w:color="808080"/>
        </w:pBdr>
        <w:spacing w:after="480"/>
        <w:contextualSpacing w:val="0"/>
        <w:outlineLvl w:val="0"/>
        <w:rPr>
          <w:b/>
          <w:vanish/>
          <w:sz w:val="36"/>
        </w:rPr>
      </w:pPr>
      <w:bookmarkStart w:id="60" w:name="_Toc519242887"/>
      <w:bookmarkStart w:id="61" w:name="_Toc519243066"/>
      <w:bookmarkStart w:id="62" w:name="_Toc519243932"/>
      <w:bookmarkStart w:id="63" w:name="_Toc519244070"/>
      <w:bookmarkStart w:id="64" w:name="_Toc519518181"/>
      <w:bookmarkStart w:id="65" w:name="_Toc527706573"/>
      <w:bookmarkStart w:id="66" w:name="_Toc527706632"/>
      <w:bookmarkStart w:id="67" w:name="_Toc529102512"/>
      <w:bookmarkStart w:id="68" w:name="_Toc529102572"/>
      <w:bookmarkStart w:id="69" w:name="_Toc529102632"/>
      <w:bookmarkStart w:id="70" w:name="_Toc529102692"/>
      <w:bookmarkStart w:id="71" w:name="_Toc530675202"/>
      <w:bookmarkStart w:id="72" w:name="_Toc518996230"/>
      <w:bookmarkEnd w:id="60"/>
      <w:bookmarkEnd w:id="61"/>
      <w:bookmarkEnd w:id="62"/>
      <w:bookmarkEnd w:id="63"/>
      <w:bookmarkEnd w:id="64"/>
      <w:bookmarkEnd w:id="65"/>
      <w:bookmarkEnd w:id="66"/>
      <w:bookmarkEnd w:id="67"/>
      <w:bookmarkEnd w:id="68"/>
      <w:bookmarkEnd w:id="69"/>
      <w:bookmarkEnd w:id="70"/>
      <w:bookmarkEnd w:id="71"/>
    </w:p>
    <w:p w14:paraId="613C1615" w14:textId="377DFF51" w:rsidR="00CC0F23" w:rsidRPr="0083392B" w:rsidRDefault="00CC0F23" w:rsidP="009B183C">
      <w:pPr>
        <w:pStyle w:val="Heading2"/>
        <w:tabs>
          <w:tab w:val="num" w:pos="-439"/>
        </w:tabs>
        <w:spacing w:before="240" w:after="240"/>
        <w:ind w:left="709" w:hanging="709"/>
      </w:pPr>
      <w:bookmarkStart w:id="73" w:name="_Toc530675203"/>
      <w:r w:rsidRPr="00E90676">
        <w:t>Procurement Procedure</w:t>
      </w:r>
      <w:bookmarkEnd w:id="72"/>
      <w:bookmarkEnd w:id="73"/>
    </w:p>
    <w:p w14:paraId="39589BE6" w14:textId="77777777" w:rsidR="00E455FB" w:rsidRPr="00FC68AC" w:rsidRDefault="00E455FB" w:rsidP="00FC68AC">
      <w:pPr>
        <w:keepNext/>
        <w:numPr>
          <w:ilvl w:val="2"/>
          <w:numId w:val="7"/>
        </w:numPr>
        <w:tabs>
          <w:tab w:val="clear" w:pos="720"/>
        </w:tabs>
        <w:spacing w:before="120" w:after="120"/>
        <w:outlineLvl w:val="2"/>
      </w:pPr>
      <w:r w:rsidRPr="00FC68AC">
        <w:t>The Authority is issuing this Invitation to Tender (ITT) and is inviting expressions of interest and Bids from Applicants in response to the published advertisement. The ‘Open’ procurement process has been selected by the Authority for this below threshold tender in line with the Authority’s Contract Procedure Rules and means that all Applicants that submit a Bid shall be evaluated in accordance with the criteria and process outlined within Volume Two (2) Applicant’s Offer and the information contained within it shall be used by the Authority as the means to make a Contract award decision.</w:t>
      </w:r>
    </w:p>
    <w:p w14:paraId="630EC6C3" w14:textId="48C0C1ED" w:rsidR="00FE769D" w:rsidRDefault="00FE769D" w:rsidP="009B183C">
      <w:pPr>
        <w:pStyle w:val="Heading2"/>
        <w:tabs>
          <w:tab w:val="num" w:pos="-439"/>
        </w:tabs>
        <w:spacing w:before="240" w:after="240"/>
        <w:ind w:left="709" w:hanging="709"/>
      </w:pPr>
      <w:bookmarkStart w:id="74" w:name="_Toc530675204"/>
      <w:r>
        <w:t>Instructions for Completion</w:t>
      </w:r>
      <w:bookmarkEnd w:id="74"/>
    </w:p>
    <w:p w14:paraId="48EC09E5" w14:textId="77777777" w:rsidR="00FE769D" w:rsidRPr="000A46DB" w:rsidRDefault="00FE769D" w:rsidP="000A46DB">
      <w:pPr>
        <w:keepNext/>
        <w:numPr>
          <w:ilvl w:val="2"/>
          <w:numId w:val="7"/>
        </w:numPr>
        <w:tabs>
          <w:tab w:val="clear" w:pos="720"/>
        </w:tabs>
        <w:spacing w:before="120" w:after="120"/>
        <w:outlineLvl w:val="2"/>
      </w:pPr>
      <w:r w:rsidRPr="000A46DB">
        <w:t>All response must be written in English and costs submitted are to be presented in Pounds Sterling, exclusive of VAT, but inclusive of all other costs where not stated in the Pricing Document.</w:t>
      </w:r>
    </w:p>
    <w:p w14:paraId="224474FA" w14:textId="77777777" w:rsidR="00FE769D" w:rsidRPr="000A46DB" w:rsidRDefault="00FE769D" w:rsidP="000A46DB">
      <w:pPr>
        <w:keepNext/>
        <w:numPr>
          <w:ilvl w:val="2"/>
          <w:numId w:val="7"/>
        </w:numPr>
        <w:tabs>
          <w:tab w:val="clear" w:pos="720"/>
        </w:tabs>
        <w:spacing w:before="120" w:after="120"/>
        <w:outlineLvl w:val="2"/>
      </w:pPr>
      <w:r w:rsidRPr="000A46DB">
        <w:t xml:space="preserve">Where details are provided by the Applicant in literature that they submit in connection with the response, they must ensure that clear cross-references are given to the Council. </w:t>
      </w:r>
    </w:p>
    <w:p w14:paraId="37486C0B" w14:textId="3171F910" w:rsidR="00FE769D" w:rsidRPr="00636758" w:rsidRDefault="00FE769D" w:rsidP="000A46DB">
      <w:pPr>
        <w:keepNext/>
        <w:numPr>
          <w:ilvl w:val="2"/>
          <w:numId w:val="7"/>
        </w:numPr>
        <w:tabs>
          <w:tab w:val="clear" w:pos="720"/>
        </w:tabs>
        <w:spacing w:before="120" w:after="120"/>
        <w:outlineLvl w:val="2"/>
        <w:rPr>
          <w:color w:val="0000FF"/>
        </w:rPr>
      </w:pPr>
      <w:r w:rsidRPr="000A46DB">
        <w:t>The following documents</w:t>
      </w:r>
      <w:r w:rsidRPr="00863C1E">
        <w:rPr>
          <w:snapToGrid w:val="0"/>
        </w:rPr>
        <w:t xml:space="preserve"> must be completed, signed and returned with the </w:t>
      </w:r>
      <w:r w:rsidR="00634068">
        <w:rPr>
          <w:snapToGrid w:val="0"/>
        </w:rPr>
        <w:t>tender</w:t>
      </w:r>
      <w:r w:rsidRPr="00636758">
        <w:rPr>
          <w:color w:val="0000FF"/>
        </w:rPr>
        <w:t xml:space="preserve">: </w:t>
      </w:r>
    </w:p>
    <w:p w14:paraId="7065B7F0" w14:textId="77777777" w:rsidR="00FE769D" w:rsidRPr="00124986" w:rsidRDefault="00FE769D" w:rsidP="003B30FC">
      <w:pPr>
        <w:pStyle w:val="ListParagraph"/>
        <w:numPr>
          <w:ilvl w:val="0"/>
          <w:numId w:val="15"/>
        </w:numPr>
      </w:pPr>
      <w:r w:rsidRPr="00124986">
        <w:t>Certificates and Declarations</w:t>
      </w:r>
    </w:p>
    <w:p w14:paraId="0B1FF2AD" w14:textId="77777777" w:rsidR="003308DB" w:rsidRDefault="003308DB" w:rsidP="003B30FC">
      <w:pPr>
        <w:pStyle w:val="ListParagraph"/>
        <w:numPr>
          <w:ilvl w:val="0"/>
          <w:numId w:val="15"/>
        </w:numPr>
      </w:pPr>
      <w:r>
        <w:t>Volume 2 – Pass / Fail Questions</w:t>
      </w:r>
    </w:p>
    <w:p w14:paraId="30D08BFB" w14:textId="7559A51B" w:rsidR="00FE769D" w:rsidRPr="00124986" w:rsidRDefault="00FE769D" w:rsidP="003B30FC">
      <w:pPr>
        <w:pStyle w:val="ListParagraph"/>
        <w:numPr>
          <w:ilvl w:val="0"/>
          <w:numId w:val="15"/>
        </w:numPr>
      </w:pPr>
      <w:r w:rsidRPr="00124986">
        <w:t xml:space="preserve">Pricing </w:t>
      </w:r>
      <w:r w:rsidR="00634068">
        <w:t>Schedule</w:t>
      </w:r>
    </w:p>
    <w:p w14:paraId="4B96D700" w14:textId="77777777" w:rsidR="00FE769D" w:rsidRPr="00FB11A0" w:rsidRDefault="00FE769D" w:rsidP="000A46DB">
      <w:pPr>
        <w:keepNext/>
        <w:numPr>
          <w:ilvl w:val="2"/>
          <w:numId w:val="7"/>
        </w:numPr>
        <w:tabs>
          <w:tab w:val="clear" w:pos="720"/>
        </w:tabs>
        <w:spacing w:before="120" w:after="120"/>
        <w:outlineLvl w:val="2"/>
      </w:pPr>
      <w:r w:rsidRPr="00FB11A0">
        <w:t xml:space="preserve">Any information relating to the Council and supplied by the Council shall be kept by the Applicant in strictest confidence. </w:t>
      </w:r>
    </w:p>
    <w:p w14:paraId="74C30B64" w14:textId="55D55DF7" w:rsidR="00FE769D" w:rsidRDefault="00FE769D" w:rsidP="000A46DB">
      <w:pPr>
        <w:keepNext/>
        <w:numPr>
          <w:ilvl w:val="2"/>
          <w:numId w:val="7"/>
        </w:numPr>
        <w:tabs>
          <w:tab w:val="clear" w:pos="720"/>
        </w:tabs>
        <w:spacing w:before="120" w:after="120"/>
        <w:outlineLvl w:val="2"/>
      </w:pPr>
      <w:r w:rsidRPr="00FB11A0">
        <w:t xml:space="preserve">Applicants are advised that the Council is not bound to accept the lowest </w:t>
      </w:r>
      <w:r w:rsidR="00634068">
        <w:t>tender</w:t>
      </w:r>
      <w:r w:rsidRPr="00FB11A0">
        <w:t xml:space="preserve"> submitted, nor to reimburse any expense incurred during the process. </w:t>
      </w:r>
    </w:p>
    <w:p w14:paraId="608A7A15" w14:textId="72C73FE6" w:rsidR="00ED12AE" w:rsidRPr="00E224E6" w:rsidRDefault="000D62FF" w:rsidP="009B183C">
      <w:pPr>
        <w:pStyle w:val="Heading2"/>
        <w:tabs>
          <w:tab w:val="num" w:pos="709"/>
        </w:tabs>
        <w:spacing w:before="240" w:after="240"/>
        <w:ind w:left="3697" w:hanging="3697"/>
      </w:pPr>
      <w:bookmarkStart w:id="75" w:name="_Toc530675205"/>
      <w:r w:rsidRPr="00FB11A0">
        <w:t>Clarification Process</w:t>
      </w:r>
      <w:bookmarkEnd w:id="75"/>
    </w:p>
    <w:p w14:paraId="1E7EC3AB" w14:textId="77777777" w:rsidR="0095210A" w:rsidRPr="00800C95" w:rsidRDefault="0095210A" w:rsidP="0095210A">
      <w:pPr>
        <w:keepNext/>
        <w:numPr>
          <w:ilvl w:val="2"/>
          <w:numId w:val="13"/>
        </w:numPr>
        <w:spacing w:before="120" w:after="120"/>
      </w:pPr>
      <w:bookmarkStart w:id="76" w:name="_Ref422216250"/>
      <w:bookmarkStart w:id="77" w:name="_Ref422216260"/>
      <w:bookmarkStart w:id="78" w:name="_Ref422216270"/>
      <w:bookmarkStart w:id="79" w:name="_Ref422216290"/>
      <w:bookmarkStart w:id="80" w:name="_Ref422216294"/>
      <w:bookmarkStart w:id="81" w:name="_Toc448995837"/>
      <w:bookmarkStart w:id="82" w:name="_Toc449018573"/>
      <w:bookmarkStart w:id="83" w:name="_Toc518996232"/>
      <w:r>
        <w:t>All clarification enquiries should be directed to the Authorised Representative shown below and by no later than the date indicated in the Procurement Timetable detailed elsewhere in this document.</w:t>
      </w:r>
    </w:p>
    <w:p w14:paraId="002542FD" w14:textId="77777777" w:rsidR="0095210A" w:rsidRDefault="0095210A" w:rsidP="0095210A">
      <w:pPr>
        <w:keepNext/>
        <w:numPr>
          <w:ilvl w:val="2"/>
          <w:numId w:val="13"/>
        </w:numPr>
        <w:spacing w:before="120" w:after="120"/>
      </w:pPr>
      <w:r>
        <w:t>Applicants are advised that where such enquiries have been made, and it is appropriate to do so, the Council will provide access to all Applicants and interested parties a copy of the Clarification and the written reply, with anonymity preserved.</w:t>
      </w:r>
    </w:p>
    <w:p w14:paraId="31829311" w14:textId="2F3D114D" w:rsidR="003308DB" w:rsidRDefault="0095210A" w:rsidP="00800C95">
      <w:pPr>
        <w:keepNext/>
        <w:numPr>
          <w:ilvl w:val="2"/>
          <w:numId w:val="13"/>
        </w:numPr>
        <w:spacing w:before="120" w:after="120"/>
      </w:pPr>
      <w:r>
        <w:t xml:space="preserve">The process for providing updates on Clarification will be via publishing updates on the Council’s website where the tender is published and via Contracts Finder.  In addition, Applicants and interested parties are asked to provide their contact details to </w:t>
      </w:r>
      <w:r w:rsidR="001754AC" w:rsidRPr="00800C95">
        <w:t xml:space="preserve">the Authorised Representative </w:t>
      </w:r>
      <w:r>
        <w:t>whereby the Council will endeavour to provide relevant updates to the contact point provided.</w:t>
      </w:r>
    </w:p>
    <w:p w14:paraId="34E5828E" w14:textId="77777777" w:rsidR="00E95881" w:rsidRDefault="00E95881">
      <w:pPr>
        <w:spacing w:after="0" w:line="240" w:lineRule="auto"/>
        <w:rPr>
          <w:b/>
          <w:sz w:val="28"/>
        </w:rPr>
      </w:pPr>
      <w:r>
        <w:br w:type="page"/>
      </w:r>
    </w:p>
    <w:p w14:paraId="6C42185B" w14:textId="16A4372D" w:rsidR="003308DB" w:rsidRDefault="0095210A" w:rsidP="0095210A">
      <w:pPr>
        <w:pStyle w:val="Heading2"/>
        <w:tabs>
          <w:tab w:val="num" w:pos="709"/>
        </w:tabs>
        <w:spacing w:before="240" w:after="240"/>
        <w:ind w:left="3697" w:hanging="3697"/>
      </w:pPr>
      <w:r w:rsidRPr="00E90676">
        <w:lastRenderedPageBreak/>
        <w:t xml:space="preserve"> </w:t>
      </w:r>
      <w:bookmarkStart w:id="84" w:name="_Toc530675206"/>
      <w:r w:rsidR="003308DB">
        <w:t>Authority Representatives</w:t>
      </w:r>
    </w:p>
    <w:bookmarkEnd w:id="76"/>
    <w:bookmarkEnd w:id="77"/>
    <w:bookmarkEnd w:id="78"/>
    <w:bookmarkEnd w:id="79"/>
    <w:bookmarkEnd w:id="80"/>
    <w:bookmarkEnd w:id="81"/>
    <w:bookmarkEnd w:id="82"/>
    <w:bookmarkEnd w:id="83"/>
    <w:bookmarkEnd w:id="84"/>
    <w:p w14:paraId="337FB48E" w14:textId="667F6C74" w:rsidR="007D24E2" w:rsidRDefault="007D24E2" w:rsidP="000A46DB">
      <w:pPr>
        <w:keepNext/>
        <w:numPr>
          <w:ilvl w:val="2"/>
          <w:numId w:val="7"/>
        </w:numPr>
        <w:tabs>
          <w:tab w:val="clear" w:pos="720"/>
        </w:tabs>
        <w:spacing w:before="120" w:after="120"/>
        <w:outlineLvl w:val="2"/>
      </w:pPr>
      <w:r w:rsidRPr="00E90676">
        <w:t xml:space="preserve">No person in the Authority’s employ or other agent, except as so authorised by the Authority Authorised Representative, has any authority to make any representation or explanation to Applicants as to the meaning of the Contract or any other document or as to anything to be done or not to be done by Applicants or the </w:t>
      </w:r>
      <w:r w:rsidRPr="00E90676">
        <w:rPr>
          <w:rFonts w:cs="Arial"/>
          <w:b/>
        </w:rPr>
        <w:t>successful</w:t>
      </w:r>
      <w:r w:rsidRPr="00E90676">
        <w:t xml:space="preserve"> Applicant or as to these instructions or as to any other matter or thing so as to bind the Authority.</w:t>
      </w:r>
    </w:p>
    <w:tbl>
      <w:tblPr>
        <w:tblpPr w:leftFromText="180" w:rightFromText="180" w:vertAnchor="text" w:horzAnchor="margin" w:tblpXSpec="center" w:tblpY="74"/>
        <w:tblW w:w="8647"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000" w:firstRow="0" w:lastRow="0" w:firstColumn="0" w:lastColumn="0" w:noHBand="0" w:noVBand="0"/>
      </w:tblPr>
      <w:tblGrid>
        <w:gridCol w:w="8647"/>
      </w:tblGrid>
      <w:tr w:rsidR="000A46DB" w:rsidRPr="00E90676" w14:paraId="38F53896" w14:textId="77777777" w:rsidTr="003D5D8C">
        <w:tc>
          <w:tcPr>
            <w:tcW w:w="8647" w:type="dxa"/>
            <w:shd w:val="clear" w:color="auto" w:fill="C00000"/>
          </w:tcPr>
          <w:p w14:paraId="6812EC04" w14:textId="77777777" w:rsidR="000A46DB" w:rsidRPr="000A46DB" w:rsidRDefault="000A46DB" w:rsidP="000A46DB">
            <w:pPr>
              <w:spacing w:before="120" w:after="120" w:line="240" w:lineRule="auto"/>
              <w:ind w:right="-249"/>
              <w:rPr>
                <w:rFonts w:cs="Arial"/>
                <w:b/>
                <w:color w:val="FFFFFF" w:themeColor="background1"/>
              </w:rPr>
            </w:pPr>
            <w:r w:rsidRPr="000A46DB">
              <w:rPr>
                <w:rFonts w:cs="Arial"/>
                <w:b/>
                <w:color w:val="FFFFFF" w:themeColor="background1"/>
              </w:rPr>
              <w:t>Authority Authorised Representative contact</w:t>
            </w:r>
            <w:r w:rsidRPr="000A46DB">
              <w:rPr>
                <w:rFonts w:cs="Arial"/>
                <w:b/>
                <w:caps/>
                <w:color w:val="FFFFFF" w:themeColor="background1"/>
              </w:rPr>
              <w:t xml:space="preserve"> </w:t>
            </w:r>
            <w:r w:rsidRPr="000A46DB">
              <w:rPr>
                <w:rFonts w:cs="Arial"/>
                <w:b/>
                <w:color w:val="FFFFFF" w:themeColor="background1"/>
              </w:rPr>
              <w:t>details:</w:t>
            </w:r>
          </w:p>
        </w:tc>
      </w:tr>
      <w:tr w:rsidR="000A46DB" w:rsidRPr="00E90676" w14:paraId="17B19936" w14:textId="77777777" w:rsidTr="003D5D8C">
        <w:tc>
          <w:tcPr>
            <w:tcW w:w="8647" w:type="dxa"/>
          </w:tcPr>
          <w:p w14:paraId="328891E2" w14:textId="5D286096" w:rsidR="000A46DB" w:rsidRDefault="00F956B4" w:rsidP="00275831">
            <w:pPr>
              <w:spacing w:before="120" w:after="120" w:line="120" w:lineRule="atLeast"/>
              <w:rPr>
                <w:color w:val="000000" w:themeColor="text1"/>
              </w:rPr>
            </w:pPr>
            <w:r>
              <w:rPr>
                <w:color w:val="000000" w:themeColor="text1"/>
              </w:rPr>
              <w:t>Ruth Thomas – Finance officer</w:t>
            </w:r>
          </w:p>
          <w:p w14:paraId="3C515834" w14:textId="47CC2129" w:rsidR="000A46DB" w:rsidRPr="00617C06" w:rsidRDefault="000A46DB" w:rsidP="00275831">
            <w:pPr>
              <w:spacing w:before="120" w:after="120" w:line="120" w:lineRule="atLeast"/>
              <w:rPr>
                <w:color w:val="0000FF"/>
                <w:u w:val="single"/>
              </w:rPr>
            </w:pPr>
            <w:r>
              <w:rPr>
                <w:color w:val="000000" w:themeColor="text1"/>
              </w:rPr>
              <w:t xml:space="preserve">Email:     </w:t>
            </w:r>
            <w:r w:rsidR="00F956B4" w:rsidRPr="00F956B4">
              <w:t>ruth@falmouthtowncouncil.com</w:t>
            </w:r>
          </w:p>
        </w:tc>
      </w:tr>
    </w:tbl>
    <w:p w14:paraId="46C14B66" w14:textId="40239E8E" w:rsidR="00ED12AE" w:rsidRPr="007E374B" w:rsidRDefault="00ED12AE" w:rsidP="009B183C">
      <w:pPr>
        <w:pStyle w:val="Heading2"/>
        <w:tabs>
          <w:tab w:val="num" w:pos="709"/>
        </w:tabs>
        <w:spacing w:before="240" w:after="240"/>
        <w:ind w:left="3697" w:hanging="3697"/>
      </w:pPr>
      <w:bookmarkStart w:id="85" w:name="_Toc530675207"/>
      <w:r w:rsidRPr="007E374B">
        <w:t>Format</w:t>
      </w:r>
      <w:r w:rsidR="00384C37" w:rsidRPr="007E374B">
        <w:t xml:space="preserve"> of Response</w:t>
      </w:r>
      <w:r w:rsidR="00B1032C">
        <w:t xml:space="preserve"> / Submission</w:t>
      </w:r>
      <w:bookmarkEnd w:id="85"/>
    </w:p>
    <w:p w14:paraId="1A450812" w14:textId="7B699613" w:rsidR="00F149B6" w:rsidRDefault="00ED12AE" w:rsidP="000A46DB">
      <w:pPr>
        <w:keepNext/>
        <w:numPr>
          <w:ilvl w:val="2"/>
          <w:numId w:val="7"/>
        </w:numPr>
        <w:tabs>
          <w:tab w:val="clear" w:pos="720"/>
        </w:tabs>
        <w:spacing w:before="120" w:after="120"/>
        <w:outlineLvl w:val="2"/>
      </w:pPr>
      <w:r w:rsidRPr="00DF6F16">
        <w:t xml:space="preserve">The </w:t>
      </w:r>
      <w:r w:rsidR="00983D16">
        <w:t>response</w:t>
      </w:r>
      <w:r w:rsidRPr="00DF6F16">
        <w:t xml:space="preserve"> must be delivered </w:t>
      </w:r>
      <w:r w:rsidR="00B1032C">
        <w:t>by no later tha</w:t>
      </w:r>
      <w:r w:rsidR="00B63E9E">
        <w:t xml:space="preserve">n </w:t>
      </w:r>
      <w:r w:rsidR="00B1032C">
        <w:t>the time and date stated on V</w:t>
      </w:r>
      <w:r w:rsidR="007F30FD">
        <w:t>olume 2</w:t>
      </w:r>
      <w:r w:rsidR="002D3210">
        <w:t xml:space="preserve"> Applicants Offer</w:t>
      </w:r>
      <w:r w:rsidR="00BB0745">
        <w:t xml:space="preserve">, and </w:t>
      </w:r>
      <w:r w:rsidR="006342D9" w:rsidRPr="007B6C53">
        <w:t>submitted to</w:t>
      </w:r>
      <w:r w:rsidR="00F956B4">
        <w:t xml:space="preserve"> ruth@falmouthtowncouncil.com</w:t>
      </w:r>
    </w:p>
    <w:p w14:paraId="23257A59" w14:textId="0BA03ED4" w:rsidR="00F149B6" w:rsidRPr="009431D0" w:rsidRDefault="00F149B6" w:rsidP="000A46DB">
      <w:pPr>
        <w:keepNext/>
        <w:numPr>
          <w:ilvl w:val="2"/>
          <w:numId w:val="7"/>
        </w:numPr>
        <w:tabs>
          <w:tab w:val="clear" w:pos="720"/>
        </w:tabs>
        <w:spacing w:before="120" w:after="120"/>
        <w:outlineLvl w:val="2"/>
      </w:pPr>
      <w:r w:rsidRPr="009431D0">
        <w:t>When submitting your response, please be aware of the speed of your Internet connection, your system configuration and general web traffic that may impact on the time required to complete the transaction. Loading and submitting of the tender must be completed by the final submission time.</w:t>
      </w:r>
    </w:p>
    <w:p w14:paraId="014D1EEC" w14:textId="51923ED3" w:rsidR="00ED12AE" w:rsidRPr="00E224E6" w:rsidRDefault="00ED12AE" w:rsidP="009B183C">
      <w:pPr>
        <w:pStyle w:val="Heading2"/>
        <w:tabs>
          <w:tab w:val="num" w:pos="709"/>
        </w:tabs>
        <w:spacing w:before="240" w:after="240"/>
        <w:ind w:left="3697" w:hanging="3697"/>
      </w:pPr>
      <w:bookmarkStart w:id="86" w:name="_Toc530675208"/>
      <w:r w:rsidRPr="00E224E6">
        <w:t>Validity Period</w:t>
      </w:r>
      <w:bookmarkEnd w:id="86"/>
    </w:p>
    <w:p w14:paraId="06A7F4D1" w14:textId="65A408A4" w:rsidR="00ED12AE" w:rsidRDefault="000C04A1" w:rsidP="009B183C">
      <w:pPr>
        <w:keepNext/>
        <w:numPr>
          <w:ilvl w:val="2"/>
          <w:numId w:val="7"/>
        </w:numPr>
        <w:tabs>
          <w:tab w:val="clear" w:pos="720"/>
        </w:tabs>
        <w:spacing w:before="120" w:after="120"/>
        <w:outlineLvl w:val="2"/>
      </w:pPr>
      <w:r>
        <w:t>The Tender response</w:t>
      </w:r>
      <w:r w:rsidR="00ED12AE" w:rsidRPr="00052049">
        <w:t xml:space="preserve"> must remain valid for acceptance for a period </w:t>
      </w:r>
      <w:r w:rsidR="00ED12AE" w:rsidRPr="003E004A">
        <w:t>of 90 days</w:t>
      </w:r>
      <w:r w:rsidR="00ED12AE" w:rsidRPr="007B6C53">
        <w:t xml:space="preserve"> </w:t>
      </w:r>
      <w:r w:rsidR="00ED12AE" w:rsidRPr="00052049">
        <w:t xml:space="preserve">from </w:t>
      </w:r>
      <w:r>
        <w:t>the</w:t>
      </w:r>
      <w:r w:rsidR="00ED12AE" w:rsidRPr="00052049">
        <w:t xml:space="preserve"> return date.</w:t>
      </w:r>
    </w:p>
    <w:p w14:paraId="67C513EF" w14:textId="0E9A9B68" w:rsidR="00ED2FD4" w:rsidRPr="00F26504" w:rsidRDefault="00ED2FD4" w:rsidP="009B183C">
      <w:pPr>
        <w:pStyle w:val="Heading2"/>
        <w:tabs>
          <w:tab w:val="num" w:pos="709"/>
        </w:tabs>
        <w:spacing w:before="240" w:after="240"/>
        <w:ind w:left="3697" w:hanging="3697"/>
      </w:pPr>
      <w:bookmarkStart w:id="87" w:name="_Toc530675209"/>
      <w:r w:rsidRPr="00F26504">
        <w:t>Procurement Timetable</w:t>
      </w:r>
      <w:bookmarkEnd w:id="87"/>
    </w:p>
    <w:p w14:paraId="3002DA28" w14:textId="62B6BBE6" w:rsidR="00E93905" w:rsidRDefault="00ED12AE" w:rsidP="00E179F0">
      <w:pPr>
        <w:widowControl w:val="0"/>
        <w:numPr>
          <w:ilvl w:val="2"/>
          <w:numId w:val="7"/>
        </w:numPr>
        <w:tabs>
          <w:tab w:val="clear" w:pos="720"/>
        </w:tabs>
        <w:spacing w:before="120" w:after="120"/>
        <w:outlineLvl w:val="2"/>
      </w:pPr>
      <w:r w:rsidRPr="00052049">
        <w:t xml:space="preserve">This procurement will follow a clear, structured </w:t>
      </w:r>
      <w:r w:rsidR="0085258C">
        <w:t>&amp;</w:t>
      </w:r>
      <w:r w:rsidRPr="00052049">
        <w:t xml:space="preserve"> transparent</w:t>
      </w:r>
      <w:r>
        <w:t xml:space="preserve"> </w:t>
      </w:r>
      <w:r w:rsidRPr="00052049">
        <w:t xml:space="preserve">process, to ensure that all Applicants are treated equally. </w:t>
      </w:r>
      <w:r>
        <w:t xml:space="preserve">The </w:t>
      </w:r>
      <w:r w:rsidRPr="00052049">
        <w:t>key dates for this procurement</w:t>
      </w:r>
      <w:r>
        <w:t xml:space="preserve"> are </w:t>
      </w:r>
      <w:r w:rsidRPr="00052049">
        <w:t>anticipated as:</w:t>
      </w:r>
    </w:p>
    <w:tbl>
      <w:tblPr>
        <w:tblW w:w="0" w:type="auto"/>
        <w:tblInd w:w="699"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shd w:val="clear" w:color="auto" w:fill="FFFFFF"/>
        <w:tblCellMar>
          <w:left w:w="0" w:type="dxa"/>
          <w:right w:w="0" w:type="dxa"/>
        </w:tblCellMar>
        <w:tblLook w:val="04A0" w:firstRow="1" w:lastRow="0" w:firstColumn="1" w:lastColumn="0" w:noHBand="0" w:noVBand="1"/>
      </w:tblPr>
      <w:tblGrid>
        <w:gridCol w:w="5649"/>
        <w:gridCol w:w="1598"/>
        <w:gridCol w:w="1624"/>
      </w:tblGrid>
      <w:tr w:rsidR="0078410B" w:rsidRPr="0078410B" w14:paraId="34DEC9C6" w14:textId="77777777" w:rsidTr="00FF1B02">
        <w:trPr>
          <w:cantSplit/>
          <w:trHeight w:val="483"/>
        </w:trPr>
        <w:tc>
          <w:tcPr>
            <w:tcW w:w="5649" w:type="dxa"/>
            <w:shd w:val="clear" w:color="auto" w:fill="C00000"/>
            <w:tcMar>
              <w:top w:w="28" w:type="dxa"/>
              <w:left w:w="57" w:type="dxa"/>
              <w:bottom w:w="0" w:type="dxa"/>
              <w:right w:w="0" w:type="dxa"/>
            </w:tcMar>
            <w:vAlign w:val="center"/>
            <w:hideMark/>
          </w:tcPr>
          <w:p w14:paraId="2F9E5603" w14:textId="77777777" w:rsidR="0078410B" w:rsidRPr="0078410B" w:rsidRDefault="0078410B" w:rsidP="00E179F0">
            <w:pPr>
              <w:widowControl w:val="0"/>
              <w:spacing w:beforeLines="600" w:before="1440" w:afterLines="600" w:after="1440" w:line="120" w:lineRule="atLeast"/>
              <w:contextualSpacing/>
              <w:rPr>
                <w:b/>
                <w:bCs/>
                <w:color w:val="FFFFFF" w:themeColor="background1"/>
              </w:rPr>
            </w:pPr>
            <w:r w:rsidRPr="0078410B">
              <w:rPr>
                <w:b/>
                <w:bCs/>
                <w:color w:val="FFFFFF" w:themeColor="background1"/>
              </w:rPr>
              <w:t>Procurement Stage</w:t>
            </w:r>
          </w:p>
        </w:tc>
        <w:tc>
          <w:tcPr>
            <w:tcW w:w="0" w:type="auto"/>
            <w:shd w:val="clear" w:color="auto" w:fill="C00000"/>
            <w:tcMar>
              <w:top w:w="0" w:type="dxa"/>
              <w:left w:w="108" w:type="dxa"/>
              <w:bottom w:w="0" w:type="dxa"/>
              <w:right w:w="108" w:type="dxa"/>
            </w:tcMar>
            <w:vAlign w:val="center"/>
            <w:hideMark/>
          </w:tcPr>
          <w:p w14:paraId="68568C47" w14:textId="77777777" w:rsidR="0078410B" w:rsidRPr="0078410B" w:rsidRDefault="0078410B" w:rsidP="00E179F0">
            <w:pPr>
              <w:widowControl w:val="0"/>
              <w:spacing w:beforeLines="600" w:before="1440" w:afterLines="600" w:after="1440" w:line="120" w:lineRule="atLeast"/>
              <w:contextualSpacing/>
              <w:rPr>
                <w:b/>
                <w:bCs/>
                <w:color w:val="FFFFFF" w:themeColor="background1"/>
              </w:rPr>
            </w:pPr>
            <w:r w:rsidRPr="0078410B">
              <w:rPr>
                <w:b/>
                <w:bCs/>
                <w:color w:val="FFFFFF" w:themeColor="background1"/>
              </w:rPr>
              <w:t>Applicable to</w:t>
            </w:r>
          </w:p>
        </w:tc>
        <w:tc>
          <w:tcPr>
            <w:tcW w:w="1624" w:type="dxa"/>
            <w:shd w:val="clear" w:color="auto" w:fill="C00000"/>
            <w:tcMar>
              <w:top w:w="28" w:type="dxa"/>
              <w:left w:w="57" w:type="dxa"/>
              <w:bottom w:w="0" w:type="dxa"/>
              <w:right w:w="0" w:type="dxa"/>
            </w:tcMar>
            <w:vAlign w:val="center"/>
            <w:hideMark/>
          </w:tcPr>
          <w:p w14:paraId="5B505BCE" w14:textId="77777777" w:rsidR="0078410B" w:rsidRPr="0078410B" w:rsidRDefault="0078410B" w:rsidP="00E179F0">
            <w:pPr>
              <w:widowControl w:val="0"/>
              <w:spacing w:beforeLines="600" w:before="1440" w:afterLines="600" w:after="1440" w:line="120" w:lineRule="atLeast"/>
              <w:contextualSpacing/>
              <w:rPr>
                <w:b/>
                <w:bCs/>
                <w:color w:val="FFFFFF" w:themeColor="background1"/>
              </w:rPr>
            </w:pPr>
            <w:r w:rsidRPr="0078410B">
              <w:rPr>
                <w:b/>
                <w:bCs/>
                <w:color w:val="FFFFFF" w:themeColor="background1"/>
              </w:rPr>
              <w:t>Dates</w:t>
            </w:r>
          </w:p>
        </w:tc>
      </w:tr>
      <w:tr w:rsidR="003B351A" w:rsidRPr="0078410B" w14:paraId="2A437C45" w14:textId="77777777" w:rsidTr="003D5D8C">
        <w:trPr>
          <w:cantSplit/>
          <w:trHeight w:val="284"/>
        </w:trPr>
        <w:tc>
          <w:tcPr>
            <w:tcW w:w="5649" w:type="dxa"/>
            <w:shd w:val="clear" w:color="auto" w:fill="FFFFFF"/>
            <w:tcMar>
              <w:top w:w="28" w:type="dxa"/>
              <w:left w:w="57" w:type="dxa"/>
              <w:bottom w:w="0" w:type="dxa"/>
              <w:right w:w="0" w:type="dxa"/>
            </w:tcMar>
            <w:vAlign w:val="center"/>
            <w:hideMark/>
          </w:tcPr>
          <w:p w14:paraId="61EF85E6" w14:textId="15EEC52B" w:rsidR="003B351A" w:rsidRPr="003F3F03" w:rsidRDefault="003B351A" w:rsidP="00E179F0">
            <w:pPr>
              <w:widowControl w:val="0"/>
              <w:spacing w:before="120" w:after="120" w:line="120" w:lineRule="atLeast"/>
            </w:pPr>
            <w:r w:rsidRPr="003F3F03">
              <w:t>Publication of advertisement</w:t>
            </w:r>
            <w:r w:rsidR="00E179F0" w:rsidRPr="003F3F03">
              <w:t xml:space="preserve"> / Docs issued</w:t>
            </w:r>
          </w:p>
        </w:tc>
        <w:tc>
          <w:tcPr>
            <w:tcW w:w="0" w:type="auto"/>
            <w:shd w:val="clear" w:color="auto" w:fill="FFFFFF"/>
            <w:tcMar>
              <w:top w:w="0" w:type="dxa"/>
              <w:left w:w="108" w:type="dxa"/>
              <w:bottom w:w="0" w:type="dxa"/>
              <w:right w:w="108" w:type="dxa"/>
            </w:tcMar>
            <w:hideMark/>
          </w:tcPr>
          <w:p w14:paraId="3CF0A1A5" w14:textId="74CE5D4E" w:rsidR="003B351A" w:rsidRPr="003F3F03" w:rsidRDefault="003B351A" w:rsidP="00E179F0">
            <w:pPr>
              <w:widowControl w:val="0"/>
              <w:spacing w:before="120" w:after="120" w:line="120" w:lineRule="atLeast"/>
              <w:jc w:val="center"/>
            </w:pPr>
            <w:r w:rsidRPr="003F3F03">
              <w:t>ITT</w:t>
            </w:r>
          </w:p>
        </w:tc>
        <w:tc>
          <w:tcPr>
            <w:tcW w:w="1624" w:type="dxa"/>
            <w:shd w:val="clear" w:color="auto" w:fill="FFFFFF"/>
            <w:tcMar>
              <w:top w:w="28" w:type="dxa"/>
              <w:left w:w="57" w:type="dxa"/>
              <w:bottom w:w="0" w:type="dxa"/>
              <w:right w:w="0" w:type="dxa"/>
            </w:tcMar>
            <w:vAlign w:val="center"/>
          </w:tcPr>
          <w:p w14:paraId="76760FA7" w14:textId="74C1091D" w:rsidR="003B351A" w:rsidRPr="003F3F03" w:rsidRDefault="00A67303" w:rsidP="00E179F0">
            <w:pPr>
              <w:widowControl w:val="0"/>
              <w:spacing w:before="120" w:after="120" w:line="120" w:lineRule="atLeast"/>
              <w:jc w:val="center"/>
            </w:pPr>
            <w:bookmarkStart w:id="88" w:name="_GoBack"/>
            <w:bookmarkEnd w:id="88"/>
            <w:r>
              <w:t>19</w:t>
            </w:r>
            <w:r w:rsidR="003B351A" w:rsidRPr="003F3F03">
              <w:t>.1</w:t>
            </w:r>
            <w:r>
              <w:t>2</w:t>
            </w:r>
            <w:r w:rsidR="003B351A" w:rsidRPr="003F3F03">
              <w:t>.2018</w:t>
            </w:r>
          </w:p>
        </w:tc>
      </w:tr>
      <w:tr w:rsidR="003B351A" w:rsidRPr="0078410B" w14:paraId="17C01932" w14:textId="77777777" w:rsidTr="003D5D8C">
        <w:trPr>
          <w:cantSplit/>
          <w:trHeight w:val="284"/>
        </w:trPr>
        <w:tc>
          <w:tcPr>
            <w:tcW w:w="5649" w:type="dxa"/>
            <w:shd w:val="clear" w:color="auto" w:fill="FFFFFF"/>
            <w:tcMar>
              <w:top w:w="28" w:type="dxa"/>
              <w:left w:w="57" w:type="dxa"/>
              <w:bottom w:w="0" w:type="dxa"/>
              <w:right w:w="0" w:type="dxa"/>
            </w:tcMar>
            <w:vAlign w:val="center"/>
            <w:hideMark/>
          </w:tcPr>
          <w:p w14:paraId="33963E25" w14:textId="4D33FBB7" w:rsidR="003B351A" w:rsidRPr="003F3F03" w:rsidRDefault="003B351A" w:rsidP="00E179F0">
            <w:pPr>
              <w:widowControl w:val="0"/>
              <w:spacing w:before="120" w:after="120" w:line="120" w:lineRule="atLeast"/>
            </w:pPr>
            <w:r w:rsidRPr="003F3F03">
              <w:t>Bid Deadline</w:t>
            </w:r>
            <w:r w:rsidR="00275831" w:rsidRPr="003F3F03">
              <w:t xml:space="preserve"> (15</w:t>
            </w:r>
            <w:r w:rsidR="00E179F0" w:rsidRPr="003F3F03">
              <w:t>:00 hrs on)</w:t>
            </w:r>
          </w:p>
        </w:tc>
        <w:tc>
          <w:tcPr>
            <w:tcW w:w="0" w:type="auto"/>
            <w:shd w:val="clear" w:color="auto" w:fill="FFFFFF"/>
            <w:tcMar>
              <w:top w:w="0" w:type="dxa"/>
              <w:left w:w="108" w:type="dxa"/>
              <w:bottom w:w="0" w:type="dxa"/>
              <w:right w:w="108" w:type="dxa"/>
            </w:tcMar>
            <w:hideMark/>
          </w:tcPr>
          <w:p w14:paraId="25DAD8ED" w14:textId="6A588A56" w:rsidR="003B351A" w:rsidRPr="003F3F03" w:rsidRDefault="003B351A" w:rsidP="00E179F0">
            <w:pPr>
              <w:widowControl w:val="0"/>
              <w:spacing w:before="120" w:after="120" w:line="120" w:lineRule="atLeast"/>
              <w:jc w:val="center"/>
            </w:pPr>
            <w:r w:rsidRPr="003F3F03">
              <w:t>ITT</w:t>
            </w:r>
          </w:p>
        </w:tc>
        <w:tc>
          <w:tcPr>
            <w:tcW w:w="1624" w:type="dxa"/>
            <w:shd w:val="clear" w:color="auto" w:fill="FFFFFF"/>
            <w:tcMar>
              <w:top w:w="28" w:type="dxa"/>
              <w:left w:w="57" w:type="dxa"/>
              <w:bottom w:w="0" w:type="dxa"/>
              <w:right w:w="0" w:type="dxa"/>
            </w:tcMar>
            <w:vAlign w:val="center"/>
          </w:tcPr>
          <w:p w14:paraId="57C0BA83" w14:textId="5E919183" w:rsidR="003B351A" w:rsidRPr="003F3F03" w:rsidRDefault="00832902" w:rsidP="00E179F0">
            <w:pPr>
              <w:widowControl w:val="0"/>
              <w:spacing w:before="120" w:after="120" w:line="120" w:lineRule="atLeast"/>
              <w:jc w:val="center"/>
            </w:pPr>
            <w:r>
              <w:t>25</w:t>
            </w:r>
            <w:r w:rsidR="003B351A" w:rsidRPr="003F3F03">
              <w:t>.01.2019</w:t>
            </w:r>
          </w:p>
        </w:tc>
      </w:tr>
      <w:tr w:rsidR="003B351A" w:rsidRPr="0078410B" w14:paraId="0EEA9C70" w14:textId="77777777" w:rsidTr="003D5D8C">
        <w:trPr>
          <w:cantSplit/>
          <w:trHeight w:val="284"/>
        </w:trPr>
        <w:tc>
          <w:tcPr>
            <w:tcW w:w="5649" w:type="dxa"/>
            <w:shd w:val="clear" w:color="auto" w:fill="FFFFFF"/>
            <w:tcMar>
              <w:top w:w="28" w:type="dxa"/>
              <w:left w:w="57" w:type="dxa"/>
              <w:bottom w:w="0" w:type="dxa"/>
              <w:right w:w="0" w:type="dxa"/>
            </w:tcMar>
            <w:vAlign w:val="center"/>
            <w:hideMark/>
          </w:tcPr>
          <w:p w14:paraId="3F935254" w14:textId="77777777" w:rsidR="003B351A" w:rsidRPr="003F3F03" w:rsidRDefault="003B351A" w:rsidP="00E179F0">
            <w:pPr>
              <w:widowControl w:val="0"/>
              <w:spacing w:before="120" w:after="120" w:line="120" w:lineRule="atLeast"/>
            </w:pPr>
            <w:r w:rsidRPr="003F3F03">
              <w:t>Evaluation</w:t>
            </w:r>
          </w:p>
        </w:tc>
        <w:tc>
          <w:tcPr>
            <w:tcW w:w="0" w:type="auto"/>
            <w:shd w:val="clear" w:color="auto" w:fill="FFFFFF"/>
            <w:tcMar>
              <w:top w:w="0" w:type="dxa"/>
              <w:left w:w="108" w:type="dxa"/>
              <w:bottom w:w="0" w:type="dxa"/>
              <w:right w:w="108" w:type="dxa"/>
            </w:tcMar>
            <w:hideMark/>
          </w:tcPr>
          <w:p w14:paraId="11CA3F14" w14:textId="1B6A7CF2" w:rsidR="003B351A" w:rsidRPr="003F3F03" w:rsidRDefault="003B351A" w:rsidP="00E179F0">
            <w:pPr>
              <w:widowControl w:val="0"/>
              <w:spacing w:before="120" w:after="120" w:line="120" w:lineRule="atLeast"/>
              <w:jc w:val="center"/>
            </w:pPr>
            <w:r w:rsidRPr="003F3F03">
              <w:t>ITT</w:t>
            </w:r>
          </w:p>
        </w:tc>
        <w:tc>
          <w:tcPr>
            <w:tcW w:w="1624" w:type="dxa"/>
            <w:shd w:val="clear" w:color="auto" w:fill="FFFFFF"/>
            <w:tcMar>
              <w:top w:w="28" w:type="dxa"/>
              <w:left w:w="57" w:type="dxa"/>
              <w:bottom w:w="0" w:type="dxa"/>
              <w:right w:w="0" w:type="dxa"/>
            </w:tcMar>
            <w:vAlign w:val="center"/>
          </w:tcPr>
          <w:p w14:paraId="16E29E96" w14:textId="5897C978" w:rsidR="003B351A" w:rsidRPr="003F3F03" w:rsidRDefault="00DD0335" w:rsidP="00E179F0">
            <w:pPr>
              <w:widowControl w:val="0"/>
              <w:spacing w:before="120" w:after="120" w:line="120" w:lineRule="atLeast"/>
              <w:jc w:val="center"/>
            </w:pPr>
            <w:r>
              <w:t>28</w:t>
            </w:r>
            <w:r w:rsidR="003B351A" w:rsidRPr="003F3F03">
              <w:t>.01.2019</w:t>
            </w:r>
          </w:p>
        </w:tc>
      </w:tr>
      <w:tr w:rsidR="0078410B" w:rsidRPr="0078410B" w14:paraId="575EF4DD" w14:textId="77777777" w:rsidTr="003D5D8C">
        <w:trPr>
          <w:cantSplit/>
          <w:trHeight w:val="284"/>
        </w:trPr>
        <w:tc>
          <w:tcPr>
            <w:tcW w:w="5649" w:type="dxa"/>
            <w:shd w:val="clear" w:color="auto" w:fill="FFFFFF"/>
            <w:tcMar>
              <w:top w:w="28" w:type="dxa"/>
              <w:left w:w="57" w:type="dxa"/>
              <w:bottom w:w="0" w:type="dxa"/>
              <w:right w:w="0" w:type="dxa"/>
            </w:tcMar>
            <w:vAlign w:val="center"/>
            <w:hideMark/>
          </w:tcPr>
          <w:p w14:paraId="59803427" w14:textId="77777777" w:rsidR="0078410B" w:rsidRPr="003F3F03" w:rsidRDefault="0078410B" w:rsidP="00E179F0">
            <w:pPr>
              <w:widowControl w:val="0"/>
              <w:spacing w:before="120" w:after="120" w:line="120" w:lineRule="atLeast"/>
            </w:pPr>
            <w:r w:rsidRPr="003F3F03">
              <w:t>Notification of Contract award</w:t>
            </w:r>
          </w:p>
        </w:tc>
        <w:tc>
          <w:tcPr>
            <w:tcW w:w="0" w:type="auto"/>
            <w:shd w:val="clear" w:color="auto" w:fill="FFFFFF"/>
            <w:tcMar>
              <w:top w:w="0" w:type="dxa"/>
              <w:left w:w="108" w:type="dxa"/>
              <w:bottom w:w="0" w:type="dxa"/>
              <w:right w:w="108" w:type="dxa"/>
            </w:tcMar>
            <w:hideMark/>
          </w:tcPr>
          <w:p w14:paraId="265D903D" w14:textId="77777777" w:rsidR="0078410B" w:rsidRPr="003F3F03" w:rsidRDefault="0078410B" w:rsidP="00E179F0">
            <w:pPr>
              <w:widowControl w:val="0"/>
              <w:spacing w:before="120" w:after="120" w:line="120" w:lineRule="atLeast"/>
              <w:jc w:val="center"/>
            </w:pPr>
            <w:r w:rsidRPr="003F3F03">
              <w:t>ITT</w:t>
            </w:r>
          </w:p>
        </w:tc>
        <w:tc>
          <w:tcPr>
            <w:tcW w:w="1624" w:type="dxa"/>
            <w:shd w:val="clear" w:color="auto" w:fill="FFFFFF"/>
            <w:tcMar>
              <w:top w:w="28" w:type="dxa"/>
              <w:left w:w="57" w:type="dxa"/>
              <w:bottom w:w="0" w:type="dxa"/>
              <w:right w:w="0" w:type="dxa"/>
            </w:tcMar>
            <w:vAlign w:val="center"/>
          </w:tcPr>
          <w:p w14:paraId="6E73465B" w14:textId="4DFDC239" w:rsidR="0078410B" w:rsidRPr="003F3F03" w:rsidRDefault="00FD70AB" w:rsidP="00E179F0">
            <w:pPr>
              <w:widowControl w:val="0"/>
              <w:spacing w:before="120" w:after="120" w:line="120" w:lineRule="atLeast"/>
              <w:jc w:val="center"/>
            </w:pPr>
            <w:r>
              <w:t>30</w:t>
            </w:r>
            <w:r w:rsidR="00146332" w:rsidRPr="003F3F03">
              <w:t>.01.2019</w:t>
            </w:r>
          </w:p>
        </w:tc>
      </w:tr>
      <w:tr w:rsidR="003207FD" w:rsidRPr="0078410B" w14:paraId="223DC1C3" w14:textId="77777777" w:rsidTr="003D5D8C">
        <w:trPr>
          <w:cantSplit/>
          <w:trHeight w:val="284"/>
        </w:trPr>
        <w:tc>
          <w:tcPr>
            <w:tcW w:w="5649" w:type="dxa"/>
            <w:shd w:val="clear" w:color="auto" w:fill="FFFFFF"/>
            <w:tcMar>
              <w:top w:w="28" w:type="dxa"/>
              <w:left w:w="57" w:type="dxa"/>
              <w:bottom w:w="0" w:type="dxa"/>
              <w:right w:w="0" w:type="dxa"/>
            </w:tcMar>
            <w:vAlign w:val="center"/>
            <w:hideMark/>
          </w:tcPr>
          <w:p w14:paraId="7CBDEA45" w14:textId="77777777" w:rsidR="003207FD" w:rsidRPr="003F3F03" w:rsidRDefault="003207FD" w:rsidP="00E179F0">
            <w:pPr>
              <w:widowControl w:val="0"/>
              <w:spacing w:before="120" w:after="120" w:line="120" w:lineRule="atLeast"/>
            </w:pPr>
            <w:r w:rsidRPr="003F3F03">
              <w:t>Contract start</w:t>
            </w:r>
          </w:p>
        </w:tc>
        <w:tc>
          <w:tcPr>
            <w:tcW w:w="0" w:type="auto"/>
            <w:shd w:val="clear" w:color="auto" w:fill="FFFFFF"/>
            <w:tcMar>
              <w:top w:w="0" w:type="dxa"/>
              <w:left w:w="108" w:type="dxa"/>
              <w:bottom w:w="0" w:type="dxa"/>
              <w:right w:w="108" w:type="dxa"/>
            </w:tcMar>
            <w:hideMark/>
          </w:tcPr>
          <w:p w14:paraId="1CD14DBB" w14:textId="77777777" w:rsidR="003207FD" w:rsidRPr="003F3F03" w:rsidRDefault="003207FD" w:rsidP="00E179F0">
            <w:pPr>
              <w:widowControl w:val="0"/>
              <w:spacing w:before="120" w:after="120" w:line="120" w:lineRule="atLeast"/>
              <w:jc w:val="center"/>
            </w:pPr>
            <w:r w:rsidRPr="003F3F03">
              <w:t>ITT</w:t>
            </w:r>
          </w:p>
        </w:tc>
        <w:tc>
          <w:tcPr>
            <w:tcW w:w="1624" w:type="dxa"/>
            <w:shd w:val="clear" w:color="auto" w:fill="FFFFFF"/>
            <w:tcMar>
              <w:top w:w="28" w:type="dxa"/>
              <w:left w:w="57" w:type="dxa"/>
              <w:bottom w:w="0" w:type="dxa"/>
              <w:right w:w="0" w:type="dxa"/>
            </w:tcMar>
            <w:vAlign w:val="center"/>
          </w:tcPr>
          <w:p w14:paraId="249FD1BB" w14:textId="2406C85A" w:rsidR="003207FD" w:rsidRPr="003F3F03" w:rsidRDefault="00121772" w:rsidP="00E179F0">
            <w:pPr>
              <w:widowControl w:val="0"/>
              <w:spacing w:before="120" w:after="120" w:line="120" w:lineRule="atLeast"/>
              <w:jc w:val="center"/>
            </w:pPr>
            <w:r w:rsidRPr="003F3F03">
              <w:t>March 2019</w:t>
            </w:r>
          </w:p>
        </w:tc>
      </w:tr>
      <w:tr w:rsidR="00121772" w:rsidRPr="0078410B" w14:paraId="5FF36C6F" w14:textId="77777777" w:rsidTr="003D5D8C">
        <w:trPr>
          <w:cantSplit/>
          <w:trHeight w:val="284"/>
        </w:trPr>
        <w:tc>
          <w:tcPr>
            <w:tcW w:w="5649" w:type="dxa"/>
            <w:shd w:val="clear" w:color="auto" w:fill="FFFFFF"/>
            <w:tcMar>
              <w:top w:w="28" w:type="dxa"/>
              <w:left w:w="57" w:type="dxa"/>
              <w:bottom w:w="0" w:type="dxa"/>
              <w:right w:w="0" w:type="dxa"/>
            </w:tcMar>
            <w:vAlign w:val="center"/>
          </w:tcPr>
          <w:p w14:paraId="22FAFBBE" w14:textId="0072D356" w:rsidR="00121772" w:rsidRPr="003F3F03" w:rsidRDefault="00121772" w:rsidP="00E179F0">
            <w:pPr>
              <w:widowControl w:val="0"/>
              <w:spacing w:before="120" w:after="120" w:line="120" w:lineRule="atLeast"/>
            </w:pPr>
            <w:r w:rsidRPr="003F3F03">
              <w:t>Contract End date</w:t>
            </w:r>
          </w:p>
        </w:tc>
        <w:tc>
          <w:tcPr>
            <w:tcW w:w="0" w:type="auto"/>
            <w:shd w:val="clear" w:color="auto" w:fill="FFFFFF"/>
            <w:tcMar>
              <w:top w:w="0" w:type="dxa"/>
              <w:left w:w="108" w:type="dxa"/>
              <w:bottom w:w="0" w:type="dxa"/>
              <w:right w:w="108" w:type="dxa"/>
            </w:tcMar>
          </w:tcPr>
          <w:p w14:paraId="11987581" w14:textId="49747042" w:rsidR="00121772" w:rsidRPr="003F3F03" w:rsidRDefault="003B351A" w:rsidP="00E179F0">
            <w:pPr>
              <w:widowControl w:val="0"/>
              <w:spacing w:before="120" w:after="120" w:line="120" w:lineRule="atLeast"/>
              <w:jc w:val="center"/>
            </w:pPr>
            <w:r w:rsidRPr="003F3F03">
              <w:t>ITT</w:t>
            </w:r>
          </w:p>
        </w:tc>
        <w:tc>
          <w:tcPr>
            <w:tcW w:w="1624" w:type="dxa"/>
            <w:shd w:val="clear" w:color="auto" w:fill="FFFFFF"/>
            <w:tcMar>
              <w:top w:w="28" w:type="dxa"/>
              <w:left w:w="57" w:type="dxa"/>
              <w:bottom w:w="0" w:type="dxa"/>
              <w:right w:w="0" w:type="dxa"/>
            </w:tcMar>
            <w:vAlign w:val="center"/>
          </w:tcPr>
          <w:p w14:paraId="20E0824C" w14:textId="11883578" w:rsidR="00121772" w:rsidRPr="003F3F03" w:rsidRDefault="00121772" w:rsidP="00E179F0">
            <w:pPr>
              <w:widowControl w:val="0"/>
              <w:spacing w:before="120" w:after="120" w:line="120" w:lineRule="atLeast"/>
              <w:jc w:val="center"/>
            </w:pPr>
            <w:r w:rsidRPr="003F3F03">
              <w:t>3</w:t>
            </w:r>
            <w:r w:rsidR="00832902">
              <w:t>1</w:t>
            </w:r>
            <w:r w:rsidRPr="003F3F03">
              <w:t>.</w:t>
            </w:r>
            <w:r w:rsidR="003F3F03" w:rsidRPr="003F3F03">
              <w:t>05</w:t>
            </w:r>
            <w:r w:rsidRPr="003F3F03">
              <w:t>.2019</w:t>
            </w:r>
          </w:p>
        </w:tc>
      </w:tr>
    </w:tbl>
    <w:p w14:paraId="51F84A31" w14:textId="7A27DCCD" w:rsidR="00F778C8" w:rsidRDefault="0083710A" w:rsidP="00E179F0">
      <w:pPr>
        <w:widowControl w:val="0"/>
        <w:numPr>
          <w:ilvl w:val="2"/>
          <w:numId w:val="7"/>
        </w:numPr>
        <w:tabs>
          <w:tab w:val="clear" w:pos="720"/>
        </w:tabs>
        <w:spacing w:before="120" w:after="120"/>
        <w:outlineLvl w:val="2"/>
      </w:pPr>
      <w:r w:rsidRPr="00E90676">
        <w:t>The Authority reserves the right to change the above timetable and Applicants will be notified accordingly if there is a change.</w:t>
      </w:r>
      <w:bookmarkStart w:id="89" w:name="_Hlk519081568"/>
    </w:p>
    <w:p w14:paraId="06E7D231" w14:textId="77777777" w:rsidR="00DB30B9" w:rsidRDefault="00DB30B9" w:rsidP="009B183C">
      <w:pPr>
        <w:pStyle w:val="Heading2"/>
        <w:tabs>
          <w:tab w:val="num" w:pos="709"/>
        </w:tabs>
        <w:spacing w:before="240" w:after="240"/>
        <w:ind w:left="3697" w:hanging="3697"/>
      </w:pPr>
      <w:bookmarkStart w:id="90" w:name="_Toc530675210"/>
      <w:r>
        <w:lastRenderedPageBreak/>
        <w:t>Evaluation Approach</w:t>
      </w:r>
      <w:bookmarkEnd w:id="90"/>
    </w:p>
    <w:bookmarkEnd w:id="89"/>
    <w:p w14:paraId="06776153" w14:textId="067D36D6" w:rsidR="00DB30B9" w:rsidRDefault="00DB30B9" w:rsidP="009B183C">
      <w:pPr>
        <w:keepNext/>
        <w:numPr>
          <w:ilvl w:val="2"/>
          <w:numId w:val="7"/>
        </w:numPr>
        <w:tabs>
          <w:tab w:val="clear" w:pos="720"/>
        </w:tabs>
        <w:spacing w:before="120" w:after="120"/>
        <w:outlineLvl w:val="2"/>
      </w:pPr>
      <w:r>
        <w:t xml:space="preserve">Bids will be evaluated in </w:t>
      </w:r>
      <w:r w:rsidR="006A3ADA">
        <w:t>one</w:t>
      </w:r>
      <w:r>
        <w:t xml:space="preserve"> part</w:t>
      </w:r>
      <w:r w:rsidR="006A3ADA">
        <w:t xml:space="preserve"> looking at </w:t>
      </w:r>
      <w:r w:rsidR="0090569D">
        <w:t xml:space="preserve">Award based on </w:t>
      </w:r>
      <w:r w:rsidR="009402EE">
        <w:t xml:space="preserve">Pass / Fail questions and </w:t>
      </w:r>
      <w:r w:rsidR="00AA66B3">
        <w:t xml:space="preserve">then </w:t>
      </w:r>
      <w:r w:rsidR="0090569D">
        <w:t>Price</w:t>
      </w:r>
      <w:r w:rsidR="00A64AB8">
        <w:t xml:space="preserve">.  </w:t>
      </w:r>
      <w:r w:rsidR="00E23186">
        <w:t xml:space="preserve">All those who </w:t>
      </w:r>
      <w:proofErr w:type="gramStart"/>
      <w:r w:rsidR="004D359A">
        <w:t>are able to</w:t>
      </w:r>
      <w:proofErr w:type="gramEnd"/>
      <w:r w:rsidR="004D359A">
        <w:t xml:space="preserve"> positively progress </w:t>
      </w:r>
      <w:r w:rsidR="00430C57">
        <w:t xml:space="preserve">through the Pass / Fail will then be assessed on the Commercial / Price Evaluation.  In the event of any provider not being able to Pass </w:t>
      </w:r>
      <w:proofErr w:type="gramStart"/>
      <w:r w:rsidR="00430C57">
        <w:t>all of</w:t>
      </w:r>
      <w:proofErr w:type="gramEnd"/>
      <w:r w:rsidR="00430C57">
        <w:t xml:space="preserve"> the questions will not have their bid further evaluated.</w:t>
      </w:r>
    </w:p>
    <w:p w14:paraId="310F760B" w14:textId="77777777" w:rsidR="00341EAD" w:rsidRPr="007E1FBF" w:rsidRDefault="00341EAD" w:rsidP="002D6163">
      <w:pPr>
        <w:pStyle w:val="Heading2"/>
        <w:tabs>
          <w:tab w:val="num" w:pos="709"/>
        </w:tabs>
        <w:spacing w:before="240" w:after="240"/>
        <w:ind w:left="3697" w:hanging="3697"/>
      </w:pPr>
      <w:bookmarkStart w:id="91" w:name="_Toc530675211"/>
      <w:bookmarkStart w:id="92" w:name="_Hlk519242797"/>
      <w:r>
        <w:t>Commercial / Price Evaluation</w:t>
      </w:r>
      <w:bookmarkEnd w:id="91"/>
    </w:p>
    <w:bookmarkEnd w:id="92"/>
    <w:p w14:paraId="0215D2E8" w14:textId="24008221" w:rsidR="008B5B31" w:rsidRPr="00B3536A" w:rsidRDefault="008B5B31" w:rsidP="002D6163">
      <w:pPr>
        <w:keepNext/>
        <w:numPr>
          <w:ilvl w:val="2"/>
          <w:numId w:val="7"/>
        </w:numPr>
        <w:tabs>
          <w:tab w:val="clear" w:pos="720"/>
        </w:tabs>
        <w:spacing w:before="120" w:after="120"/>
        <w:outlineLvl w:val="2"/>
      </w:pPr>
      <w:r w:rsidRPr="00B3536A">
        <w:t xml:space="preserve">The Pricing Document contains the details and requirements relating to the price element of this </w:t>
      </w:r>
      <w:r w:rsidR="000228D8" w:rsidRPr="00B3536A">
        <w:t>Tender</w:t>
      </w:r>
      <w:r w:rsidRPr="00B3536A">
        <w:t xml:space="preserve">.  This may include, but is not limited to, the inclusion of specific instructions, documents, templates, pricing structures, etc for the Applicant’s to return as part of their </w:t>
      </w:r>
      <w:r w:rsidR="000228D8" w:rsidRPr="00B3536A">
        <w:t>response</w:t>
      </w:r>
      <w:r w:rsidRPr="00B3536A">
        <w:t>.</w:t>
      </w:r>
    </w:p>
    <w:p w14:paraId="0CCFD5F1" w14:textId="1E1FBFEF" w:rsidR="007E1FBF" w:rsidRPr="008A0296" w:rsidRDefault="007E1FBF" w:rsidP="002D6163">
      <w:pPr>
        <w:keepNext/>
        <w:numPr>
          <w:ilvl w:val="2"/>
          <w:numId w:val="7"/>
        </w:numPr>
        <w:tabs>
          <w:tab w:val="clear" w:pos="720"/>
        </w:tabs>
        <w:spacing w:before="120" w:after="120"/>
        <w:outlineLvl w:val="2"/>
      </w:pPr>
      <w:r w:rsidRPr="007E1FBF">
        <w:t>Price shall be evaluated using the following scoring methodology, with t</w:t>
      </w:r>
      <w:r w:rsidRPr="008A0296">
        <w:t xml:space="preserve">he Tenderer’s prices </w:t>
      </w:r>
      <w:r w:rsidR="00DA0874">
        <w:t>being</w:t>
      </w:r>
      <w:r w:rsidRPr="008A0296">
        <w:t xml:space="preserve"> scored on a comparative basis.  For example:</w:t>
      </w:r>
    </w:p>
    <w:p w14:paraId="1C4F33AD" w14:textId="77777777" w:rsidR="007E1FBF" w:rsidRPr="007E1FBF" w:rsidRDefault="007E1FBF" w:rsidP="002D6163">
      <w:pPr>
        <w:keepNext/>
        <w:numPr>
          <w:ilvl w:val="2"/>
          <w:numId w:val="7"/>
        </w:numPr>
        <w:tabs>
          <w:tab w:val="clear" w:pos="720"/>
        </w:tabs>
        <w:spacing w:before="120" w:after="120"/>
        <w:outlineLvl w:val="2"/>
        <w:rPr>
          <w:iCs/>
        </w:rPr>
      </w:pPr>
      <w:r w:rsidRPr="002D6163">
        <w:t>This will be done by recording the lowest price submitted by any of the Tenderers, then for each Tenderer, dividing this lowest price by the Tenderers’ price and then multiplying it by the allocated weighting (e.g. 20% if that is the percentage chosen by the Council).  The equation set out below explains this in a simpler way</w:t>
      </w:r>
      <w:r w:rsidRPr="007E1FBF">
        <w:rPr>
          <w:iCs/>
        </w:rPr>
        <w:t>:</w:t>
      </w:r>
    </w:p>
    <w:p w14:paraId="257E455F" w14:textId="77777777" w:rsidR="007E1FBF" w:rsidRPr="007E1FBF" w:rsidRDefault="007E1FBF" w:rsidP="002D6163">
      <w:pPr>
        <w:ind w:left="1440"/>
        <w:rPr>
          <w:iCs/>
        </w:rPr>
      </w:pPr>
      <w:r w:rsidRPr="007E1FBF">
        <w:rPr>
          <w:iCs/>
        </w:rPr>
        <w:t>(Lowest Price ÷ Tenderer’s price) x Weighting = Score</w:t>
      </w:r>
    </w:p>
    <w:p w14:paraId="783818F6" w14:textId="0473E6B8" w:rsidR="007E1FBF" w:rsidRPr="007E1FBF" w:rsidRDefault="007E1FBF" w:rsidP="002D6163">
      <w:pPr>
        <w:keepNext/>
        <w:numPr>
          <w:ilvl w:val="2"/>
          <w:numId w:val="7"/>
        </w:numPr>
        <w:tabs>
          <w:tab w:val="clear" w:pos="720"/>
        </w:tabs>
        <w:spacing w:before="120" w:after="120"/>
        <w:outlineLvl w:val="2"/>
        <w:rPr>
          <w:iCs/>
        </w:rPr>
      </w:pPr>
      <w:r w:rsidRPr="007E1FBF">
        <w:rPr>
          <w:iCs/>
        </w:rPr>
        <w:t xml:space="preserve">To accompany the above there is a worked example below to help explain this.  The example </w:t>
      </w:r>
      <w:r w:rsidRPr="002D6163">
        <w:t>assumes</w:t>
      </w:r>
      <w:r w:rsidRPr="007E1FBF">
        <w:rPr>
          <w:iCs/>
        </w:rPr>
        <w:t xml:space="preserve"> only 3 prices were submitted and that price was awarded </w:t>
      </w:r>
      <w:r w:rsidR="004E20B8">
        <w:rPr>
          <w:iCs/>
        </w:rPr>
        <w:t>1</w:t>
      </w:r>
      <w:r w:rsidR="00E75523">
        <w:rPr>
          <w:iCs/>
        </w:rPr>
        <w:t>0</w:t>
      </w:r>
      <w:r w:rsidRPr="007E1FBF">
        <w:rPr>
          <w:iCs/>
        </w:rPr>
        <w:t xml:space="preserve">0% of the overall marks (i.e. quality was awarded </w:t>
      </w:r>
      <w:r w:rsidR="00E75523">
        <w:rPr>
          <w:iCs/>
        </w:rPr>
        <w:t>10</w:t>
      </w:r>
      <w:r w:rsidRPr="007E1FBF">
        <w:rPr>
          <w:iCs/>
        </w:rPr>
        <w:t>0%):</w:t>
      </w:r>
    </w:p>
    <w:tbl>
      <w:tblPr>
        <w:tblW w:w="22932" w:type="dxa"/>
        <w:tblInd w:w="-10" w:type="dxa"/>
        <w:tblLook w:val="04A0" w:firstRow="1" w:lastRow="0" w:firstColumn="1" w:lastColumn="0" w:noHBand="0" w:noVBand="1"/>
      </w:tblPr>
      <w:tblGrid>
        <w:gridCol w:w="1560"/>
        <w:gridCol w:w="1275"/>
        <w:gridCol w:w="1134"/>
        <w:gridCol w:w="1560"/>
        <w:gridCol w:w="784"/>
        <w:gridCol w:w="1245"/>
        <w:gridCol w:w="739"/>
        <w:gridCol w:w="1104"/>
        <w:gridCol w:w="850"/>
        <w:gridCol w:w="12246"/>
        <w:gridCol w:w="480"/>
      </w:tblGrid>
      <w:tr w:rsidR="007E1FBF" w:rsidRPr="007E1FBF" w14:paraId="5339BAF3" w14:textId="77777777" w:rsidTr="002D6163">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184F79AF" w14:textId="77777777" w:rsidR="007E1FBF" w:rsidRPr="007E1FBF" w:rsidRDefault="007E1FBF" w:rsidP="007E1FBF">
            <w:pPr>
              <w:spacing w:before="120" w:after="120" w:line="0" w:lineRule="atLeast"/>
              <w:rPr>
                <w:b/>
                <w:color w:val="FFFFFF" w:themeColor="background1"/>
                <w:lang w:eastAsia="en-GB"/>
              </w:rPr>
            </w:pPr>
            <w:r w:rsidRPr="007E1FBF">
              <w:rPr>
                <w:b/>
                <w:color w:val="FFFFFF" w:themeColor="background1"/>
                <w:lang w:eastAsia="en-GB"/>
              </w:rPr>
              <w:t> </w:t>
            </w:r>
          </w:p>
        </w:tc>
        <w:tc>
          <w:tcPr>
            <w:tcW w:w="1275" w:type="dxa"/>
            <w:tcBorders>
              <w:top w:val="single" w:sz="8" w:space="0" w:color="auto"/>
              <w:left w:val="nil"/>
              <w:bottom w:val="single" w:sz="8" w:space="0" w:color="auto"/>
              <w:right w:val="single" w:sz="8" w:space="0" w:color="auto"/>
            </w:tcBorders>
            <w:shd w:val="clear" w:color="000000" w:fill="92D050"/>
            <w:vAlign w:val="center"/>
            <w:hideMark/>
          </w:tcPr>
          <w:p w14:paraId="3BFBE92B" w14:textId="77777777" w:rsidR="007E1FBF" w:rsidRPr="007E1FBF" w:rsidRDefault="007E1FBF" w:rsidP="007E1FBF">
            <w:pPr>
              <w:spacing w:before="120" w:after="120" w:line="0" w:lineRule="atLeast"/>
              <w:rPr>
                <w:b/>
                <w:color w:val="FFFFFF" w:themeColor="background1"/>
                <w:lang w:eastAsia="en-GB"/>
              </w:rPr>
            </w:pPr>
            <w:r w:rsidRPr="007E1FBF">
              <w:rPr>
                <w:b/>
                <w:color w:val="FFFFFF" w:themeColor="background1"/>
                <w:lang w:eastAsia="en-GB"/>
              </w:rPr>
              <w:t>L</w:t>
            </w:r>
          </w:p>
        </w:tc>
        <w:tc>
          <w:tcPr>
            <w:tcW w:w="1134" w:type="dxa"/>
            <w:tcBorders>
              <w:top w:val="single" w:sz="8" w:space="0" w:color="auto"/>
              <w:left w:val="nil"/>
              <w:bottom w:val="single" w:sz="8" w:space="0" w:color="auto"/>
              <w:right w:val="single" w:sz="8" w:space="0" w:color="auto"/>
            </w:tcBorders>
            <w:shd w:val="clear" w:color="000000" w:fill="92D050"/>
            <w:vAlign w:val="center"/>
            <w:hideMark/>
          </w:tcPr>
          <w:p w14:paraId="4A2CF21C" w14:textId="77777777" w:rsidR="007E1FBF" w:rsidRPr="007E1FBF" w:rsidRDefault="007E1FBF" w:rsidP="007E1FBF">
            <w:pPr>
              <w:spacing w:before="120" w:after="120" w:line="0" w:lineRule="atLeast"/>
              <w:rPr>
                <w:b/>
                <w:color w:val="FFFFFF" w:themeColor="background1"/>
                <w:lang w:eastAsia="en-GB"/>
              </w:rPr>
            </w:pPr>
            <w:r w:rsidRPr="007E1FBF">
              <w:rPr>
                <w:b/>
                <w:color w:val="FFFFFF" w:themeColor="background1"/>
                <w:lang w:eastAsia="en-GB"/>
              </w:rPr>
              <w:t>W</w:t>
            </w:r>
          </w:p>
        </w:tc>
        <w:tc>
          <w:tcPr>
            <w:tcW w:w="2299" w:type="dxa"/>
            <w:gridSpan w:val="2"/>
            <w:tcBorders>
              <w:top w:val="single" w:sz="8" w:space="0" w:color="auto"/>
              <w:left w:val="nil"/>
              <w:bottom w:val="single" w:sz="8" w:space="0" w:color="auto"/>
              <w:right w:val="single" w:sz="8" w:space="0" w:color="000000"/>
            </w:tcBorders>
            <w:shd w:val="clear" w:color="000000" w:fill="92D050"/>
            <w:vAlign w:val="center"/>
            <w:hideMark/>
          </w:tcPr>
          <w:p w14:paraId="3950EDB2" w14:textId="77777777" w:rsidR="007E1FBF" w:rsidRPr="007E1FBF" w:rsidRDefault="007E1FBF" w:rsidP="007E1FBF">
            <w:pPr>
              <w:spacing w:before="120" w:after="120" w:line="0" w:lineRule="atLeast"/>
              <w:rPr>
                <w:b/>
                <w:color w:val="FFFFFF" w:themeColor="background1"/>
                <w:lang w:eastAsia="en-GB"/>
              </w:rPr>
            </w:pPr>
            <w:r w:rsidRPr="007E1FBF">
              <w:rPr>
                <w:b/>
                <w:color w:val="FFFFFF" w:themeColor="background1"/>
                <w:lang w:eastAsia="en-GB"/>
              </w:rPr>
              <w:t>Tenderer 1</w:t>
            </w:r>
          </w:p>
        </w:tc>
        <w:tc>
          <w:tcPr>
            <w:tcW w:w="1984" w:type="dxa"/>
            <w:gridSpan w:val="2"/>
            <w:tcBorders>
              <w:top w:val="single" w:sz="8" w:space="0" w:color="auto"/>
              <w:left w:val="nil"/>
              <w:bottom w:val="single" w:sz="8" w:space="0" w:color="auto"/>
              <w:right w:val="single" w:sz="8" w:space="0" w:color="000000"/>
            </w:tcBorders>
            <w:shd w:val="clear" w:color="000000" w:fill="92D050"/>
            <w:vAlign w:val="center"/>
            <w:hideMark/>
          </w:tcPr>
          <w:p w14:paraId="70BB911D" w14:textId="77777777" w:rsidR="007E1FBF" w:rsidRPr="007E1FBF" w:rsidRDefault="007E1FBF" w:rsidP="007E1FBF">
            <w:pPr>
              <w:spacing w:before="120" w:after="120" w:line="0" w:lineRule="atLeast"/>
              <w:rPr>
                <w:b/>
                <w:color w:val="FFFFFF" w:themeColor="background1"/>
                <w:lang w:eastAsia="en-GB"/>
              </w:rPr>
            </w:pPr>
            <w:r w:rsidRPr="007E1FBF">
              <w:rPr>
                <w:b/>
                <w:color w:val="FFFFFF" w:themeColor="background1"/>
                <w:lang w:eastAsia="en-GB"/>
              </w:rPr>
              <w:t>Tenderer 2</w:t>
            </w:r>
          </w:p>
        </w:tc>
        <w:tc>
          <w:tcPr>
            <w:tcW w:w="1954" w:type="dxa"/>
            <w:gridSpan w:val="2"/>
            <w:tcBorders>
              <w:top w:val="single" w:sz="8" w:space="0" w:color="auto"/>
              <w:left w:val="nil"/>
              <w:bottom w:val="single" w:sz="8" w:space="0" w:color="auto"/>
              <w:right w:val="single" w:sz="8" w:space="0" w:color="000000"/>
            </w:tcBorders>
            <w:shd w:val="clear" w:color="000000" w:fill="92D050"/>
            <w:vAlign w:val="center"/>
            <w:hideMark/>
          </w:tcPr>
          <w:p w14:paraId="66BB025D" w14:textId="77777777" w:rsidR="007E1FBF" w:rsidRPr="007E1FBF" w:rsidRDefault="007E1FBF" w:rsidP="007E1FBF">
            <w:pPr>
              <w:spacing w:before="120" w:after="120" w:line="0" w:lineRule="atLeast"/>
              <w:rPr>
                <w:b/>
                <w:color w:val="FFFFFF" w:themeColor="background1"/>
                <w:lang w:eastAsia="en-GB"/>
              </w:rPr>
            </w:pPr>
            <w:r w:rsidRPr="007E1FBF">
              <w:rPr>
                <w:b/>
                <w:color w:val="FFFFFF" w:themeColor="background1"/>
                <w:lang w:eastAsia="en-GB"/>
              </w:rPr>
              <w:t>Tenderer 3</w:t>
            </w:r>
          </w:p>
        </w:tc>
        <w:tc>
          <w:tcPr>
            <w:tcW w:w="12246" w:type="dxa"/>
            <w:tcBorders>
              <w:top w:val="nil"/>
              <w:left w:val="nil"/>
              <w:bottom w:val="nil"/>
              <w:right w:val="nil"/>
            </w:tcBorders>
            <w:shd w:val="clear" w:color="auto" w:fill="auto"/>
            <w:noWrap/>
            <w:vAlign w:val="bottom"/>
            <w:hideMark/>
          </w:tcPr>
          <w:p w14:paraId="2F569B4E" w14:textId="77777777" w:rsidR="007E1FBF" w:rsidRPr="007E1FBF" w:rsidRDefault="007E1FBF" w:rsidP="007E1FBF">
            <w:pPr>
              <w:rPr>
                <w:b/>
                <w:bCs/>
              </w:rPr>
            </w:pPr>
          </w:p>
        </w:tc>
        <w:tc>
          <w:tcPr>
            <w:tcW w:w="480" w:type="dxa"/>
            <w:tcBorders>
              <w:top w:val="nil"/>
              <w:left w:val="nil"/>
              <w:bottom w:val="nil"/>
              <w:right w:val="nil"/>
            </w:tcBorders>
            <w:shd w:val="clear" w:color="auto" w:fill="auto"/>
            <w:noWrap/>
            <w:vAlign w:val="bottom"/>
            <w:hideMark/>
          </w:tcPr>
          <w:p w14:paraId="2890B9EE" w14:textId="77777777" w:rsidR="007E1FBF" w:rsidRPr="007E1FBF" w:rsidRDefault="007E1FBF" w:rsidP="007E1FBF"/>
        </w:tc>
      </w:tr>
      <w:tr w:rsidR="007E1FBF" w:rsidRPr="007E1FBF" w14:paraId="09AB6DAD" w14:textId="77777777" w:rsidTr="002D6163">
        <w:trPr>
          <w:trHeight w:val="9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8C5CDCC" w14:textId="77777777" w:rsidR="007E1FBF" w:rsidRPr="007E1FBF" w:rsidRDefault="007E1FBF" w:rsidP="004C48EF">
            <w:pPr>
              <w:spacing w:after="0" w:line="0" w:lineRule="atLeast"/>
              <w:rPr>
                <w:sz w:val="20"/>
                <w:szCs w:val="20"/>
              </w:rPr>
            </w:pPr>
            <w:r w:rsidRPr="007E1FBF">
              <w:rPr>
                <w:sz w:val="20"/>
                <w:szCs w:val="20"/>
              </w:rPr>
              <w:t>Evaluation Elements</w:t>
            </w:r>
          </w:p>
        </w:tc>
        <w:tc>
          <w:tcPr>
            <w:tcW w:w="1275" w:type="dxa"/>
            <w:tcBorders>
              <w:top w:val="nil"/>
              <w:left w:val="nil"/>
              <w:bottom w:val="single" w:sz="8" w:space="0" w:color="auto"/>
              <w:right w:val="single" w:sz="8" w:space="0" w:color="auto"/>
            </w:tcBorders>
            <w:shd w:val="clear" w:color="auto" w:fill="auto"/>
            <w:vAlign w:val="center"/>
            <w:hideMark/>
          </w:tcPr>
          <w:p w14:paraId="0774FCEE" w14:textId="77777777" w:rsidR="007E1FBF" w:rsidRPr="007E1FBF" w:rsidRDefault="007E1FBF" w:rsidP="004C48EF">
            <w:pPr>
              <w:spacing w:after="0" w:line="0" w:lineRule="atLeast"/>
              <w:rPr>
                <w:sz w:val="20"/>
                <w:szCs w:val="20"/>
              </w:rPr>
            </w:pPr>
            <w:r w:rsidRPr="007E1FBF">
              <w:rPr>
                <w:sz w:val="20"/>
                <w:szCs w:val="20"/>
              </w:rPr>
              <w:t>Lowest Submitted price (£)</w:t>
            </w:r>
          </w:p>
        </w:tc>
        <w:tc>
          <w:tcPr>
            <w:tcW w:w="1134" w:type="dxa"/>
            <w:tcBorders>
              <w:top w:val="nil"/>
              <w:left w:val="nil"/>
              <w:bottom w:val="single" w:sz="8" w:space="0" w:color="auto"/>
              <w:right w:val="single" w:sz="8" w:space="0" w:color="auto"/>
            </w:tcBorders>
            <w:shd w:val="clear" w:color="auto" w:fill="auto"/>
            <w:vAlign w:val="center"/>
            <w:hideMark/>
          </w:tcPr>
          <w:p w14:paraId="2E17E691" w14:textId="77777777" w:rsidR="007E1FBF" w:rsidRPr="007E1FBF" w:rsidRDefault="007E1FBF" w:rsidP="002D6163">
            <w:pPr>
              <w:spacing w:after="0" w:line="0" w:lineRule="atLeast"/>
              <w:jc w:val="center"/>
              <w:rPr>
                <w:sz w:val="20"/>
                <w:szCs w:val="20"/>
              </w:rPr>
            </w:pPr>
            <w:r w:rsidRPr="007E1FBF">
              <w:rPr>
                <w:sz w:val="20"/>
                <w:szCs w:val="20"/>
              </w:rPr>
              <w:t>Weighting %</w:t>
            </w:r>
          </w:p>
        </w:tc>
        <w:tc>
          <w:tcPr>
            <w:tcW w:w="1560" w:type="dxa"/>
            <w:tcBorders>
              <w:top w:val="nil"/>
              <w:left w:val="nil"/>
              <w:bottom w:val="single" w:sz="8" w:space="0" w:color="auto"/>
              <w:right w:val="single" w:sz="8" w:space="0" w:color="auto"/>
            </w:tcBorders>
            <w:shd w:val="clear" w:color="auto" w:fill="auto"/>
            <w:vAlign w:val="center"/>
            <w:hideMark/>
          </w:tcPr>
          <w:p w14:paraId="65F513AD" w14:textId="77777777" w:rsidR="007E1FBF" w:rsidRPr="007E1FBF" w:rsidRDefault="007E1FBF" w:rsidP="004C48EF">
            <w:pPr>
              <w:spacing w:after="0" w:line="0" w:lineRule="atLeast"/>
              <w:rPr>
                <w:sz w:val="20"/>
                <w:szCs w:val="20"/>
              </w:rPr>
            </w:pPr>
            <w:r w:rsidRPr="007E1FBF">
              <w:rPr>
                <w:sz w:val="20"/>
                <w:szCs w:val="20"/>
              </w:rPr>
              <w:t xml:space="preserve">Tendered Price </w:t>
            </w:r>
          </w:p>
        </w:tc>
        <w:tc>
          <w:tcPr>
            <w:tcW w:w="739" w:type="dxa"/>
            <w:tcBorders>
              <w:top w:val="nil"/>
              <w:left w:val="nil"/>
              <w:bottom w:val="single" w:sz="8" w:space="0" w:color="auto"/>
              <w:right w:val="single" w:sz="8" w:space="0" w:color="auto"/>
            </w:tcBorders>
            <w:shd w:val="clear" w:color="auto" w:fill="auto"/>
            <w:vAlign w:val="center"/>
            <w:hideMark/>
          </w:tcPr>
          <w:p w14:paraId="0600CD3C" w14:textId="77777777" w:rsidR="007E1FBF" w:rsidRPr="007E1FBF" w:rsidRDefault="007E1FBF" w:rsidP="004C48EF">
            <w:pPr>
              <w:spacing w:after="0" w:line="0" w:lineRule="atLeast"/>
              <w:rPr>
                <w:sz w:val="20"/>
                <w:szCs w:val="20"/>
              </w:rPr>
            </w:pPr>
            <w:r w:rsidRPr="007E1FBF">
              <w:rPr>
                <w:sz w:val="20"/>
                <w:szCs w:val="20"/>
              </w:rPr>
              <w:t xml:space="preserve">Score  </w:t>
            </w:r>
          </w:p>
        </w:tc>
        <w:tc>
          <w:tcPr>
            <w:tcW w:w="1245" w:type="dxa"/>
            <w:tcBorders>
              <w:top w:val="nil"/>
              <w:left w:val="nil"/>
              <w:bottom w:val="single" w:sz="8" w:space="0" w:color="auto"/>
              <w:right w:val="single" w:sz="8" w:space="0" w:color="auto"/>
            </w:tcBorders>
            <w:shd w:val="clear" w:color="auto" w:fill="auto"/>
            <w:vAlign w:val="center"/>
            <w:hideMark/>
          </w:tcPr>
          <w:p w14:paraId="67CE3429" w14:textId="77777777" w:rsidR="007E1FBF" w:rsidRPr="007E1FBF" w:rsidRDefault="007E1FBF" w:rsidP="004C48EF">
            <w:pPr>
              <w:spacing w:after="0" w:line="0" w:lineRule="atLeast"/>
              <w:rPr>
                <w:sz w:val="20"/>
                <w:szCs w:val="20"/>
              </w:rPr>
            </w:pPr>
            <w:r w:rsidRPr="007E1FBF">
              <w:rPr>
                <w:sz w:val="20"/>
                <w:szCs w:val="20"/>
              </w:rPr>
              <w:t>Tendered Price</w:t>
            </w:r>
          </w:p>
        </w:tc>
        <w:tc>
          <w:tcPr>
            <w:tcW w:w="739" w:type="dxa"/>
            <w:tcBorders>
              <w:top w:val="nil"/>
              <w:left w:val="nil"/>
              <w:bottom w:val="single" w:sz="8" w:space="0" w:color="auto"/>
              <w:right w:val="single" w:sz="8" w:space="0" w:color="auto"/>
            </w:tcBorders>
            <w:shd w:val="clear" w:color="auto" w:fill="auto"/>
            <w:vAlign w:val="center"/>
            <w:hideMark/>
          </w:tcPr>
          <w:p w14:paraId="6CB40007" w14:textId="0CC7A654" w:rsidR="007E1FBF" w:rsidRPr="007E1FBF" w:rsidRDefault="007E1FBF" w:rsidP="002D6163">
            <w:pPr>
              <w:spacing w:after="0" w:line="0" w:lineRule="atLeast"/>
              <w:jc w:val="center"/>
              <w:rPr>
                <w:sz w:val="20"/>
                <w:szCs w:val="20"/>
              </w:rPr>
            </w:pPr>
            <w:r w:rsidRPr="007E1FBF">
              <w:rPr>
                <w:sz w:val="20"/>
                <w:szCs w:val="20"/>
              </w:rPr>
              <w:t>Score</w:t>
            </w:r>
          </w:p>
        </w:tc>
        <w:tc>
          <w:tcPr>
            <w:tcW w:w="1104" w:type="dxa"/>
            <w:tcBorders>
              <w:top w:val="nil"/>
              <w:left w:val="nil"/>
              <w:bottom w:val="single" w:sz="8" w:space="0" w:color="auto"/>
              <w:right w:val="single" w:sz="8" w:space="0" w:color="auto"/>
            </w:tcBorders>
            <w:shd w:val="clear" w:color="auto" w:fill="auto"/>
            <w:vAlign w:val="center"/>
            <w:hideMark/>
          </w:tcPr>
          <w:p w14:paraId="50720567" w14:textId="77777777" w:rsidR="007E1FBF" w:rsidRPr="007E1FBF" w:rsidRDefault="007E1FBF" w:rsidP="004C48EF">
            <w:pPr>
              <w:spacing w:after="0" w:line="0" w:lineRule="atLeast"/>
              <w:rPr>
                <w:sz w:val="20"/>
                <w:szCs w:val="20"/>
              </w:rPr>
            </w:pPr>
            <w:r w:rsidRPr="007E1FBF">
              <w:rPr>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414619CF" w14:textId="77777777" w:rsidR="007E1FBF" w:rsidRPr="007E1FBF" w:rsidRDefault="007E1FBF" w:rsidP="002D6163">
            <w:pPr>
              <w:spacing w:after="0" w:line="0" w:lineRule="atLeast"/>
              <w:jc w:val="center"/>
              <w:rPr>
                <w:sz w:val="20"/>
                <w:szCs w:val="20"/>
              </w:rPr>
            </w:pPr>
            <w:r w:rsidRPr="007E1FBF">
              <w:rPr>
                <w:sz w:val="20"/>
                <w:szCs w:val="20"/>
              </w:rPr>
              <w:t>Score</w:t>
            </w:r>
          </w:p>
        </w:tc>
        <w:tc>
          <w:tcPr>
            <w:tcW w:w="12246" w:type="dxa"/>
            <w:tcBorders>
              <w:top w:val="nil"/>
              <w:left w:val="nil"/>
              <w:bottom w:val="nil"/>
              <w:right w:val="nil"/>
            </w:tcBorders>
            <w:shd w:val="clear" w:color="auto" w:fill="auto"/>
            <w:noWrap/>
            <w:vAlign w:val="bottom"/>
            <w:hideMark/>
          </w:tcPr>
          <w:p w14:paraId="3958E86D" w14:textId="77777777" w:rsidR="007E1FBF" w:rsidRPr="007E1FBF" w:rsidRDefault="007E1FBF" w:rsidP="007E1FBF"/>
        </w:tc>
        <w:tc>
          <w:tcPr>
            <w:tcW w:w="480" w:type="dxa"/>
            <w:tcBorders>
              <w:top w:val="nil"/>
              <w:left w:val="nil"/>
              <w:bottom w:val="nil"/>
              <w:right w:val="nil"/>
            </w:tcBorders>
            <w:shd w:val="clear" w:color="auto" w:fill="auto"/>
            <w:noWrap/>
            <w:vAlign w:val="bottom"/>
            <w:hideMark/>
          </w:tcPr>
          <w:p w14:paraId="22D9695A" w14:textId="77777777" w:rsidR="007E1FBF" w:rsidRPr="007E1FBF" w:rsidRDefault="007E1FBF" w:rsidP="007E1FBF"/>
        </w:tc>
      </w:tr>
      <w:tr w:rsidR="007E1FBF" w:rsidRPr="007E1FBF" w14:paraId="3EA7712C" w14:textId="77777777" w:rsidTr="002D6163">
        <w:trPr>
          <w:trHeight w:val="70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09B405F" w14:textId="77777777" w:rsidR="007E1FBF" w:rsidRPr="007E1FBF" w:rsidRDefault="007E1FBF" w:rsidP="004C48EF">
            <w:pPr>
              <w:spacing w:after="0" w:line="0" w:lineRule="atLeast"/>
              <w:rPr>
                <w:sz w:val="20"/>
                <w:szCs w:val="20"/>
              </w:rPr>
            </w:pPr>
            <w:r w:rsidRPr="007E1FBF">
              <w:rPr>
                <w:sz w:val="20"/>
                <w:szCs w:val="20"/>
              </w:rPr>
              <w:t>Total Contract Sum</w:t>
            </w:r>
          </w:p>
        </w:tc>
        <w:tc>
          <w:tcPr>
            <w:tcW w:w="1275" w:type="dxa"/>
            <w:tcBorders>
              <w:top w:val="nil"/>
              <w:left w:val="nil"/>
              <w:bottom w:val="single" w:sz="8" w:space="0" w:color="auto"/>
              <w:right w:val="single" w:sz="8" w:space="0" w:color="auto"/>
            </w:tcBorders>
            <w:shd w:val="clear" w:color="auto" w:fill="auto"/>
            <w:vAlign w:val="center"/>
            <w:hideMark/>
          </w:tcPr>
          <w:p w14:paraId="2F012AAB" w14:textId="77777777" w:rsidR="007E1FBF" w:rsidRPr="007E1FBF" w:rsidRDefault="007E1FBF" w:rsidP="004C48EF">
            <w:pPr>
              <w:spacing w:after="0" w:line="0" w:lineRule="atLeast"/>
              <w:rPr>
                <w:sz w:val="20"/>
                <w:szCs w:val="20"/>
              </w:rPr>
            </w:pPr>
            <w:r w:rsidRPr="007E1FBF">
              <w:rPr>
                <w:sz w:val="20"/>
                <w:szCs w:val="20"/>
              </w:rPr>
              <w:t>£65,000</w:t>
            </w:r>
          </w:p>
        </w:tc>
        <w:tc>
          <w:tcPr>
            <w:tcW w:w="1134" w:type="dxa"/>
            <w:tcBorders>
              <w:top w:val="nil"/>
              <w:left w:val="nil"/>
              <w:bottom w:val="single" w:sz="8" w:space="0" w:color="auto"/>
              <w:right w:val="single" w:sz="8" w:space="0" w:color="auto"/>
            </w:tcBorders>
            <w:shd w:val="clear" w:color="auto" w:fill="auto"/>
            <w:vAlign w:val="center"/>
            <w:hideMark/>
          </w:tcPr>
          <w:p w14:paraId="5ACEB7C3" w14:textId="55021930" w:rsidR="007E1FBF" w:rsidRPr="007E1FBF" w:rsidRDefault="00430C57" w:rsidP="002D6163">
            <w:pPr>
              <w:spacing w:after="0" w:line="0" w:lineRule="atLeast"/>
              <w:jc w:val="center"/>
              <w:rPr>
                <w:sz w:val="20"/>
                <w:szCs w:val="20"/>
              </w:rPr>
            </w:pPr>
            <w:r>
              <w:rPr>
                <w:sz w:val="20"/>
                <w:szCs w:val="20"/>
              </w:rPr>
              <w:t>100</w:t>
            </w:r>
          </w:p>
        </w:tc>
        <w:tc>
          <w:tcPr>
            <w:tcW w:w="1560" w:type="dxa"/>
            <w:tcBorders>
              <w:top w:val="nil"/>
              <w:left w:val="nil"/>
              <w:bottom w:val="single" w:sz="8" w:space="0" w:color="auto"/>
              <w:right w:val="single" w:sz="8" w:space="0" w:color="auto"/>
            </w:tcBorders>
            <w:shd w:val="clear" w:color="auto" w:fill="auto"/>
            <w:vAlign w:val="center"/>
            <w:hideMark/>
          </w:tcPr>
          <w:p w14:paraId="476CA548" w14:textId="77777777" w:rsidR="007E1FBF" w:rsidRPr="007E1FBF" w:rsidRDefault="007E1FBF" w:rsidP="004C48EF">
            <w:pPr>
              <w:spacing w:after="0" w:line="0" w:lineRule="atLeast"/>
              <w:rPr>
                <w:sz w:val="20"/>
                <w:szCs w:val="20"/>
              </w:rPr>
            </w:pPr>
            <w:r w:rsidRPr="007E1FBF">
              <w:rPr>
                <w:sz w:val="20"/>
                <w:szCs w:val="20"/>
              </w:rPr>
              <w:t>£75,000</w:t>
            </w:r>
          </w:p>
        </w:tc>
        <w:tc>
          <w:tcPr>
            <w:tcW w:w="739" w:type="dxa"/>
            <w:tcBorders>
              <w:top w:val="nil"/>
              <w:left w:val="nil"/>
              <w:bottom w:val="single" w:sz="8" w:space="0" w:color="auto"/>
              <w:right w:val="single" w:sz="8" w:space="0" w:color="auto"/>
            </w:tcBorders>
            <w:shd w:val="clear" w:color="auto" w:fill="auto"/>
            <w:vAlign w:val="center"/>
            <w:hideMark/>
          </w:tcPr>
          <w:p w14:paraId="2E0D9526" w14:textId="2B091AC3" w:rsidR="007E1FBF" w:rsidRPr="007E1FBF" w:rsidRDefault="004077F6" w:rsidP="004C48EF">
            <w:pPr>
              <w:spacing w:after="0" w:line="0" w:lineRule="atLeast"/>
              <w:rPr>
                <w:sz w:val="20"/>
                <w:szCs w:val="20"/>
              </w:rPr>
            </w:pPr>
            <w:r>
              <w:rPr>
                <w:sz w:val="20"/>
                <w:szCs w:val="20"/>
              </w:rPr>
              <w:t>86.</w:t>
            </w:r>
            <w:r w:rsidR="008E53EA">
              <w:rPr>
                <w:sz w:val="20"/>
                <w:szCs w:val="20"/>
              </w:rPr>
              <w:t>6</w:t>
            </w:r>
          </w:p>
        </w:tc>
        <w:tc>
          <w:tcPr>
            <w:tcW w:w="1245" w:type="dxa"/>
            <w:tcBorders>
              <w:top w:val="nil"/>
              <w:left w:val="nil"/>
              <w:bottom w:val="single" w:sz="8" w:space="0" w:color="auto"/>
              <w:right w:val="single" w:sz="8" w:space="0" w:color="auto"/>
            </w:tcBorders>
            <w:shd w:val="clear" w:color="auto" w:fill="auto"/>
            <w:vAlign w:val="center"/>
            <w:hideMark/>
          </w:tcPr>
          <w:p w14:paraId="5A1F8C0C" w14:textId="77777777" w:rsidR="007E1FBF" w:rsidRPr="007E1FBF" w:rsidRDefault="007E1FBF" w:rsidP="004C48EF">
            <w:pPr>
              <w:spacing w:after="0" w:line="0" w:lineRule="atLeast"/>
              <w:rPr>
                <w:sz w:val="20"/>
                <w:szCs w:val="20"/>
              </w:rPr>
            </w:pPr>
            <w:r w:rsidRPr="007E1FBF">
              <w:rPr>
                <w:sz w:val="20"/>
                <w:szCs w:val="20"/>
              </w:rPr>
              <w:t>£65,000</w:t>
            </w:r>
          </w:p>
        </w:tc>
        <w:tc>
          <w:tcPr>
            <w:tcW w:w="739" w:type="dxa"/>
            <w:tcBorders>
              <w:top w:val="nil"/>
              <w:left w:val="nil"/>
              <w:bottom w:val="single" w:sz="8" w:space="0" w:color="auto"/>
              <w:right w:val="single" w:sz="8" w:space="0" w:color="auto"/>
            </w:tcBorders>
            <w:shd w:val="clear" w:color="auto" w:fill="auto"/>
            <w:vAlign w:val="center"/>
            <w:hideMark/>
          </w:tcPr>
          <w:p w14:paraId="074C9FE0" w14:textId="53F9A3AE" w:rsidR="007E1FBF" w:rsidRPr="007E1FBF" w:rsidRDefault="008E53EA" w:rsidP="002D6163">
            <w:pPr>
              <w:spacing w:after="0" w:line="0" w:lineRule="atLeast"/>
              <w:jc w:val="center"/>
              <w:rPr>
                <w:sz w:val="20"/>
                <w:szCs w:val="20"/>
              </w:rPr>
            </w:pPr>
            <w:r>
              <w:rPr>
                <w:sz w:val="20"/>
                <w:szCs w:val="20"/>
              </w:rPr>
              <w:t>100</w:t>
            </w:r>
          </w:p>
        </w:tc>
        <w:tc>
          <w:tcPr>
            <w:tcW w:w="1104" w:type="dxa"/>
            <w:tcBorders>
              <w:top w:val="nil"/>
              <w:left w:val="nil"/>
              <w:bottom w:val="single" w:sz="8" w:space="0" w:color="auto"/>
              <w:right w:val="single" w:sz="8" w:space="0" w:color="auto"/>
            </w:tcBorders>
            <w:shd w:val="clear" w:color="auto" w:fill="auto"/>
            <w:vAlign w:val="center"/>
            <w:hideMark/>
          </w:tcPr>
          <w:p w14:paraId="219DFCFD" w14:textId="77777777" w:rsidR="007E1FBF" w:rsidRPr="007E1FBF" w:rsidRDefault="007E1FBF" w:rsidP="004C48EF">
            <w:pPr>
              <w:spacing w:after="0" w:line="0" w:lineRule="atLeast"/>
              <w:rPr>
                <w:sz w:val="20"/>
                <w:szCs w:val="20"/>
              </w:rPr>
            </w:pPr>
            <w:r w:rsidRPr="007E1FBF">
              <w:rPr>
                <w:sz w:val="20"/>
                <w:szCs w:val="20"/>
              </w:rPr>
              <w:t>£85,000</w:t>
            </w:r>
          </w:p>
        </w:tc>
        <w:tc>
          <w:tcPr>
            <w:tcW w:w="850" w:type="dxa"/>
            <w:tcBorders>
              <w:top w:val="nil"/>
              <w:left w:val="nil"/>
              <w:bottom w:val="single" w:sz="8" w:space="0" w:color="auto"/>
              <w:right w:val="single" w:sz="8" w:space="0" w:color="auto"/>
            </w:tcBorders>
            <w:shd w:val="clear" w:color="auto" w:fill="auto"/>
            <w:vAlign w:val="center"/>
            <w:hideMark/>
          </w:tcPr>
          <w:p w14:paraId="44FF3A9F" w14:textId="475D4403" w:rsidR="007E1FBF" w:rsidRPr="007E1FBF" w:rsidRDefault="004E20B8" w:rsidP="002D6163">
            <w:pPr>
              <w:spacing w:after="0" w:line="0" w:lineRule="atLeast"/>
              <w:jc w:val="center"/>
              <w:rPr>
                <w:sz w:val="20"/>
                <w:szCs w:val="20"/>
              </w:rPr>
            </w:pPr>
            <w:r>
              <w:rPr>
                <w:sz w:val="20"/>
                <w:szCs w:val="20"/>
              </w:rPr>
              <w:t>76.5</w:t>
            </w:r>
          </w:p>
        </w:tc>
        <w:tc>
          <w:tcPr>
            <w:tcW w:w="12246" w:type="dxa"/>
            <w:tcBorders>
              <w:top w:val="nil"/>
              <w:left w:val="nil"/>
              <w:bottom w:val="nil"/>
              <w:right w:val="nil"/>
            </w:tcBorders>
            <w:shd w:val="clear" w:color="auto" w:fill="auto"/>
            <w:noWrap/>
            <w:vAlign w:val="bottom"/>
            <w:hideMark/>
          </w:tcPr>
          <w:p w14:paraId="0E78AEE5" w14:textId="77777777" w:rsidR="007E1FBF" w:rsidRPr="007E1FBF" w:rsidRDefault="007E1FBF" w:rsidP="007E1FBF"/>
        </w:tc>
        <w:tc>
          <w:tcPr>
            <w:tcW w:w="480" w:type="dxa"/>
            <w:tcBorders>
              <w:top w:val="nil"/>
              <w:left w:val="nil"/>
              <w:bottom w:val="nil"/>
              <w:right w:val="nil"/>
            </w:tcBorders>
            <w:shd w:val="clear" w:color="auto" w:fill="auto"/>
            <w:noWrap/>
            <w:vAlign w:val="bottom"/>
            <w:hideMark/>
          </w:tcPr>
          <w:p w14:paraId="46DA4575" w14:textId="77777777" w:rsidR="007E1FBF" w:rsidRPr="007E1FBF" w:rsidRDefault="007E1FBF" w:rsidP="007E1FBF"/>
        </w:tc>
      </w:tr>
      <w:tr w:rsidR="007E1FBF" w:rsidRPr="007E1FBF" w14:paraId="5885F29D" w14:textId="77777777" w:rsidTr="002D6163">
        <w:trPr>
          <w:trHeight w:val="604"/>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8AD6C64" w14:textId="77777777" w:rsidR="007E1FBF" w:rsidRPr="007E1FBF" w:rsidRDefault="007E1FBF" w:rsidP="004C48EF">
            <w:pPr>
              <w:spacing w:after="0" w:line="0" w:lineRule="atLeast"/>
              <w:rPr>
                <w:b/>
                <w:bCs/>
                <w:sz w:val="20"/>
                <w:szCs w:val="20"/>
              </w:rPr>
            </w:pPr>
            <w:r w:rsidRPr="007E1FBF">
              <w:rPr>
                <w:b/>
                <w:bCs/>
                <w:sz w:val="20"/>
                <w:szCs w:val="20"/>
              </w:rPr>
              <w:t>Total Score</w:t>
            </w:r>
          </w:p>
        </w:tc>
        <w:tc>
          <w:tcPr>
            <w:tcW w:w="1275" w:type="dxa"/>
            <w:tcBorders>
              <w:top w:val="nil"/>
              <w:left w:val="nil"/>
              <w:bottom w:val="single" w:sz="8" w:space="0" w:color="auto"/>
              <w:right w:val="single" w:sz="8" w:space="0" w:color="auto"/>
            </w:tcBorders>
            <w:shd w:val="clear" w:color="auto" w:fill="auto"/>
            <w:vAlign w:val="center"/>
            <w:hideMark/>
          </w:tcPr>
          <w:p w14:paraId="70241623" w14:textId="77777777" w:rsidR="007E1FBF" w:rsidRPr="007E1FBF" w:rsidRDefault="007E1FBF" w:rsidP="004C48EF">
            <w:pPr>
              <w:spacing w:after="0" w:line="0" w:lineRule="atLeast"/>
              <w:rPr>
                <w:b/>
                <w:bCs/>
                <w:sz w:val="20"/>
                <w:szCs w:val="20"/>
              </w:rPr>
            </w:pPr>
            <w:r w:rsidRPr="007E1FBF">
              <w:rPr>
                <w:b/>
                <w:bCs/>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33722671" w14:textId="2E1FBF25" w:rsidR="007E1FBF" w:rsidRPr="007E1FBF" w:rsidRDefault="00430C57" w:rsidP="002D6163">
            <w:pPr>
              <w:spacing w:after="0" w:line="0" w:lineRule="atLeast"/>
              <w:jc w:val="center"/>
              <w:rPr>
                <w:b/>
                <w:bCs/>
                <w:sz w:val="20"/>
                <w:szCs w:val="20"/>
              </w:rPr>
            </w:pPr>
            <w:r>
              <w:rPr>
                <w:b/>
                <w:bCs/>
                <w:sz w:val="20"/>
                <w:szCs w:val="20"/>
              </w:rPr>
              <w:t>100</w:t>
            </w:r>
          </w:p>
        </w:tc>
        <w:tc>
          <w:tcPr>
            <w:tcW w:w="1560" w:type="dxa"/>
            <w:tcBorders>
              <w:top w:val="nil"/>
              <w:left w:val="nil"/>
              <w:bottom w:val="single" w:sz="8" w:space="0" w:color="auto"/>
              <w:right w:val="single" w:sz="8" w:space="0" w:color="auto"/>
            </w:tcBorders>
            <w:shd w:val="clear" w:color="auto" w:fill="auto"/>
            <w:vAlign w:val="center"/>
            <w:hideMark/>
          </w:tcPr>
          <w:p w14:paraId="3D397BEB" w14:textId="77777777" w:rsidR="007E1FBF" w:rsidRPr="007E1FBF" w:rsidRDefault="007E1FBF" w:rsidP="004C48EF">
            <w:pPr>
              <w:spacing w:after="0" w:line="0" w:lineRule="atLeast"/>
              <w:rPr>
                <w:b/>
                <w:bCs/>
                <w:sz w:val="20"/>
                <w:szCs w:val="20"/>
              </w:rPr>
            </w:pPr>
            <w:r w:rsidRPr="007E1FBF">
              <w:rPr>
                <w:b/>
                <w:bCs/>
                <w:sz w:val="20"/>
                <w:szCs w:val="20"/>
              </w:rPr>
              <w:t> </w:t>
            </w:r>
          </w:p>
        </w:tc>
        <w:tc>
          <w:tcPr>
            <w:tcW w:w="739" w:type="dxa"/>
            <w:tcBorders>
              <w:top w:val="nil"/>
              <w:left w:val="nil"/>
              <w:bottom w:val="single" w:sz="8" w:space="0" w:color="auto"/>
              <w:right w:val="single" w:sz="8" w:space="0" w:color="auto"/>
            </w:tcBorders>
            <w:shd w:val="clear" w:color="auto" w:fill="auto"/>
            <w:vAlign w:val="center"/>
            <w:hideMark/>
          </w:tcPr>
          <w:p w14:paraId="6153A90E" w14:textId="07189438" w:rsidR="007E1FBF" w:rsidRPr="007E1FBF" w:rsidRDefault="008E53EA" w:rsidP="004C48EF">
            <w:pPr>
              <w:spacing w:after="0" w:line="0" w:lineRule="atLeast"/>
              <w:rPr>
                <w:b/>
                <w:bCs/>
                <w:sz w:val="20"/>
                <w:szCs w:val="20"/>
              </w:rPr>
            </w:pPr>
            <w:r>
              <w:rPr>
                <w:b/>
                <w:bCs/>
                <w:sz w:val="20"/>
                <w:szCs w:val="20"/>
              </w:rPr>
              <w:t>86.6%</w:t>
            </w:r>
          </w:p>
        </w:tc>
        <w:tc>
          <w:tcPr>
            <w:tcW w:w="1245" w:type="dxa"/>
            <w:tcBorders>
              <w:top w:val="nil"/>
              <w:left w:val="nil"/>
              <w:bottom w:val="single" w:sz="8" w:space="0" w:color="auto"/>
              <w:right w:val="single" w:sz="8" w:space="0" w:color="auto"/>
            </w:tcBorders>
            <w:shd w:val="clear" w:color="auto" w:fill="auto"/>
            <w:vAlign w:val="center"/>
            <w:hideMark/>
          </w:tcPr>
          <w:p w14:paraId="61897140" w14:textId="77777777" w:rsidR="007E1FBF" w:rsidRPr="007E1FBF" w:rsidRDefault="007E1FBF" w:rsidP="004C48EF">
            <w:pPr>
              <w:spacing w:after="0" w:line="0" w:lineRule="atLeast"/>
              <w:rPr>
                <w:b/>
                <w:bCs/>
                <w:sz w:val="20"/>
                <w:szCs w:val="20"/>
              </w:rPr>
            </w:pPr>
            <w:r w:rsidRPr="007E1FBF">
              <w:rPr>
                <w:b/>
                <w:bCs/>
                <w:sz w:val="20"/>
                <w:szCs w:val="20"/>
              </w:rPr>
              <w:t> </w:t>
            </w:r>
          </w:p>
        </w:tc>
        <w:tc>
          <w:tcPr>
            <w:tcW w:w="739" w:type="dxa"/>
            <w:tcBorders>
              <w:top w:val="nil"/>
              <w:left w:val="nil"/>
              <w:bottom w:val="single" w:sz="8" w:space="0" w:color="auto"/>
              <w:right w:val="single" w:sz="8" w:space="0" w:color="auto"/>
            </w:tcBorders>
            <w:shd w:val="clear" w:color="auto" w:fill="auto"/>
            <w:vAlign w:val="center"/>
            <w:hideMark/>
          </w:tcPr>
          <w:p w14:paraId="70CA850E" w14:textId="7A83A68D" w:rsidR="007E1FBF" w:rsidRPr="007E1FBF" w:rsidRDefault="008E53EA" w:rsidP="002D6163">
            <w:pPr>
              <w:spacing w:after="0" w:line="0" w:lineRule="atLeast"/>
              <w:jc w:val="center"/>
              <w:rPr>
                <w:b/>
                <w:bCs/>
                <w:sz w:val="20"/>
                <w:szCs w:val="20"/>
              </w:rPr>
            </w:pPr>
            <w:r>
              <w:rPr>
                <w:b/>
                <w:bCs/>
                <w:sz w:val="20"/>
                <w:szCs w:val="20"/>
              </w:rPr>
              <w:t>100</w:t>
            </w:r>
          </w:p>
        </w:tc>
        <w:tc>
          <w:tcPr>
            <w:tcW w:w="1104" w:type="dxa"/>
            <w:tcBorders>
              <w:top w:val="nil"/>
              <w:left w:val="nil"/>
              <w:bottom w:val="single" w:sz="8" w:space="0" w:color="auto"/>
              <w:right w:val="single" w:sz="8" w:space="0" w:color="auto"/>
            </w:tcBorders>
            <w:shd w:val="clear" w:color="auto" w:fill="auto"/>
            <w:vAlign w:val="center"/>
            <w:hideMark/>
          </w:tcPr>
          <w:p w14:paraId="245F5E01" w14:textId="77777777" w:rsidR="007E1FBF" w:rsidRPr="007E1FBF" w:rsidRDefault="007E1FBF" w:rsidP="004C48EF">
            <w:pPr>
              <w:spacing w:after="0" w:line="0" w:lineRule="atLeast"/>
              <w:rPr>
                <w:b/>
                <w:bCs/>
                <w:sz w:val="20"/>
                <w:szCs w:val="20"/>
              </w:rPr>
            </w:pPr>
            <w:r w:rsidRPr="007E1FBF">
              <w:rPr>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79A5FFD6" w14:textId="146EBEA0" w:rsidR="007E1FBF" w:rsidRPr="007E1FBF" w:rsidRDefault="004E20B8" w:rsidP="002D6163">
            <w:pPr>
              <w:spacing w:after="0" w:line="0" w:lineRule="atLeast"/>
              <w:jc w:val="center"/>
              <w:rPr>
                <w:b/>
                <w:bCs/>
                <w:sz w:val="20"/>
                <w:szCs w:val="20"/>
              </w:rPr>
            </w:pPr>
            <w:r>
              <w:rPr>
                <w:b/>
                <w:bCs/>
                <w:sz w:val="20"/>
                <w:szCs w:val="20"/>
              </w:rPr>
              <w:t>76.5</w:t>
            </w:r>
          </w:p>
        </w:tc>
        <w:tc>
          <w:tcPr>
            <w:tcW w:w="12246" w:type="dxa"/>
            <w:tcBorders>
              <w:top w:val="nil"/>
              <w:left w:val="nil"/>
              <w:bottom w:val="nil"/>
              <w:right w:val="nil"/>
            </w:tcBorders>
            <w:shd w:val="clear" w:color="auto" w:fill="auto"/>
            <w:noWrap/>
            <w:vAlign w:val="bottom"/>
            <w:hideMark/>
          </w:tcPr>
          <w:p w14:paraId="7054ACC6" w14:textId="77777777" w:rsidR="007E1FBF" w:rsidRPr="007E1FBF" w:rsidRDefault="007E1FBF" w:rsidP="007E1FBF">
            <w:pPr>
              <w:rPr>
                <w:b/>
                <w:bCs/>
              </w:rPr>
            </w:pPr>
          </w:p>
        </w:tc>
        <w:tc>
          <w:tcPr>
            <w:tcW w:w="480" w:type="dxa"/>
            <w:tcBorders>
              <w:top w:val="nil"/>
              <w:left w:val="nil"/>
              <w:bottom w:val="nil"/>
              <w:right w:val="nil"/>
            </w:tcBorders>
            <w:shd w:val="clear" w:color="auto" w:fill="auto"/>
            <w:noWrap/>
            <w:vAlign w:val="bottom"/>
            <w:hideMark/>
          </w:tcPr>
          <w:p w14:paraId="7B7527D4" w14:textId="77777777" w:rsidR="007E1FBF" w:rsidRPr="007E1FBF" w:rsidRDefault="007E1FBF" w:rsidP="007E1FBF"/>
        </w:tc>
      </w:tr>
      <w:tr w:rsidR="007E1FBF" w:rsidRPr="007E1FBF" w14:paraId="297BDB31" w14:textId="77777777" w:rsidTr="002D6163">
        <w:trPr>
          <w:trHeight w:val="290"/>
        </w:trPr>
        <w:tc>
          <w:tcPr>
            <w:tcW w:w="1560" w:type="dxa"/>
            <w:tcBorders>
              <w:top w:val="nil"/>
              <w:left w:val="nil"/>
              <w:bottom w:val="nil"/>
              <w:right w:val="nil"/>
            </w:tcBorders>
            <w:shd w:val="clear" w:color="auto" w:fill="auto"/>
            <w:noWrap/>
            <w:vAlign w:val="center"/>
            <w:hideMark/>
          </w:tcPr>
          <w:p w14:paraId="25B961F4" w14:textId="77777777" w:rsidR="007E1FBF" w:rsidRPr="007E1FBF" w:rsidRDefault="007E1FBF" w:rsidP="007E1FBF"/>
        </w:tc>
        <w:tc>
          <w:tcPr>
            <w:tcW w:w="1275" w:type="dxa"/>
            <w:tcBorders>
              <w:top w:val="nil"/>
              <w:left w:val="nil"/>
              <w:bottom w:val="nil"/>
              <w:right w:val="nil"/>
            </w:tcBorders>
            <w:shd w:val="clear" w:color="auto" w:fill="auto"/>
            <w:noWrap/>
            <w:vAlign w:val="bottom"/>
            <w:hideMark/>
          </w:tcPr>
          <w:p w14:paraId="53EF9D37" w14:textId="77777777" w:rsidR="007E1FBF" w:rsidRPr="007E1FBF" w:rsidRDefault="007E1FBF" w:rsidP="007E1FBF"/>
        </w:tc>
        <w:tc>
          <w:tcPr>
            <w:tcW w:w="1134" w:type="dxa"/>
            <w:tcBorders>
              <w:top w:val="nil"/>
              <w:left w:val="nil"/>
              <w:bottom w:val="nil"/>
              <w:right w:val="nil"/>
            </w:tcBorders>
            <w:shd w:val="clear" w:color="auto" w:fill="auto"/>
            <w:noWrap/>
            <w:vAlign w:val="bottom"/>
            <w:hideMark/>
          </w:tcPr>
          <w:p w14:paraId="2A6F1D13" w14:textId="77777777" w:rsidR="007E1FBF" w:rsidRPr="007E1FBF" w:rsidRDefault="007E1FBF" w:rsidP="007E1FBF"/>
        </w:tc>
        <w:tc>
          <w:tcPr>
            <w:tcW w:w="1560" w:type="dxa"/>
            <w:tcBorders>
              <w:top w:val="nil"/>
              <w:left w:val="nil"/>
              <w:bottom w:val="nil"/>
              <w:right w:val="nil"/>
            </w:tcBorders>
            <w:shd w:val="clear" w:color="auto" w:fill="auto"/>
            <w:noWrap/>
            <w:vAlign w:val="bottom"/>
            <w:hideMark/>
          </w:tcPr>
          <w:p w14:paraId="03BB306E" w14:textId="77777777" w:rsidR="007E1FBF" w:rsidRPr="007E1FBF" w:rsidRDefault="007E1FBF" w:rsidP="007E1FBF"/>
        </w:tc>
        <w:tc>
          <w:tcPr>
            <w:tcW w:w="739" w:type="dxa"/>
            <w:tcBorders>
              <w:top w:val="nil"/>
              <w:left w:val="nil"/>
              <w:bottom w:val="nil"/>
              <w:right w:val="nil"/>
            </w:tcBorders>
            <w:shd w:val="clear" w:color="auto" w:fill="auto"/>
            <w:noWrap/>
            <w:vAlign w:val="bottom"/>
            <w:hideMark/>
          </w:tcPr>
          <w:p w14:paraId="3F3DAD39" w14:textId="77777777" w:rsidR="007E1FBF" w:rsidRPr="007E1FBF" w:rsidRDefault="007E1FBF" w:rsidP="007E1FBF"/>
        </w:tc>
        <w:tc>
          <w:tcPr>
            <w:tcW w:w="1245" w:type="dxa"/>
            <w:tcBorders>
              <w:top w:val="nil"/>
              <w:left w:val="nil"/>
              <w:bottom w:val="nil"/>
              <w:right w:val="nil"/>
            </w:tcBorders>
            <w:shd w:val="clear" w:color="auto" w:fill="auto"/>
            <w:noWrap/>
            <w:vAlign w:val="bottom"/>
            <w:hideMark/>
          </w:tcPr>
          <w:p w14:paraId="3C2B4590" w14:textId="77777777" w:rsidR="007E1FBF" w:rsidRPr="007E1FBF" w:rsidRDefault="007E1FBF" w:rsidP="007E1FBF"/>
        </w:tc>
        <w:tc>
          <w:tcPr>
            <w:tcW w:w="739" w:type="dxa"/>
            <w:tcBorders>
              <w:top w:val="nil"/>
              <w:left w:val="nil"/>
              <w:bottom w:val="nil"/>
              <w:right w:val="nil"/>
            </w:tcBorders>
            <w:shd w:val="clear" w:color="auto" w:fill="auto"/>
            <w:noWrap/>
            <w:vAlign w:val="bottom"/>
            <w:hideMark/>
          </w:tcPr>
          <w:p w14:paraId="631887B1" w14:textId="77777777" w:rsidR="007E1FBF" w:rsidRPr="007E1FBF" w:rsidRDefault="007E1FBF" w:rsidP="007E1FBF"/>
        </w:tc>
        <w:tc>
          <w:tcPr>
            <w:tcW w:w="1104" w:type="dxa"/>
            <w:tcBorders>
              <w:top w:val="nil"/>
              <w:left w:val="nil"/>
              <w:bottom w:val="nil"/>
              <w:right w:val="nil"/>
            </w:tcBorders>
            <w:shd w:val="clear" w:color="auto" w:fill="auto"/>
            <w:noWrap/>
            <w:vAlign w:val="bottom"/>
            <w:hideMark/>
          </w:tcPr>
          <w:p w14:paraId="3F1A7E19" w14:textId="77777777" w:rsidR="007E1FBF" w:rsidRPr="007E1FBF" w:rsidRDefault="007E1FBF" w:rsidP="007E1FBF"/>
        </w:tc>
        <w:tc>
          <w:tcPr>
            <w:tcW w:w="850" w:type="dxa"/>
            <w:tcBorders>
              <w:top w:val="nil"/>
              <w:left w:val="nil"/>
              <w:bottom w:val="nil"/>
              <w:right w:val="nil"/>
            </w:tcBorders>
            <w:shd w:val="clear" w:color="auto" w:fill="auto"/>
            <w:noWrap/>
            <w:vAlign w:val="bottom"/>
            <w:hideMark/>
          </w:tcPr>
          <w:p w14:paraId="76645507" w14:textId="77777777" w:rsidR="007E1FBF" w:rsidRPr="007E1FBF" w:rsidRDefault="007E1FBF" w:rsidP="007E1FBF"/>
        </w:tc>
        <w:tc>
          <w:tcPr>
            <w:tcW w:w="12246" w:type="dxa"/>
            <w:tcBorders>
              <w:top w:val="nil"/>
              <w:left w:val="nil"/>
              <w:bottom w:val="nil"/>
              <w:right w:val="nil"/>
            </w:tcBorders>
            <w:shd w:val="clear" w:color="auto" w:fill="auto"/>
            <w:noWrap/>
            <w:vAlign w:val="bottom"/>
            <w:hideMark/>
          </w:tcPr>
          <w:p w14:paraId="021EE67B" w14:textId="77777777" w:rsidR="007E1FBF" w:rsidRPr="007E1FBF" w:rsidRDefault="007E1FBF" w:rsidP="007E1FBF"/>
        </w:tc>
        <w:tc>
          <w:tcPr>
            <w:tcW w:w="480" w:type="dxa"/>
            <w:tcBorders>
              <w:top w:val="nil"/>
              <w:left w:val="nil"/>
              <w:bottom w:val="nil"/>
              <w:right w:val="nil"/>
            </w:tcBorders>
            <w:shd w:val="clear" w:color="auto" w:fill="auto"/>
            <w:noWrap/>
            <w:vAlign w:val="bottom"/>
            <w:hideMark/>
          </w:tcPr>
          <w:p w14:paraId="767CB6C0" w14:textId="77777777" w:rsidR="007E1FBF" w:rsidRPr="007E1FBF" w:rsidRDefault="007E1FBF" w:rsidP="007E1FBF"/>
        </w:tc>
      </w:tr>
    </w:tbl>
    <w:p w14:paraId="29810610" w14:textId="22473E2A" w:rsidR="00E0592A" w:rsidRDefault="009D38A0" w:rsidP="009D38A0">
      <w:pPr>
        <w:spacing w:after="0" w:line="240" w:lineRule="auto"/>
      </w:pPr>
      <w:r>
        <w:br w:type="page"/>
      </w:r>
    </w:p>
    <w:p w14:paraId="65FEDEDA" w14:textId="281BE793" w:rsidR="002D6163" w:rsidRPr="002D6163" w:rsidRDefault="002D6163" w:rsidP="002D6163">
      <w:pPr>
        <w:pStyle w:val="Heading2"/>
        <w:numPr>
          <w:ilvl w:val="0"/>
          <w:numId w:val="0"/>
        </w:numPr>
        <w:spacing w:after="240"/>
        <w:ind w:left="3697" w:hanging="3697"/>
        <w:rPr>
          <w:u w:val="single"/>
        </w:rPr>
      </w:pPr>
      <w:bookmarkStart w:id="93" w:name="_Toc530675212"/>
      <w:bookmarkStart w:id="94" w:name="_Hlk527706468"/>
      <w:r w:rsidRPr="002D6163">
        <w:rPr>
          <w:u w:val="single"/>
        </w:rPr>
        <w:lastRenderedPageBreak/>
        <w:t>Section 4 – Conditions of Tender</w:t>
      </w:r>
      <w:bookmarkEnd w:id="93"/>
    </w:p>
    <w:p w14:paraId="172E287F" w14:textId="77777777" w:rsidR="00CB35F9" w:rsidRPr="00CB35F9" w:rsidRDefault="00CB35F9" w:rsidP="00CB35F9">
      <w:pPr>
        <w:pStyle w:val="ListParagraph"/>
        <w:keepNext/>
        <w:numPr>
          <w:ilvl w:val="0"/>
          <w:numId w:val="7"/>
        </w:numPr>
        <w:pBdr>
          <w:bottom w:val="single" w:sz="4" w:space="6" w:color="808080"/>
        </w:pBdr>
        <w:spacing w:after="480"/>
        <w:contextualSpacing w:val="0"/>
        <w:outlineLvl w:val="0"/>
        <w:rPr>
          <w:b/>
          <w:vanish/>
          <w:sz w:val="36"/>
        </w:rPr>
      </w:pPr>
      <w:bookmarkStart w:id="95" w:name="_Toc519243949"/>
      <w:bookmarkStart w:id="96" w:name="_Toc519244087"/>
      <w:bookmarkStart w:id="97" w:name="_Toc519518197"/>
      <w:bookmarkStart w:id="98" w:name="_Toc527706589"/>
      <w:bookmarkStart w:id="99" w:name="_Toc527706648"/>
      <w:bookmarkStart w:id="100" w:name="_Toc529102529"/>
      <w:bookmarkStart w:id="101" w:name="_Toc529102589"/>
      <w:bookmarkStart w:id="102" w:name="_Toc529102649"/>
      <w:bookmarkStart w:id="103" w:name="_Toc529102709"/>
      <w:bookmarkStart w:id="104" w:name="_Toc530675213"/>
      <w:bookmarkEnd w:id="94"/>
      <w:bookmarkEnd w:id="95"/>
      <w:bookmarkEnd w:id="96"/>
      <w:bookmarkEnd w:id="97"/>
      <w:bookmarkEnd w:id="98"/>
      <w:bookmarkEnd w:id="99"/>
      <w:bookmarkEnd w:id="100"/>
      <w:bookmarkEnd w:id="101"/>
      <w:bookmarkEnd w:id="102"/>
      <w:bookmarkEnd w:id="103"/>
      <w:bookmarkEnd w:id="104"/>
    </w:p>
    <w:p w14:paraId="316C3681" w14:textId="0AC7344D" w:rsidR="00C75C38" w:rsidRDefault="00C75C38" w:rsidP="002D6163">
      <w:pPr>
        <w:pStyle w:val="Heading2"/>
        <w:tabs>
          <w:tab w:val="num" w:pos="709"/>
        </w:tabs>
        <w:spacing w:before="240" w:after="240"/>
        <w:ind w:left="3697" w:hanging="3697"/>
      </w:pPr>
      <w:bookmarkStart w:id="105" w:name="_Toc530675214"/>
      <w:r>
        <w:t>Authority’s Warranties and Disclaimers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05"/>
    </w:p>
    <w:p w14:paraId="1F73BCD2" w14:textId="77777777" w:rsidR="00C75C38" w:rsidRPr="002D6163" w:rsidRDefault="00C75C38" w:rsidP="002D6163">
      <w:pPr>
        <w:keepNext/>
        <w:numPr>
          <w:ilvl w:val="2"/>
          <w:numId w:val="7"/>
        </w:numPr>
        <w:tabs>
          <w:tab w:val="clear" w:pos="720"/>
        </w:tabs>
        <w:spacing w:before="120" w:after="120"/>
        <w:outlineLvl w:val="2"/>
        <w:rPr>
          <w:iCs/>
        </w:rPr>
      </w:pPr>
      <w:bookmarkStart w:id="106" w:name="_DV_M157"/>
      <w:bookmarkEnd w:id="106"/>
      <w:r w:rsidRPr="002D6163">
        <w:rPr>
          <w:iCs/>
        </w:rPr>
        <w:t>The fact that an Applicant has been invited to bid does not necessarily mean that the Applicant has completely satisfied all the Authority’s criteria and the Authority may require further information as appropriate and assess this as part of the evaluation process.</w:t>
      </w:r>
    </w:p>
    <w:p w14:paraId="361F827B" w14:textId="77777777" w:rsidR="00C75C38" w:rsidRPr="002D6163" w:rsidRDefault="00C75C38" w:rsidP="002D6163">
      <w:pPr>
        <w:keepNext/>
        <w:numPr>
          <w:ilvl w:val="2"/>
          <w:numId w:val="7"/>
        </w:numPr>
        <w:tabs>
          <w:tab w:val="clear" w:pos="720"/>
        </w:tabs>
        <w:spacing w:before="120" w:after="120"/>
        <w:outlineLvl w:val="2"/>
        <w:rPr>
          <w:iCs/>
        </w:rPr>
      </w:pPr>
      <w:bookmarkStart w:id="107" w:name="_DV_M158"/>
      <w:bookmarkEnd w:id="107"/>
      <w:r w:rsidRPr="002D6163">
        <w:rPr>
          <w:iCs/>
        </w:rPr>
        <w:t xml:space="preserve">The Applicant shall have no claim whatsoever against the Authority in respect of such matters and in particular (but without limitation) the Authority shall not make any payments to the successful Applicant save as expressly provided for in the </w:t>
      </w:r>
      <w:r w:rsidR="00680E24" w:rsidRPr="002D6163">
        <w:rPr>
          <w:iCs/>
        </w:rPr>
        <w:t xml:space="preserve">(Call-Off) </w:t>
      </w:r>
      <w:r w:rsidRPr="002D6163">
        <w:rPr>
          <w:iCs/>
        </w:rPr>
        <w:t>Contract and (save to the extent set out in the</w:t>
      </w:r>
      <w:r w:rsidR="00680E24" w:rsidRPr="002D6163">
        <w:rPr>
          <w:iCs/>
        </w:rPr>
        <w:t xml:space="preserve"> (Call-Off)</w:t>
      </w:r>
      <w:r w:rsidRPr="002D6163">
        <w:rPr>
          <w:iCs/>
        </w:rPr>
        <w:t xml:space="preserve"> Contract) no compensation or remuneration shall otherwise be payable by the Authority to the Applicant in respect of the services by reason of the specification being different from that envisaged by the Applicant or otherwise.</w:t>
      </w:r>
    </w:p>
    <w:p w14:paraId="71DD7961" w14:textId="77777777" w:rsidR="00C75C38" w:rsidRPr="002D6163" w:rsidRDefault="00C75C38" w:rsidP="002D6163">
      <w:pPr>
        <w:keepNext/>
        <w:numPr>
          <w:ilvl w:val="2"/>
          <w:numId w:val="7"/>
        </w:numPr>
        <w:tabs>
          <w:tab w:val="clear" w:pos="720"/>
        </w:tabs>
        <w:spacing w:before="120" w:after="120"/>
        <w:outlineLvl w:val="2"/>
        <w:rPr>
          <w:iCs/>
        </w:rPr>
      </w:pPr>
      <w:bookmarkStart w:id="108" w:name="_DV_M159"/>
      <w:bookmarkEnd w:id="108"/>
      <w:r w:rsidRPr="002D6163">
        <w:rPr>
          <w:iCs/>
        </w:rPr>
        <w:t xml:space="preserve">Whilst the information in this document has been prepared in good faith, it does not purport to be comprehensive or to have been independently verified.  </w:t>
      </w:r>
      <w:proofErr w:type="gramStart"/>
      <w:r w:rsidRPr="002D6163">
        <w:rPr>
          <w:iCs/>
        </w:rPr>
        <w:t>With the exception of</w:t>
      </w:r>
      <w:proofErr w:type="gramEnd"/>
      <w:r w:rsidRPr="002D6163">
        <w:rPr>
          <w:iCs/>
        </w:rPr>
        <w:t xml:space="preserve"> statements made fraudulently, the Authority does not accept any liability or responsibility for the adequacy, accuracy or completeness of such information. The Authority does not make any representation or warranty (express or implied) with respect to the information contained in the document or with respect to any written or oral information made or to be made available to any Applicant or its professional advisors.</w:t>
      </w:r>
    </w:p>
    <w:p w14:paraId="58867021" w14:textId="5907CB8E" w:rsidR="00C75C38" w:rsidRDefault="00C75C38" w:rsidP="002D6163">
      <w:pPr>
        <w:keepNext/>
        <w:numPr>
          <w:ilvl w:val="2"/>
          <w:numId w:val="7"/>
        </w:numPr>
        <w:tabs>
          <w:tab w:val="clear" w:pos="720"/>
        </w:tabs>
        <w:spacing w:before="120" w:after="120"/>
        <w:outlineLvl w:val="2"/>
      </w:pPr>
      <w:bookmarkStart w:id="109" w:name="_DV_M162"/>
      <w:bookmarkEnd w:id="109"/>
      <w:r w:rsidRPr="002D6163">
        <w:rPr>
          <w:iCs/>
        </w:rPr>
        <w:t>Each Applicant to whom the</w:t>
      </w:r>
      <w:r>
        <w:t xml:space="preserve"> document is sent must make its own independent assessment of the proposed terms after making such investigation and taking such professional advice as it deems necessary to determine its interest in the Contract.</w:t>
      </w:r>
    </w:p>
    <w:p w14:paraId="38887F6D" w14:textId="77777777" w:rsidR="00C75C38" w:rsidRDefault="00C75C38" w:rsidP="002D6163">
      <w:pPr>
        <w:keepNext/>
        <w:numPr>
          <w:ilvl w:val="2"/>
          <w:numId w:val="7"/>
        </w:numPr>
        <w:tabs>
          <w:tab w:val="clear" w:pos="720"/>
        </w:tabs>
        <w:spacing w:before="120" w:after="120"/>
        <w:outlineLvl w:val="2"/>
      </w:pPr>
      <w:bookmarkStart w:id="110" w:name="_DV_M164"/>
      <w:bookmarkEnd w:id="110"/>
      <w:r>
        <w:t>This document is issued on the basis that nothing contained in it shall constitute an inducement or incentive nor shall have in any other way persuaded the Applicant to bid or enter into any other contractual agreement.  Under no circumstances shall the Authority</w:t>
      </w:r>
      <w:r>
        <w:rPr>
          <w:sz w:val="24"/>
        </w:rPr>
        <w:t xml:space="preserve"> </w:t>
      </w:r>
      <w:r>
        <w:t xml:space="preserve">be liable to an Applicant in respect of any costs incurred by an Applicant (whether directly or otherwise) in relation to the preparation or </w:t>
      </w:r>
      <w:r w:rsidR="00A27EBC">
        <w:t>s</w:t>
      </w:r>
      <w:r>
        <w:t>ubmission of an offer.</w:t>
      </w:r>
    </w:p>
    <w:p w14:paraId="678D3F7A" w14:textId="77777777" w:rsidR="00C75C38" w:rsidRDefault="00C75C38" w:rsidP="002D6163">
      <w:pPr>
        <w:pStyle w:val="Heading2"/>
        <w:tabs>
          <w:tab w:val="num" w:pos="709"/>
        </w:tabs>
        <w:spacing w:before="240" w:after="240"/>
        <w:ind w:left="3697" w:hanging="3697"/>
      </w:pPr>
      <w:bookmarkStart w:id="111" w:name="_Toc448995813"/>
      <w:bookmarkStart w:id="112" w:name="_Toc530675215"/>
      <w:r>
        <w:t>Bribery Act</w:t>
      </w:r>
      <w:bookmarkEnd w:id="111"/>
      <w:bookmarkEnd w:id="112"/>
    </w:p>
    <w:p w14:paraId="30C92514" w14:textId="04B5E244" w:rsidR="00C75C38" w:rsidRDefault="00C75C38" w:rsidP="002D6163">
      <w:pPr>
        <w:keepNext/>
        <w:numPr>
          <w:ilvl w:val="2"/>
          <w:numId w:val="7"/>
        </w:numPr>
        <w:tabs>
          <w:tab w:val="clear" w:pos="720"/>
        </w:tabs>
        <w:spacing w:before="120" w:after="120"/>
        <w:outlineLvl w:val="2"/>
      </w:pPr>
      <w:r>
        <w:t xml:space="preserve">The Bribery Act 2010 requires Public Bodies to ensure that they have procedures in place to prevent bribery by persons associated with them. As part of this responsibility all Applicants should make themselves aware of the obligations set out at </w:t>
      </w:r>
      <w:hyperlink r:id="rId15" w:history="1">
        <w:r w:rsidRPr="00F4560C">
          <w:rPr>
            <w:rStyle w:val="Hyperlink"/>
          </w:rPr>
          <w:t>http://www.justice.gov.uk/legislation/bribery</w:t>
        </w:r>
      </w:hyperlink>
      <w:r>
        <w:t>.</w:t>
      </w:r>
    </w:p>
    <w:p w14:paraId="2FA0507A" w14:textId="77777777" w:rsidR="00C75C38" w:rsidRDefault="00C75C38" w:rsidP="002D6163">
      <w:pPr>
        <w:pStyle w:val="Heading2"/>
        <w:tabs>
          <w:tab w:val="num" w:pos="709"/>
        </w:tabs>
        <w:spacing w:before="240" w:after="240"/>
        <w:ind w:left="3697" w:hanging="3697"/>
      </w:pPr>
      <w:bookmarkStart w:id="113" w:name="_Toc448995814"/>
      <w:bookmarkStart w:id="114" w:name="_Toc530675216"/>
      <w:r>
        <w:t>Public Services (Social Value) Act</w:t>
      </w:r>
      <w:bookmarkEnd w:id="113"/>
      <w:bookmarkEnd w:id="114"/>
    </w:p>
    <w:p w14:paraId="343C147D" w14:textId="07C0DCAA" w:rsidR="00C75C38" w:rsidRDefault="00C75C38" w:rsidP="001B5F3E">
      <w:pPr>
        <w:widowControl w:val="0"/>
        <w:numPr>
          <w:ilvl w:val="2"/>
          <w:numId w:val="7"/>
        </w:numPr>
        <w:tabs>
          <w:tab w:val="clear" w:pos="720"/>
        </w:tabs>
        <w:spacing w:before="120" w:after="120"/>
        <w:outlineLvl w:val="2"/>
        <w:rPr>
          <w:rFonts w:cs="Arial"/>
        </w:rPr>
      </w:pPr>
      <w:r>
        <w:t>The Public Services (Social Value) Act 2012</w:t>
      </w:r>
      <w:r w:rsidRPr="00DD7BE4">
        <w:t xml:space="preserve"> </w:t>
      </w:r>
      <w:r w:rsidRPr="00DD7BE4">
        <w:rPr>
          <w:rFonts w:cs="Arial"/>
        </w:rPr>
        <w:t xml:space="preserve">brings in a statutory requirement for public authorities to have regard to economic, social and environmental well-being in connection with </w:t>
      </w:r>
      <w:r>
        <w:rPr>
          <w:rFonts w:cs="Arial"/>
        </w:rPr>
        <w:t xml:space="preserve">public services contracts in a way that is relevant to the subject matter of the contract and compliant with the Public </w:t>
      </w:r>
      <w:r w:rsidRPr="002D6163">
        <w:t>Contracts</w:t>
      </w:r>
      <w:r>
        <w:rPr>
          <w:rFonts w:cs="Arial"/>
        </w:rPr>
        <w:t xml:space="preserve"> Regulations </w:t>
      </w:r>
      <w:r w:rsidR="003909D8">
        <w:rPr>
          <w:rFonts w:cs="Arial"/>
        </w:rPr>
        <w:t>2015</w:t>
      </w:r>
      <w:r>
        <w:rPr>
          <w:rFonts w:cs="Arial"/>
        </w:rPr>
        <w:t xml:space="preserve">. </w:t>
      </w:r>
      <w:r w:rsidR="009D6719">
        <w:rPr>
          <w:rFonts w:cs="Arial"/>
        </w:rPr>
        <w:t xml:space="preserve"> </w:t>
      </w:r>
      <w:r>
        <w:rPr>
          <w:rFonts w:cs="Arial"/>
        </w:rPr>
        <w:t xml:space="preserve">Applicants must note that they </w:t>
      </w:r>
      <w:r w:rsidR="002D6163">
        <w:rPr>
          <w:rFonts w:cs="Arial"/>
        </w:rPr>
        <w:t>m</w:t>
      </w:r>
      <w:r>
        <w:rPr>
          <w:rFonts w:cs="Arial"/>
        </w:rPr>
        <w:t xml:space="preserve">ay be asked to comply with </w:t>
      </w:r>
      <w:proofErr w:type="gramStart"/>
      <w:r>
        <w:rPr>
          <w:rFonts w:cs="Arial"/>
        </w:rPr>
        <w:t>particular requirements</w:t>
      </w:r>
      <w:proofErr w:type="gramEnd"/>
      <w:r>
        <w:rPr>
          <w:rFonts w:cs="Arial"/>
        </w:rPr>
        <w:t xml:space="preserve"> based around such considerations as part of the selection and/or award process. </w:t>
      </w:r>
    </w:p>
    <w:p w14:paraId="7FEAD3C7" w14:textId="77777777" w:rsidR="00C301C3" w:rsidRDefault="00C301C3" w:rsidP="002D6163">
      <w:pPr>
        <w:pStyle w:val="Heading2"/>
        <w:tabs>
          <w:tab w:val="num" w:pos="709"/>
        </w:tabs>
        <w:spacing w:before="240" w:after="240"/>
        <w:ind w:left="709" w:hanging="709"/>
      </w:pPr>
      <w:bookmarkStart w:id="115" w:name="_Toc376938041"/>
      <w:bookmarkStart w:id="116" w:name="_Toc448995815"/>
      <w:bookmarkStart w:id="117" w:name="_Toc530675217"/>
      <w:r>
        <w:lastRenderedPageBreak/>
        <w:t>Freedom of Information Act</w:t>
      </w:r>
      <w:bookmarkEnd w:id="115"/>
      <w:bookmarkEnd w:id="116"/>
      <w:r w:rsidR="00063DC2">
        <w:t xml:space="preserve"> 2000 and Environmental Information Regulations 2004</w:t>
      </w:r>
      <w:r w:rsidR="0012212D">
        <w:t xml:space="preserve"> and Data Protection Act 2018</w:t>
      </w:r>
      <w:bookmarkEnd w:id="117"/>
    </w:p>
    <w:p w14:paraId="6ECB675C" w14:textId="77777777" w:rsidR="00C301C3" w:rsidRPr="002D6163" w:rsidRDefault="00C301C3" w:rsidP="002D6163">
      <w:pPr>
        <w:keepNext/>
        <w:numPr>
          <w:ilvl w:val="2"/>
          <w:numId w:val="7"/>
        </w:numPr>
        <w:tabs>
          <w:tab w:val="clear" w:pos="720"/>
        </w:tabs>
        <w:spacing w:before="120" w:after="120"/>
        <w:outlineLvl w:val="2"/>
      </w:pPr>
      <w:r w:rsidRPr="002D6163">
        <w:t>The Authority is subject to the provisions of the Freedom of Information Act 2000 (“FOIA”)</w:t>
      </w:r>
      <w:r w:rsidR="00063DC2" w:rsidRPr="002D6163">
        <w:t xml:space="preserve"> and the Environmental Information Regulations 2004 (“EIR”)</w:t>
      </w:r>
      <w:r w:rsidR="00D87FD9" w:rsidRPr="002D6163">
        <w:t>. This</w:t>
      </w:r>
      <w:r w:rsidRPr="002D6163">
        <w:t xml:space="preserve"> provides that anyone can ask the Authority for any information held by it, or on its behalf and, unless an exemption applies, the information must be supplied. This means that all the information which an Applicant has provided in respect of this procurement and may provide in future to the contracting authorities will be subject to the FOIA</w:t>
      </w:r>
      <w:r w:rsidR="00063DC2" w:rsidRPr="002D6163">
        <w:t xml:space="preserve"> or EIR</w:t>
      </w:r>
      <w:r w:rsidRPr="002D6163">
        <w:t>.</w:t>
      </w:r>
    </w:p>
    <w:p w14:paraId="0C492E2F" w14:textId="77777777" w:rsidR="00C301C3" w:rsidRPr="002D6163" w:rsidRDefault="00C301C3" w:rsidP="002D6163">
      <w:pPr>
        <w:keepNext/>
        <w:numPr>
          <w:ilvl w:val="2"/>
          <w:numId w:val="7"/>
        </w:numPr>
        <w:tabs>
          <w:tab w:val="clear" w:pos="720"/>
        </w:tabs>
        <w:spacing w:before="120" w:after="120"/>
        <w:outlineLvl w:val="2"/>
      </w:pPr>
      <w:r w:rsidRPr="002D6163">
        <w:t xml:space="preserve">In the absence of special circumstances, any part of the </w:t>
      </w:r>
      <w:r w:rsidR="000F03BB" w:rsidRPr="002D6163">
        <w:t>procurement</w:t>
      </w:r>
      <w:r w:rsidRPr="002D6163">
        <w:t xml:space="preserve"> documentation may be regarded as not subject to any exemptions, and therefore capable of being disclosed under the FOIA</w:t>
      </w:r>
      <w:r w:rsidR="00063DC2" w:rsidRPr="002D6163">
        <w:t xml:space="preserve"> or EIR</w:t>
      </w:r>
      <w:r w:rsidRPr="002D6163">
        <w:t>.</w:t>
      </w:r>
    </w:p>
    <w:p w14:paraId="6E7D7AFE" w14:textId="2406ED2A" w:rsidR="00C301C3" w:rsidRPr="002D6163" w:rsidRDefault="00C301C3" w:rsidP="002D6163">
      <w:pPr>
        <w:keepNext/>
        <w:numPr>
          <w:ilvl w:val="2"/>
          <w:numId w:val="7"/>
        </w:numPr>
        <w:tabs>
          <w:tab w:val="clear" w:pos="720"/>
        </w:tabs>
        <w:spacing w:before="120" w:after="120"/>
        <w:outlineLvl w:val="2"/>
      </w:pPr>
      <w:r w:rsidRPr="002D6163">
        <w:t xml:space="preserve">In respect of any completed Bid, where the Authority is required to consider whether any information contained therein should be disclosed further to the FOIA, it will be necessary to consider whether any exemption applies. Where the Applicant considers that any of the information contained in its Bid is subject to any exemption, this shall be stated in the submitted Bid at Volume </w:t>
      </w:r>
      <w:r w:rsidR="00994C73" w:rsidRPr="002D6163">
        <w:t>Two (2) Applicant’s Offer</w:t>
      </w:r>
      <w:r w:rsidRPr="002D6163">
        <w:t xml:space="preserve"> </w:t>
      </w:r>
      <w:proofErr w:type="gramStart"/>
      <w:r w:rsidR="00605D5B" w:rsidRPr="002D6163">
        <w:t xml:space="preserve">and </w:t>
      </w:r>
      <w:r w:rsidR="00A523CB" w:rsidRPr="002D6163">
        <w:t xml:space="preserve"> Schedule</w:t>
      </w:r>
      <w:proofErr w:type="gramEnd"/>
      <w:r w:rsidR="00A523CB" w:rsidRPr="002D6163">
        <w:t xml:space="preserve"> 3 Price Schedule </w:t>
      </w:r>
      <w:r w:rsidRPr="002D6163">
        <w:t>with an explanation setting out what exemption it considers applicable and the reasons for it. The Authority may have regard to this explanation when considering its response to FOIA requests.</w:t>
      </w:r>
    </w:p>
    <w:p w14:paraId="5EE44BC5" w14:textId="77777777" w:rsidR="0012212D" w:rsidRPr="00DD43A9" w:rsidRDefault="00C301C3" w:rsidP="002D6163">
      <w:pPr>
        <w:keepNext/>
        <w:numPr>
          <w:ilvl w:val="2"/>
          <w:numId w:val="7"/>
        </w:numPr>
        <w:tabs>
          <w:tab w:val="clear" w:pos="720"/>
        </w:tabs>
        <w:spacing w:before="120" w:after="120"/>
        <w:outlineLvl w:val="2"/>
        <w:rPr>
          <w:rFonts w:cs="Arial"/>
        </w:rPr>
      </w:pPr>
      <w:r w:rsidRPr="002D6163">
        <w:t xml:space="preserve"> The attention of Applicants</w:t>
      </w:r>
      <w:r w:rsidRPr="00DD43A9">
        <w:rPr>
          <w:rFonts w:cs="Arial"/>
        </w:rPr>
        <w:t xml:space="preserve"> is drawn to Section 43 of the Freedom of Information Act Guidance </w:t>
      </w:r>
      <w:r w:rsidRPr="00E32CA6">
        <w:rPr>
          <w:rFonts w:cs="Arial"/>
          <w:color w:val="0000FF"/>
        </w:rPr>
        <w:t>(</w:t>
      </w:r>
      <w:hyperlink r:id="rId16" w:history="1">
        <w:r w:rsidRPr="00E32CA6">
          <w:rPr>
            <w:rStyle w:val="Hyperlink"/>
            <w:rFonts w:cs="Arial"/>
            <w:color w:val="0000FF"/>
          </w:rPr>
          <w:t>http://www.ico.gov.uk/for_organisations/guidance_index/freedom_of_information_and_environmental_information.aspx</w:t>
        </w:r>
      </w:hyperlink>
      <w:r w:rsidRPr="00E32CA6">
        <w:rPr>
          <w:rFonts w:cs="Arial"/>
          <w:color w:val="0000FF"/>
        </w:rPr>
        <w:t>)</w:t>
      </w:r>
      <w:r w:rsidRPr="00DD43A9">
        <w:rPr>
          <w:rFonts w:cs="Arial"/>
        </w:rPr>
        <w:t xml:space="preserve"> which pr</w:t>
      </w:r>
      <w:r>
        <w:rPr>
          <w:rFonts w:cs="Arial"/>
        </w:rPr>
        <w:t xml:space="preserve">ovides that information may be </w:t>
      </w:r>
      <w:r w:rsidRPr="00DD43A9">
        <w:rPr>
          <w:rFonts w:cs="Arial"/>
        </w:rPr>
        <w:t xml:space="preserve">exempt information if it constitutes a trade secret, or if its disclosure would, or would be likely to, prejudice the commercial interests of any person (including </w:t>
      </w:r>
      <w:r>
        <w:rPr>
          <w:rFonts w:cs="Arial"/>
        </w:rPr>
        <w:t>the Authority</w:t>
      </w:r>
      <w:r w:rsidRPr="00DD43A9">
        <w:rPr>
          <w:rFonts w:cs="Arial"/>
        </w:rPr>
        <w:t xml:space="preserve">). </w:t>
      </w:r>
      <w:r>
        <w:rPr>
          <w:rFonts w:cs="Arial"/>
        </w:rPr>
        <w:t>Applicants</w:t>
      </w:r>
      <w:r w:rsidRPr="00DD43A9">
        <w:rPr>
          <w:rFonts w:cs="Arial"/>
        </w:rPr>
        <w:t xml:space="preserve"> are further advised that, if </w:t>
      </w:r>
      <w:r>
        <w:rPr>
          <w:rFonts w:cs="Arial"/>
        </w:rPr>
        <w:t>the Authority</w:t>
      </w:r>
      <w:r w:rsidRPr="00DD43A9">
        <w:rPr>
          <w:rFonts w:cs="Arial"/>
        </w:rPr>
        <w:t xml:space="preserve"> considers this exemption applies, it will then be necessary for </w:t>
      </w:r>
      <w:r>
        <w:rPr>
          <w:rFonts w:cs="Arial"/>
        </w:rPr>
        <w:t>the Authority</w:t>
      </w:r>
      <w:r w:rsidRPr="00DD43A9">
        <w:rPr>
          <w:rFonts w:cs="Arial"/>
        </w:rPr>
        <w:t xml:space="preserve"> to determine whether the public interest in maintaining the exemption outweighs the public interest in disclosing the information.</w:t>
      </w:r>
    </w:p>
    <w:p w14:paraId="773BBB2D" w14:textId="77777777" w:rsidR="00483DC5" w:rsidRPr="00483DC5" w:rsidRDefault="00483DC5" w:rsidP="002D6163">
      <w:pPr>
        <w:pStyle w:val="Heading2"/>
        <w:tabs>
          <w:tab w:val="num" w:pos="709"/>
        </w:tabs>
        <w:spacing w:before="240" w:after="240"/>
        <w:ind w:left="709" w:hanging="709"/>
      </w:pPr>
      <w:bookmarkStart w:id="118" w:name="_Toc530675218"/>
      <w:bookmarkStart w:id="119" w:name="_Toc448995816"/>
      <w:r w:rsidRPr="00483DC5">
        <w:t>Transparency in Local Government</w:t>
      </w:r>
      <w:bookmarkEnd w:id="118"/>
    </w:p>
    <w:p w14:paraId="18CD8AB3" w14:textId="77777777" w:rsidR="00483DC5" w:rsidRPr="002D6163" w:rsidRDefault="00483DC5" w:rsidP="002D6163">
      <w:pPr>
        <w:keepNext/>
        <w:numPr>
          <w:ilvl w:val="2"/>
          <w:numId w:val="7"/>
        </w:numPr>
        <w:tabs>
          <w:tab w:val="clear" w:pos="720"/>
        </w:tabs>
        <w:spacing w:before="120" w:after="120"/>
        <w:outlineLvl w:val="2"/>
        <w:rPr>
          <w:rFonts w:cs="Arial"/>
        </w:rPr>
      </w:pPr>
      <w:r w:rsidRPr="002D6163">
        <w:rPr>
          <w:rFonts w:cs="Arial"/>
        </w:rPr>
        <w:t>As part of the transparency agenda, the Government has made the following commitments for procurement and contracting.</w:t>
      </w:r>
    </w:p>
    <w:p w14:paraId="204EA13D" w14:textId="77777777" w:rsidR="00483DC5" w:rsidRPr="002D6163" w:rsidRDefault="00483DC5" w:rsidP="002D6163">
      <w:pPr>
        <w:keepNext/>
        <w:numPr>
          <w:ilvl w:val="2"/>
          <w:numId w:val="7"/>
        </w:numPr>
        <w:tabs>
          <w:tab w:val="clear" w:pos="720"/>
        </w:tabs>
        <w:spacing w:before="120" w:after="120"/>
        <w:outlineLvl w:val="2"/>
        <w:rPr>
          <w:rFonts w:cs="Arial"/>
        </w:rPr>
      </w:pPr>
      <w:r w:rsidRPr="002D6163">
        <w:rPr>
          <w:rFonts w:cs="Arial"/>
        </w:rPr>
        <w:t>Local authorities must publish details of any contract, commissioned activity, purchase order, framework agreement and any other legally enforceable agreement with a value that exceeds £5,000.</w:t>
      </w:r>
    </w:p>
    <w:p w14:paraId="038C5B15" w14:textId="57DA35EA" w:rsidR="00483DC5" w:rsidRPr="00483DC5" w:rsidRDefault="00483DC5" w:rsidP="002D6163">
      <w:pPr>
        <w:keepNext/>
        <w:numPr>
          <w:ilvl w:val="2"/>
          <w:numId w:val="7"/>
        </w:numPr>
        <w:tabs>
          <w:tab w:val="clear" w:pos="720"/>
        </w:tabs>
        <w:spacing w:before="120" w:after="120"/>
        <w:outlineLvl w:val="2"/>
      </w:pPr>
      <w:r w:rsidRPr="002D6163">
        <w:rPr>
          <w:rFonts w:cs="Arial"/>
        </w:rPr>
        <w:t xml:space="preserve">The Authority may also publish the contract </w:t>
      </w:r>
      <w:proofErr w:type="gramStart"/>
      <w:r w:rsidRPr="002D6163">
        <w:rPr>
          <w:rFonts w:cs="Arial"/>
        </w:rPr>
        <w:t>entered into</w:t>
      </w:r>
      <w:proofErr w:type="gramEnd"/>
      <w:r w:rsidRPr="002D6163">
        <w:rPr>
          <w:rFonts w:cs="Arial"/>
        </w:rPr>
        <w:t xml:space="preserve"> with the successful Applicant.  In making publication the Authority intends to follow guidance set out in A practitioner’s guide to publishing information in accordance</w:t>
      </w:r>
      <w:r w:rsidRPr="00483DC5">
        <w:t xml:space="preserve"> with the local government </w:t>
      </w:r>
      <w:r w:rsidR="00CD778B">
        <w:t>T</w:t>
      </w:r>
      <w:r w:rsidRPr="00483DC5">
        <w:t xml:space="preserve">ransparency </w:t>
      </w:r>
      <w:r w:rsidR="00CD778B">
        <w:t>C</w:t>
      </w:r>
      <w:r w:rsidRPr="00483DC5">
        <w:t>ode 2015.</w:t>
      </w:r>
    </w:p>
    <w:p w14:paraId="3A8EF7C4" w14:textId="77777777" w:rsidR="00063DC2" w:rsidRDefault="003A3D72" w:rsidP="001B5F3E">
      <w:pPr>
        <w:pStyle w:val="Heading2"/>
        <w:tabs>
          <w:tab w:val="num" w:pos="709"/>
        </w:tabs>
        <w:spacing w:before="240" w:after="240"/>
        <w:ind w:left="709" w:hanging="709"/>
      </w:pPr>
      <w:bookmarkStart w:id="120" w:name="_Toc530675219"/>
      <w:r>
        <w:t xml:space="preserve">GDPR and </w:t>
      </w:r>
      <w:r w:rsidR="00063DC2">
        <w:t>Data Protection Act 2018</w:t>
      </w:r>
      <w:bookmarkEnd w:id="120"/>
    </w:p>
    <w:p w14:paraId="19C3EA74" w14:textId="77777777" w:rsidR="0080033B" w:rsidRPr="0080033B" w:rsidRDefault="003A3D72" w:rsidP="001B5F3E">
      <w:pPr>
        <w:widowControl w:val="0"/>
        <w:numPr>
          <w:ilvl w:val="2"/>
          <w:numId w:val="7"/>
        </w:numPr>
        <w:tabs>
          <w:tab w:val="clear" w:pos="720"/>
        </w:tabs>
        <w:spacing w:before="120" w:after="120"/>
        <w:outlineLvl w:val="2"/>
      </w:pPr>
      <w:r w:rsidRPr="003A3D72">
        <w:t xml:space="preserve">The </w:t>
      </w:r>
      <w:r>
        <w:t>Applicant</w:t>
      </w:r>
      <w:r w:rsidRPr="003A3D72">
        <w:t xml:space="preserve"> and </w:t>
      </w:r>
      <w:r>
        <w:t>Authority</w:t>
      </w:r>
      <w:r w:rsidRPr="003A3D72">
        <w:t xml:space="preserve"> shall comply with the provisions of the EU General Data Protection Regulation (GDPR)</w:t>
      </w:r>
      <w:r>
        <w:t xml:space="preserve"> and the DPA 2018 where it applies </w:t>
      </w:r>
      <w:proofErr w:type="gramStart"/>
      <w:r>
        <w:t>in regards to</w:t>
      </w:r>
      <w:proofErr w:type="gramEnd"/>
      <w:r>
        <w:t xml:space="preserve"> any contract resulting from this procurement procedure.</w:t>
      </w:r>
    </w:p>
    <w:p w14:paraId="0C062C3A" w14:textId="77777777" w:rsidR="00D24FEF" w:rsidRDefault="00D24FEF" w:rsidP="001B5F3E">
      <w:pPr>
        <w:pStyle w:val="Heading2"/>
        <w:tabs>
          <w:tab w:val="num" w:pos="709"/>
        </w:tabs>
        <w:spacing w:before="240" w:after="240"/>
        <w:ind w:left="709" w:hanging="709"/>
      </w:pPr>
      <w:bookmarkStart w:id="121" w:name="_Toc530675220"/>
      <w:r>
        <w:lastRenderedPageBreak/>
        <w:t>Counter Terrorism and Security Act</w:t>
      </w:r>
      <w:bookmarkEnd w:id="119"/>
      <w:r w:rsidR="00483DC5">
        <w:t xml:space="preserve"> 2015</w:t>
      </w:r>
      <w:bookmarkEnd w:id="121"/>
    </w:p>
    <w:p w14:paraId="63DB5681" w14:textId="77777777" w:rsidR="00D24FEF" w:rsidRPr="00D24FEF" w:rsidRDefault="00D24FEF" w:rsidP="001B5F3E">
      <w:pPr>
        <w:widowControl w:val="0"/>
        <w:numPr>
          <w:ilvl w:val="2"/>
          <w:numId w:val="7"/>
        </w:numPr>
        <w:tabs>
          <w:tab w:val="clear" w:pos="720"/>
        </w:tabs>
        <w:spacing w:before="120" w:after="120"/>
        <w:outlineLvl w:val="2"/>
      </w:pPr>
      <w:r>
        <w:t xml:space="preserve">Section 29 of the Counter Terrorism and Security Act 2015 places a duty on Local Authorities in the performance of their duties to have “due regard to the need to prevent people from being drawn into terrorism”. The Act requires the Authority to ensure that its procedures help to ensure a better understanding of radicalisation so that strategies can be put in place to deal with it.  As part of this responsibility all Applicants should make themselves aware of the obligations set out at </w:t>
      </w:r>
      <w:r w:rsidRPr="00D24FEF">
        <w:t>http://www.legislation.gov.uk/ukpga/2015/6/contents</w:t>
      </w:r>
      <w:r>
        <w:t>.</w:t>
      </w:r>
    </w:p>
    <w:p w14:paraId="70927DDC" w14:textId="77777777" w:rsidR="00F46963" w:rsidRDefault="00483DC5" w:rsidP="001B5F3E">
      <w:pPr>
        <w:pStyle w:val="Heading2"/>
        <w:tabs>
          <w:tab w:val="num" w:pos="709"/>
        </w:tabs>
        <w:spacing w:before="240" w:after="240"/>
        <w:ind w:left="709" w:hanging="709"/>
      </w:pPr>
      <w:bookmarkStart w:id="122" w:name="_Toc530675221"/>
      <w:bookmarkStart w:id="123" w:name="_Toc448995817"/>
      <w:r>
        <w:t>Modern Slavery Act 2015</w:t>
      </w:r>
      <w:bookmarkEnd w:id="122"/>
    </w:p>
    <w:p w14:paraId="3EF34972" w14:textId="77777777" w:rsidR="00483DC5" w:rsidRDefault="00483DC5" w:rsidP="001B5F3E">
      <w:pPr>
        <w:widowControl w:val="0"/>
        <w:numPr>
          <w:ilvl w:val="2"/>
          <w:numId w:val="7"/>
        </w:numPr>
        <w:tabs>
          <w:tab w:val="clear" w:pos="720"/>
        </w:tabs>
        <w:spacing w:before="120" w:after="120"/>
        <w:outlineLvl w:val="2"/>
      </w:pPr>
      <w:r>
        <w:t>Regulation 19 of the Modern Slavery Act 2015 incorporates the offences under Section 1, 2 or 4 of the Modern Slavery Act 2015 into Regulation 57 of the Public Contract Regulations as grounds for mandatory exclusion at selection stage. Section 54 of the Act also requires businesses which meet certain criteria to prepare and publish a slavery and human trafficking statement.</w:t>
      </w:r>
    </w:p>
    <w:p w14:paraId="1655833E" w14:textId="77777777" w:rsidR="00483DC5" w:rsidRPr="00483DC5" w:rsidRDefault="00483DC5" w:rsidP="001B5F3E">
      <w:pPr>
        <w:widowControl w:val="0"/>
        <w:numPr>
          <w:ilvl w:val="2"/>
          <w:numId w:val="7"/>
        </w:numPr>
        <w:tabs>
          <w:tab w:val="clear" w:pos="720"/>
        </w:tabs>
        <w:spacing w:before="120" w:after="120"/>
        <w:outlineLvl w:val="2"/>
      </w:pPr>
      <w:r>
        <w:t>As part of this responsibility all Applicants should make themselves aware of the obligations set out at http://www.legislation.gov.uk/ukpga/2015/30/contents/enacted.</w:t>
      </w:r>
    </w:p>
    <w:p w14:paraId="6998996B" w14:textId="77777777" w:rsidR="00483DC5" w:rsidRPr="00483DC5" w:rsidRDefault="00483DC5" w:rsidP="001B5F3E">
      <w:pPr>
        <w:pStyle w:val="Heading2"/>
        <w:tabs>
          <w:tab w:val="num" w:pos="709"/>
        </w:tabs>
        <w:spacing w:before="240" w:after="240"/>
        <w:ind w:left="709" w:hanging="709"/>
      </w:pPr>
      <w:bookmarkStart w:id="124" w:name="_Toc530675222"/>
      <w:r w:rsidRPr="00483DC5">
        <w:t>Late Payment Directive 2015</w:t>
      </w:r>
      <w:bookmarkEnd w:id="124"/>
    </w:p>
    <w:p w14:paraId="1E428B0B" w14:textId="77777777" w:rsidR="00483DC5" w:rsidRDefault="00483DC5" w:rsidP="001B5F3E">
      <w:pPr>
        <w:widowControl w:val="0"/>
        <w:numPr>
          <w:ilvl w:val="2"/>
          <w:numId w:val="7"/>
        </w:numPr>
        <w:tabs>
          <w:tab w:val="clear" w:pos="720"/>
        </w:tabs>
        <w:spacing w:before="120" w:after="120"/>
        <w:outlineLvl w:val="2"/>
      </w:pPr>
      <w:r>
        <w:t>The Authority must maintain compliance with the following legislation:</w:t>
      </w:r>
    </w:p>
    <w:p w14:paraId="79DCF16B" w14:textId="77777777" w:rsidR="00483DC5" w:rsidRDefault="00483DC5" w:rsidP="001B5F3E">
      <w:pPr>
        <w:pStyle w:val="ListParagraph"/>
        <w:numPr>
          <w:ilvl w:val="0"/>
          <w:numId w:val="11"/>
        </w:numPr>
        <w:ind w:hanging="11"/>
      </w:pPr>
      <w:r>
        <w:t>Late Payment of Commercial Debts (Interest) Act 1998</w:t>
      </w:r>
    </w:p>
    <w:p w14:paraId="2C26A091" w14:textId="77777777" w:rsidR="00483DC5" w:rsidRDefault="00483DC5" w:rsidP="001B5F3E">
      <w:pPr>
        <w:pStyle w:val="ListParagraph"/>
        <w:numPr>
          <w:ilvl w:val="0"/>
          <w:numId w:val="11"/>
        </w:numPr>
        <w:ind w:hanging="11"/>
      </w:pPr>
      <w:r>
        <w:t>Late Payment of Commercial Debts Regulations 2002</w:t>
      </w:r>
    </w:p>
    <w:p w14:paraId="60EA968B" w14:textId="77777777" w:rsidR="00483DC5" w:rsidRDefault="00483DC5" w:rsidP="001B5F3E">
      <w:pPr>
        <w:pStyle w:val="ListParagraph"/>
        <w:numPr>
          <w:ilvl w:val="0"/>
          <w:numId w:val="11"/>
        </w:numPr>
        <w:ind w:hanging="11"/>
      </w:pPr>
      <w:r>
        <w:t>Late Payment of Commercial Debts Regulations 2013</w:t>
      </w:r>
    </w:p>
    <w:p w14:paraId="229E315C" w14:textId="77777777" w:rsidR="00483DC5" w:rsidRDefault="00483DC5" w:rsidP="001B5F3E">
      <w:pPr>
        <w:widowControl w:val="0"/>
        <w:numPr>
          <w:ilvl w:val="2"/>
          <w:numId w:val="7"/>
        </w:numPr>
        <w:tabs>
          <w:tab w:val="clear" w:pos="720"/>
        </w:tabs>
        <w:spacing w:before="120" w:after="120"/>
        <w:outlineLvl w:val="2"/>
      </w:pPr>
      <w:r>
        <w:t>The latter set of Regulations implements an EU Directive on late payment (Directive 2011/7/ EU). In line with this directive, the Authority requires that all contracted suppliers pay their sub-contractors within 30 days.</w:t>
      </w:r>
    </w:p>
    <w:p w14:paraId="43196786" w14:textId="77777777" w:rsidR="00C75C38" w:rsidRDefault="00C75C38" w:rsidP="001B5F3E">
      <w:pPr>
        <w:pStyle w:val="Heading2"/>
        <w:tabs>
          <w:tab w:val="num" w:pos="709"/>
        </w:tabs>
        <w:spacing w:before="240" w:after="240"/>
        <w:ind w:left="709" w:hanging="709"/>
        <w:rPr>
          <w:szCs w:val="28"/>
        </w:rPr>
      </w:pPr>
      <w:bookmarkStart w:id="125" w:name="_Toc448995818"/>
      <w:bookmarkStart w:id="126" w:name="_Toc530675223"/>
      <w:bookmarkEnd w:id="123"/>
      <w:r>
        <w:rPr>
          <w:szCs w:val="28"/>
        </w:rPr>
        <w:t>Study of the Document</w:t>
      </w:r>
      <w:bookmarkEnd w:id="125"/>
      <w:bookmarkEnd w:id="126"/>
    </w:p>
    <w:p w14:paraId="40A5460A"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Documents issued by the Authority to a prospective Applicant must not be passed on to a third party without the express permission of the Authority.</w:t>
      </w:r>
    </w:p>
    <w:p w14:paraId="1F7CB69E" w14:textId="728E23F5"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 xml:space="preserve">Applicants are expected to read, understand and agree to </w:t>
      </w:r>
      <w:r w:rsidR="00A21ECB" w:rsidRPr="001B5F3E">
        <w:rPr>
          <w:rFonts w:cs="Arial"/>
          <w:szCs w:val="24"/>
        </w:rPr>
        <w:t>the</w:t>
      </w:r>
      <w:r w:rsidRPr="001B5F3E">
        <w:rPr>
          <w:rFonts w:cs="Arial"/>
          <w:szCs w:val="24"/>
        </w:rPr>
        <w:t xml:space="preserve"> Volumes (</w:t>
      </w:r>
      <w:proofErr w:type="spellStart"/>
      <w:r w:rsidR="00454B6A">
        <w:rPr>
          <w:rFonts w:cs="Arial"/>
          <w:szCs w:val="24"/>
        </w:rPr>
        <w:t>inc.</w:t>
      </w:r>
      <w:proofErr w:type="spellEnd"/>
      <w:r w:rsidRPr="001B5F3E">
        <w:rPr>
          <w:rFonts w:cs="Arial"/>
          <w:szCs w:val="24"/>
        </w:rPr>
        <w:t xml:space="preserve"> the terms </w:t>
      </w:r>
      <w:r w:rsidR="005552E3">
        <w:rPr>
          <w:rFonts w:cs="Arial"/>
          <w:szCs w:val="24"/>
        </w:rPr>
        <w:t>&amp;</w:t>
      </w:r>
      <w:r w:rsidRPr="001B5F3E">
        <w:rPr>
          <w:rFonts w:cs="Arial"/>
          <w:szCs w:val="24"/>
        </w:rPr>
        <w:t xml:space="preserve"> conditions) of the document as they will in their entirety form part of the resultant Contract.</w:t>
      </w:r>
    </w:p>
    <w:p w14:paraId="0E767BBB" w14:textId="2851BA23"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w:t>
      </w:r>
      <w:r w:rsidR="00DD50FB" w:rsidRPr="001B5F3E">
        <w:rPr>
          <w:rFonts w:cs="Arial"/>
          <w:szCs w:val="24"/>
        </w:rPr>
        <w:t xml:space="preserve"> </w:t>
      </w:r>
      <w:r w:rsidRPr="001B5F3E">
        <w:rPr>
          <w:rFonts w:cs="Arial"/>
          <w:szCs w:val="24"/>
        </w:rPr>
        <w:t>with the successful Applicant. If any of the information given by your organisation within the document is subsequently identified as being inaccurate, this may exclude your organisation from further consideration.</w:t>
      </w:r>
    </w:p>
    <w:p w14:paraId="72756E7A" w14:textId="625E974C" w:rsidR="00C75C38" w:rsidRPr="001B5F3E" w:rsidRDefault="00C75C38" w:rsidP="001B5F3E">
      <w:pPr>
        <w:widowControl w:val="0"/>
        <w:numPr>
          <w:ilvl w:val="2"/>
          <w:numId w:val="7"/>
        </w:numPr>
        <w:tabs>
          <w:tab w:val="clear" w:pos="720"/>
        </w:tabs>
        <w:spacing w:before="120" w:after="120"/>
        <w:outlineLvl w:val="2"/>
        <w:rPr>
          <w:rFonts w:cs="Arial"/>
          <w:szCs w:val="24"/>
        </w:rPr>
      </w:pPr>
      <w:bookmarkStart w:id="127" w:name="_DV_M113"/>
      <w:bookmarkEnd w:id="127"/>
      <w:r w:rsidRPr="001B5F3E">
        <w:rPr>
          <w:rFonts w:cs="Arial"/>
          <w:szCs w:val="24"/>
        </w:rPr>
        <w:t>The Applicant’s price shall (except in so far as it is otherwise provided in the Contract) cover all obligations under the</w:t>
      </w:r>
      <w:r w:rsidR="00DD50FB" w:rsidRPr="001B5F3E">
        <w:rPr>
          <w:rFonts w:cs="Arial"/>
          <w:szCs w:val="24"/>
        </w:rPr>
        <w:t xml:space="preserve"> (Call-Off)</w:t>
      </w:r>
      <w:r w:rsidRPr="001B5F3E">
        <w:rPr>
          <w:rFonts w:cs="Arial"/>
          <w:szCs w:val="24"/>
        </w:rPr>
        <w:t xml:space="preserve"> Contract and Applicants shall also be deemed to have obtained for itself all necessary information as to risks, contingencies and any other </w:t>
      </w:r>
      <w:r w:rsidRPr="001B5F3E">
        <w:rPr>
          <w:rFonts w:cs="Arial"/>
          <w:szCs w:val="24"/>
        </w:rPr>
        <w:lastRenderedPageBreak/>
        <w:t xml:space="preserve">circumstances which might reasonably influence or affect </w:t>
      </w:r>
      <w:proofErr w:type="spellStart"/>
      <w:r w:rsidRPr="001B5F3E">
        <w:rPr>
          <w:rFonts w:cs="Arial"/>
          <w:szCs w:val="24"/>
        </w:rPr>
        <w:t>it’s</w:t>
      </w:r>
      <w:proofErr w:type="spellEnd"/>
      <w:r w:rsidRPr="001B5F3E">
        <w:rPr>
          <w:rFonts w:cs="Arial"/>
          <w:szCs w:val="24"/>
        </w:rPr>
        <w:t xml:space="preserve"> Bid. </w:t>
      </w:r>
    </w:p>
    <w:p w14:paraId="1E1C2B58" w14:textId="77777777" w:rsidR="00C75C38" w:rsidRDefault="00C75C38" w:rsidP="001B5F3E">
      <w:pPr>
        <w:widowControl w:val="0"/>
        <w:numPr>
          <w:ilvl w:val="2"/>
          <w:numId w:val="7"/>
        </w:numPr>
        <w:tabs>
          <w:tab w:val="clear" w:pos="720"/>
        </w:tabs>
        <w:spacing w:before="120" w:after="120"/>
        <w:outlineLvl w:val="2"/>
      </w:pPr>
      <w:r w:rsidRPr="001B5F3E">
        <w:rPr>
          <w:rFonts w:cs="Arial"/>
          <w:szCs w:val="24"/>
        </w:rPr>
        <w:t>The Applicant is responsible</w:t>
      </w:r>
      <w:r>
        <w:t xml:space="preserve"> for all costs, expenses and liabilities incurred by the Applicant in connection with preparing its Bid.</w:t>
      </w:r>
    </w:p>
    <w:p w14:paraId="39B78D89" w14:textId="77777777" w:rsidR="00C75C38" w:rsidRPr="001B5F3E" w:rsidRDefault="00C75C38" w:rsidP="001B5F3E">
      <w:pPr>
        <w:pStyle w:val="Heading2"/>
        <w:tabs>
          <w:tab w:val="num" w:pos="709"/>
        </w:tabs>
        <w:spacing w:before="240" w:after="240"/>
        <w:ind w:left="709" w:hanging="709"/>
        <w:rPr>
          <w:szCs w:val="28"/>
        </w:rPr>
      </w:pPr>
      <w:bookmarkStart w:id="128" w:name="_Toc448995819"/>
      <w:bookmarkStart w:id="129" w:name="_Toc530675224"/>
      <w:r w:rsidRPr="001B5F3E">
        <w:rPr>
          <w:szCs w:val="28"/>
        </w:rPr>
        <w:t>Consortia and Sub-contracting</w:t>
      </w:r>
      <w:bookmarkEnd w:id="128"/>
      <w:bookmarkEnd w:id="129"/>
    </w:p>
    <w:p w14:paraId="6C13B2F9" w14:textId="77777777" w:rsidR="001B5F3E" w:rsidRDefault="00C75C38" w:rsidP="001B5F3E">
      <w:pPr>
        <w:widowControl w:val="0"/>
        <w:numPr>
          <w:ilvl w:val="2"/>
          <w:numId w:val="7"/>
        </w:numPr>
        <w:tabs>
          <w:tab w:val="clear" w:pos="720"/>
        </w:tabs>
        <w:spacing w:before="120" w:after="120"/>
        <w:outlineLvl w:val="2"/>
      </w:pPr>
      <w:r w:rsidRPr="00C17080">
        <w:t xml:space="preserve">Where an Applicant wishes to make its application as a Consortium or utilising sub-contractors the Authority advises the group of organisations to select a Lead Applicant in whose name the </w:t>
      </w:r>
      <w:r>
        <w:t>Bid</w:t>
      </w:r>
      <w:r w:rsidRPr="00C17080">
        <w:t xml:space="preserve"> is to be submitted. </w:t>
      </w:r>
    </w:p>
    <w:p w14:paraId="51BD8DF2" w14:textId="0C5D22FB" w:rsidR="00C75C38" w:rsidRDefault="00C75C38" w:rsidP="001B5F3E">
      <w:pPr>
        <w:widowControl w:val="0"/>
        <w:numPr>
          <w:ilvl w:val="2"/>
          <w:numId w:val="7"/>
        </w:numPr>
        <w:tabs>
          <w:tab w:val="clear" w:pos="720"/>
        </w:tabs>
        <w:spacing w:before="120" w:after="120"/>
        <w:outlineLvl w:val="2"/>
      </w:pPr>
      <w:r w:rsidRPr="00C17080">
        <w:t xml:space="preserve">The Lead Applicant is advised to confirm precisely what the arrangements are within </w:t>
      </w:r>
      <w:r>
        <w:t>its</w:t>
      </w:r>
      <w:r w:rsidRPr="00C17080">
        <w:t xml:space="preserve"> </w:t>
      </w:r>
      <w:r>
        <w:t>Bid</w:t>
      </w:r>
      <w:r w:rsidRPr="00C17080">
        <w:t xml:space="preserve"> including providing the names of </w:t>
      </w:r>
      <w:proofErr w:type="gramStart"/>
      <w:r w:rsidRPr="00C17080">
        <w:t>all of</w:t>
      </w:r>
      <w:proofErr w:type="gramEnd"/>
      <w:r w:rsidRPr="00C17080">
        <w:t xml:space="preserve"> the organisations to be involved, the nature and extent of their involvement and proposals regarding the structure and management of the Consortium or arrangements. Such details should be provided within </w:t>
      </w:r>
      <w:r w:rsidR="006968FE">
        <w:t>the Selection Questionnaire</w:t>
      </w:r>
      <w:r>
        <w:t xml:space="preserve"> where appropriate </w:t>
      </w:r>
      <w:r w:rsidRPr="00C17080">
        <w:t xml:space="preserve">and should enable the Authority </w:t>
      </w:r>
      <w:r w:rsidRPr="00C17080">
        <w:rPr>
          <w:rFonts w:cs="Arial"/>
          <w:bCs/>
        </w:rPr>
        <w:t>to assess the overall Consortium or core supply base.</w:t>
      </w:r>
      <w:r w:rsidR="006968FE">
        <w:rPr>
          <w:rFonts w:cs="Arial"/>
          <w:bCs/>
        </w:rPr>
        <w:t xml:space="preserve"> All members of the consortium are required to provide the information required in all sections of the Selection Questionnaire.</w:t>
      </w:r>
    </w:p>
    <w:p w14:paraId="6FFB5A32" w14:textId="77777777" w:rsidR="00C75C38" w:rsidRPr="001B5F3E" w:rsidRDefault="00C75C38" w:rsidP="001B5F3E">
      <w:pPr>
        <w:widowControl w:val="0"/>
        <w:numPr>
          <w:ilvl w:val="2"/>
          <w:numId w:val="7"/>
        </w:numPr>
        <w:tabs>
          <w:tab w:val="clear" w:pos="720"/>
        </w:tabs>
        <w:spacing w:before="120" w:after="120"/>
        <w:outlineLvl w:val="2"/>
      </w:pPr>
      <w:r w:rsidRPr="001B5F3E">
        <w:t xml:space="preserve">The Lead Applicant should provide details of the actual or proposed percentage shareholding of the constituent members within the Consortium or the exact nature of and degree to which the </w:t>
      </w:r>
      <w:r w:rsidR="00C925FE" w:rsidRPr="001B5F3E">
        <w:t>Supplies</w:t>
      </w:r>
      <w:r w:rsidRPr="001B5F3E">
        <w:t xml:space="preserve">/Services or Works will be sub-contracted. </w:t>
      </w:r>
    </w:p>
    <w:p w14:paraId="18C035D7" w14:textId="77777777" w:rsidR="00C75C38" w:rsidRDefault="00C75C38" w:rsidP="001B5F3E">
      <w:pPr>
        <w:widowControl w:val="0"/>
        <w:numPr>
          <w:ilvl w:val="2"/>
          <w:numId w:val="7"/>
        </w:numPr>
        <w:tabs>
          <w:tab w:val="clear" w:pos="720"/>
        </w:tabs>
        <w:spacing w:before="120" w:after="120"/>
        <w:outlineLvl w:val="2"/>
      </w:pPr>
      <w:r>
        <w:t xml:space="preserve">Applicants that wish to bid as a Consortium or sub-contractor are discouraged from also making their own individual application or from participating in Consortia or providing sub-contracting arrangements for multiple Lead Applicants. </w:t>
      </w:r>
    </w:p>
    <w:p w14:paraId="27E33A81" w14:textId="2C666248" w:rsidR="001B5F3E" w:rsidRDefault="00C75C38" w:rsidP="001B5F3E">
      <w:pPr>
        <w:widowControl w:val="0"/>
        <w:numPr>
          <w:ilvl w:val="2"/>
          <w:numId w:val="7"/>
        </w:numPr>
        <w:tabs>
          <w:tab w:val="clear" w:pos="720"/>
        </w:tabs>
        <w:spacing w:before="120" w:after="120"/>
        <w:outlineLvl w:val="2"/>
      </w:pPr>
      <w:r w:rsidRPr="00BB4EF8">
        <w:t>The Authority recognises th</w:t>
      </w:r>
      <w:r>
        <w:t>at arrangements in relation to Consortia</w:t>
      </w:r>
      <w:r w:rsidRPr="00BB4EF8">
        <w:t xml:space="preserve"> and sub-contracting may (within limits) be subject to future change. Applicants should therefore respond to this opportunity in the light of the arrangements as they are currently envisaged. Applicants are informed that an</w:t>
      </w:r>
      <w:r>
        <w:t>y future change in relation to C</w:t>
      </w:r>
      <w:r w:rsidRPr="00BB4EF8">
        <w:t xml:space="preserve">onsortia and sub-contracting must be notified to the Authority during the procurement process or </w:t>
      </w:r>
      <w:proofErr w:type="gramStart"/>
      <w:r w:rsidRPr="00BB4EF8">
        <w:t>in the event that</w:t>
      </w:r>
      <w:proofErr w:type="gramEnd"/>
      <w:r w:rsidRPr="00BB4EF8">
        <w:t xml:space="preserve"> they are the successful Contractor </w:t>
      </w:r>
      <w:r w:rsidR="001B5F3E">
        <w:t>and, in any event,</w:t>
      </w:r>
      <w:r>
        <w:t xml:space="preserve"> </w:t>
      </w:r>
      <w:r w:rsidRPr="00BB4EF8">
        <w:t xml:space="preserve">as soon as that change is known. </w:t>
      </w:r>
    </w:p>
    <w:p w14:paraId="20DE2E62" w14:textId="4AC5F8B6" w:rsidR="00C75C38" w:rsidRDefault="00C75C38" w:rsidP="001B5F3E">
      <w:pPr>
        <w:widowControl w:val="0"/>
        <w:numPr>
          <w:ilvl w:val="2"/>
          <w:numId w:val="7"/>
        </w:numPr>
        <w:tabs>
          <w:tab w:val="clear" w:pos="720"/>
        </w:tabs>
        <w:spacing w:before="120" w:after="120"/>
        <w:outlineLvl w:val="2"/>
      </w:pPr>
      <w:r w:rsidRPr="00BB4EF8">
        <w:t xml:space="preserve">The Authority may then make a further </w:t>
      </w:r>
      <w:r>
        <w:t>evaluation</w:t>
      </w:r>
      <w:r w:rsidRPr="00BB4EF8">
        <w:t xml:space="preserve"> of that Applicant or Contractor by applying the </w:t>
      </w:r>
      <w:r>
        <w:t>Selection</w:t>
      </w:r>
      <w:r w:rsidRPr="00BB4EF8">
        <w:t xml:space="preserve"> criteria to the new information provided.</w:t>
      </w:r>
      <w:r>
        <w:t xml:space="preserve"> </w:t>
      </w:r>
      <w:proofErr w:type="gramStart"/>
      <w:r>
        <w:t>In the event that</w:t>
      </w:r>
      <w:proofErr w:type="gramEnd"/>
      <w:r>
        <w:t xml:space="preserve"> the Authority’s evaluation of the new information results in an outcome that is different from the original, the Authority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14:paraId="06A61EB3" w14:textId="77777777" w:rsidR="00C75C38" w:rsidRPr="001B5F3E" w:rsidRDefault="00C75C38" w:rsidP="001B5F3E">
      <w:pPr>
        <w:widowControl w:val="0"/>
        <w:numPr>
          <w:ilvl w:val="2"/>
          <w:numId w:val="7"/>
        </w:numPr>
        <w:tabs>
          <w:tab w:val="clear" w:pos="720"/>
        </w:tabs>
        <w:spacing w:before="120" w:after="120"/>
        <w:outlineLvl w:val="2"/>
      </w:pPr>
      <w:r w:rsidRPr="001B5F3E">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2DF47C3D" w14:textId="1150207C" w:rsidR="00C75C38" w:rsidRPr="001B5F3E" w:rsidRDefault="00C75C38" w:rsidP="001B5F3E">
      <w:pPr>
        <w:widowControl w:val="0"/>
        <w:numPr>
          <w:ilvl w:val="2"/>
          <w:numId w:val="7"/>
        </w:numPr>
        <w:tabs>
          <w:tab w:val="clear" w:pos="720"/>
        </w:tabs>
        <w:spacing w:before="120" w:after="120"/>
        <w:outlineLvl w:val="2"/>
      </w:pPr>
      <w:r w:rsidRPr="001B5F3E">
        <w:t xml:space="preserve">Please note that the Authority reserves the right to require a successful Consortium to form a single legal entity in accordance with </w:t>
      </w:r>
      <w:r w:rsidR="00791DC6" w:rsidRPr="001B5F3E">
        <w:t>Reg</w:t>
      </w:r>
      <w:r w:rsidR="007B3C63">
        <w:t>.</w:t>
      </w:r>
      <w:r w:rsidR="006968FE" w:rsidRPr="001B5F3E">
        <w:t xml:space="preserve"> 19</w:t>
      </w:r>
      <w:r w:rsidRPr="001B5F3E">
        <w:t xml:space="preserve"> of the Public Contracts Regulations </w:t>
      </w:r>
      <w:r w:rsidR="006968FE" w:rsidRPr="001B5F3E">
        <w:t>2015</w:t>
      </w:r>
      <w:r w:rsidRPr="001B5F3E">
        <w:t xml:space="preserve">. </w:t>
      </w:r>
    </w:p>
    <w:p w14:paraId="174F0761" w14:textId="10F0B2A1" w:rsidR="003D7B91" w:rsidRPr="00F95E37" w:rsidRDefault="003D7B91" w:rsidP="001B5F3E">
      <w:pPr>
        <w:widowControl w:val="0"/>
        <w:numPr>
          <w:ilvl w:val="2"/>
          <w:numId w:val="7"/>
        </w:numPr>
        <w:tabs>
          <w:tab w:val="clear" w:pos="720"/>
        </w:tabs>
        <w:spacing w:before="120" w:after="120"/>
        <w:outlineLvl w:val="2"/>
        <w:rPr>
          <w:rFonts w:cs="Arial"/>
        </w:rPr>
      </w:pPr>
      <w:r w:rsidRPr="001B5F3E">
        <w:t>Where an Applicant requires additional time in the procurement process to establish relationships with suitable consortia partners it is advised to notify the Authority at the earliest convenience and request an extension to the procurement timescales. Applicants may do this through the messaging facility described</w:t>
      </w:r>
      <w:r w:rsidRPr="003D7B91">
        <w:rPr>
          <w:rFonts w:cs="Arial"/>
        </w:rPr>
        <w:t xml:space="preserve"> at </w:t>
      </w:r>
      <w:r w:rsidR="00C06F21">
        <w:rPr>
          <w:rFonts w:cs="Arial"/>
        </w:rPr>
        <w:t xml:space="preserve">the clarification </w:t>
      </w:r>
      <w:r w:rsidRPr="003D7B91">
        <w:rPr>
          <w:rFonts w:cs="Arial"/>
        </w:rPr>
        <w:t>section.</w:t>
      </w:r>
      <w:r>
        <w:rPr>
          <w:rFonts w:cs="Arial"/>
        </w:rPr>
        <w:t xml:space="preserve"> </w:t>
      </w:r>
    </w:p>
    <w:p w14:paraId="4DDAD833" w14:textId="77777777" w:rsidR="00C75C38" w:rsidRPr="001B5F3E" w:rsidRDefault="00C75C38" w:rsidP="001B5F3E">
      <w:pPr>
        <w:pStyle w:val="Heading2"/>
        <w:tabs>
          <w:tab w:val="num" w:pos="709"/>
        </w:tabs>
        <w:spacing w:before="240" w:after="240"/>
        <w:ind w:left="709" w:hanging="709"/>
        <w:rPr>
          <w:szCs w:val="28"/>
        </w:rPr>
      </w:pPr>
      <w:bookmarkStart w:id="130" w:name="_Toc448995820"/>
      <w:bookmarkStart w:id="131" w:name="_Toc530675225"/>
      <w:r w:rsidRPr="001B5F3E">
        <w:rPr>
          <w:szCs w:val="28"/>
        </w:rPr>
        <w:lastRenderedPageBreak/>
        <w:t>Ownership</w:t>
      </w:r>
      <w:bookmarkEnd w:id="130"/>
      <w:bookmarkEnd w:id="131"/>
    </w:p>
    <w:p w14:paraId="18A1B41F" w14:textId="77777777" w:rsidR="00774119" w:rsidRPr="00454B6A" w:rsidRDefault="00C75C38" w:rsidP="00454B6A">
      <w:pPr>
        <w:widowControl w:val="0"/>
        <w:numPr>
          <w:ilvl w:val="2"/>
          <w:numId w:val="7"/>
        </w:numPr>
        <w:tabs>
          <w:tab w:val="clear" w:pos="720"/>
        </w:tabs>
        <w:spacing w:before="120" w:after="120"/>
        <w:outlineLvl w:val="2"/>
      </w:pPr>
      <w:bookmarkStart w:id="132" w:name="_DV_M132"/>
      <w:bookmarkEnd w:id="132"/>
      <w:r>
        <w:t>The procurement documentation and all copies thereof are and shall remain the property of the Authority and save for the purposes of the Bid, must not be copied or reproduced in whole or in part and must be returned to the Authority upon demand.</w:t>
      </w:r>
      <w:bookmarkStart w:id="133" w:name="_Toc448995821"/>
    </w:p>
    <w:p w14:paraId="55197681" w14:textId="153E7881" w:rsidR="00C75C38" w:rsidRPr="00E75523" w:rsidRDefault="00C75C38" w:rsidP="00774119">
      <w:pPr>
        <w:pStyle w:val="Heading2"/>
        <w:tabs>
          <w:tab w:val="clear" w:pos="576"/>
          <w:tab w:val="num" w:pos="709"/>
          <w:tab w:val="num" w:pos="2561"/>
        </w:tabs>
        <w:spacing w:before="240" w:after="240"/>
        <w:ind w:left="709" w:hanging="709"/>
        <w:rPr>
          <w:szCs w:val="28"/>
        </w:rPr>
      </w:pPr>
      <w:bookmarkStart w:id="134" w:name="_Toc530675226"/>
      <w:r w:rsidRPr="00E75523">
        <w:rPr>
          <w:szCs w:val="28"/>
        </w:rPr>
        <w:t>Discrepancies, Omissions and Enquiries concerning the Documents</w:t>
      </w:r>
      <w:bookmarkEnd w:id="133"/>
      <w:bookmarkEnd w:id="134"/>
    </w:p>
    <w:p w14:paraId="4CE406C8" w14:textId="77777777" w:rsidR="00C75C38" w:rsidRDefault="00C75C38" w:rsidP="001B5F3E">
      <w:pPr>
        <w:widowControl w:val="0"/>
        <w:numPr>
          <w:ilvl w:val="2"/>
          <w:numId w:val="7"/>
        </w:numPr>
        <w:tabs>
          <w:tab w:val="clear" w:pos="720"/>
        </w:tabs>
        <w:spacing w:before="120" w:after="120"/>
        <w:outlineLvl w:val="2"/>
      </w:pPr>
      <w:r>
        <w:t xml:space="preserve">Should the Applicant find discrepancies in, or omissions from, the </w:t>
      </w:r>
      <w:r w:rsidR="00DB31CC">
        <w:t xml:space="preserve">procurement </w:t>
      </w:r>
      <w:r>
        <w:t>documents, the Authority shall be immediately notified by the Applicant</w:t>
      </w:r>
      <w:r w:rsidR="003909D8">
        <w:t>:</w:t>
      </w:r>
    </w:p>
    <w:p w14:paraId="62E51147" w14:textId="4104093D" w:rsidR="00C75C38" w:rsidRDefault="00C75C38" w:rsidP="001B5F3E">
      <w:pPr>
        <w:widowControl w:val="0"/>
        <w:numPr>
          <w:ilvl w:val="2"/>
          <w:numId w:val="7"/>
        </w:numPr>
        <w:tabs>
          <w:tab w:val="clear" w:pos="720"/>
        </w:tabs>
        <w:spacing w:before="120" w:after="120"/>
        <w:outlineLvl w:val="2"/>
      </w:pPr>
      <w:r>
        <w:t xml:space="preserve">Should any additions or deletions arising from such notification, or </w:t>
      </w:r>
      <w:proofErr w:type="gramStart"/>
      <w:r>
        <w:t>in the event that</w:t>
      </w:r>
      <w:proofErr w:type="gramEnd"/>
      <w:r>
        <w:t xml:space="preserve"> the Authority requires an amendment to be made, these will be issued by the Authority to </w:t>
      </w:r>
      <w:r w:rsidR="00DF3190">
        <w:t xml:space="preserve">all </w:t>
      </w:r>
      <w:r>
        <w:t xml:space="preserve">Applicants and will be deemed to form part of the documentation. </w:t>
      </w:r>
    </w:p>
    <w:p w14:paraId="08D4BCD8" w14:textId="77777777" w:rsidR="00C75C38" w:rsidRDefault="00C75C38" w:rsidP="001B5F3E">
      <w:pPr>
        <w:widowControl w:val="0"/>
        <w:numPr>
          <w:ilvl w:val="2"/>
          <w:numId w:val="7"/>
        </w:numPr>
        <w:tabs>
          <w:tab w:val="clear" w:pos="720"/>
        </w:tabs>
        <w:spacing w:before="120" w:after="120"/>
        <w:outlineLvl w:val="2"/>
        <w:rPr>
          <w:rFonts w:cs="Arial"/>
          <w:sz w:val="24"/>
        </w:rPr>
      </w:pPr>
      <w:r>
        <w:t xml:space="preserve">The Authority reserves the right to extend any date of </w:t>
      </w:r>
      <w:r w:rsidR="00690668">
        <w:t>s</w:t>
      </w:r>
      <w:r>
        <w:t>ubmission accordingly.</w:t>
      </w:r>
    </w:p>
    <w:p w14:paraId="645D5B18" w14:textId="77777777" w:rsidR="00C75C38" w:rsidRPr="000F4844" w:rsidRDefault="00C75C38" w:rsidP="001B5F3E">
      <w:pPr>
        <w:pStyle w:val="Heading2"/>
        <w:tabs>
          <w:tab w:val="num" w:pos="709"/>
        </w:tabs>
        <w:spacing w:before="240" w:after="240"/>
        <w:ind w:left="709" w:hanging="709"/>
      </w:pPr>
      <w:bookmarkStart w:id="135" w:name="_Toc448995822"/>
      <w:bookmarkStart w:id="136" w:name="_Toc530675227"/>
      <w:r w:rsidRPr="00F2265F">
        <w:rPr>
          <w:bCs/>
        </w:rPr>
        <w:t xml:space="preserve">Terms </w:t>
      </w:r>
      <w:r w:rsidRPr="001B5F3E">
        <w:rPr>
          <w:szCs w:val="28"/>
        </w:rPr>
        <w:t>and</w:t>
      </w:r>
      <w:r w:rsidRPr="00F2265F">
        <w:rPr>
          <w:bCs/>
        </w:rPr>
        <w:t xml:space="preserve"> Conditions</w:t>
      </w:r>
      <w:bookmarkEnd w:id="135"/>
      <w:bookmarkEnd w:id="136"/>
    </w:p>
    <w:p w14:paraId="6C7CA37F" w14:textId="77777777" w:rsidR="00C75C38" w:rsidRPr="001B5F3E" w:rsidRDefault="00C75C38" w:rsidP="00E75523">
      <w:pPr>
        <w:widowControl w:val="0"/>
        <w:numPr>
          <w:ilvl w:val="2"/>
          <w:numId w:val="7"/>
        </w:numPr>
        <w:tabs>
          <w:tab w:val="clear" w:pos="720"/>
        </w:tabs>
        <w:spacing w:before="120" w:after="120"/>
        <w:outlineLvl w:val="2"/>
      </w:pPr>
      <w:r w:rsidRPr="001B5F3E">
        <w:t xml:space="preserve">The applicable </w:t>
      </w:r>
      <w:r w:rsidR="00DD50FB" w:rsidRPr="001B5F3E">
        <w:t>t</w:t>
      </w:r>
      <w:r w:rsidRPr="001B5F3E">
        <w:t>erm</w:t>
      </w:r>
      <w:r w:rsidR="00FB1A77" w:rsidRPr="001B5F3E">
        <w:t>s and conditio</w:t>
      </w:r>
      <w:r w:rsidR="00B766F7" w:rsidRPr="001B5F3E">
        <w:t>n</w:t>
      </w:r>
      <w:r w:rsidR="00FB1A77" w:rsidRPr="001B5F3E">
        <w:t>s</w:t>
      </w:r>
      <w:r w:rsidRPr="001B5F3E">
        <w:t xml:space="preserve"> </w:t>
      </w:r>
      <w:r w:rsidR="00583009" w:rsidRPr="001B5F3E">
        <w:t>accompany this tender</w:t>
      </w:r>
      <w:r w:rsidRPr="001B5F3E">
        <w:t xml:space="preserve">. Applicants will be required to declare that they have read and understood and will comply with said clauses as part of the </w:t>
      </w:r>
      <w:r w:rsidR="00690668" w:rsidRPr="001B5F3E">
        <w:t>s</w:t>
      </w:r>
      <w:r w:rsidRPr="001B5F3E">
        <w:t xml:space="preserve">ubmission process. </w:t>
      </w:r>
    </w:p>
    <w:p w14:paraId="0499420A" w14:textId="0DB8B297" w:rsidR="00C75C38" w:rsidRPr="000F4844" w:rsidRDefault="00C75C38" w:rsidP="00E75523">
      <w:pPr>
        <w:widowControl w:val="0"/>
        <w:numPr>
          <w:ilvl w:val="2"/>
          <w:numId w:val="7"/>
        </w:numPr>
        <w:tabs>
          <w:tab w:val="clear" w:pos="720"/>
        </w:tabs>
        <w:spacing w:before="120" w:after="120"/>
        <w:outlineLvl w:val="2"/>
      </w:pPr>
      <w:r w:rsidRPr="000F4844">
        <w:t xml:space="preserve">Any queries regarding the terms and conditions, including an Applicant’s request to suggest alternative drafting on some or </w:t>
      </w:r>
      <w:proofErr w:type="gramStart"/>
      <w:r w:rsidRPr="000F4844">
        <w:t>all of</w:t>
      </w:r>
      <w:proofErr w:type="gramEnd"/>
      <w:r w:rsidRPr="000F4844">
        <w:t xml:space="preserve"> the clauses contained therein, may be raised during the clarification period and in accordanc</w:t>
      </w:r>
      <w:r w:rsidR="00D369AC">
        <w:t xml:space="preserve">e with </w:t>
      </w:r>
      <w:r w:rsidR="007241CF">
        <w:t>the Clarification Process</w:t>
      </w:r>
      <w:r w:rsidRPr="000F4844">
        <w:t>. The Authority requests that Applicants’ comments, queries and/or suggestions are clear and precise, otherwise they may be rejected.</w:t>
      </w:r>
    </w:p>
    <w:p w14:paraId="068739B3" w14:textId="77777777" w:rsidR="00C75C38" w:rsidRPr="000F4844" w:rsidRDefault="00C75C38" w:rsidP="00E75523">
      <w:pPr>
        <w:widowControl w:val="0"/>
        <w:numPr>
          <w:ilvl w:val="2"/>
          <w:numId w:val="7"/>
        </w:numPr>
        <w:tabs>
          <w:tab w:val="clear" w:pos="720"/>
        </w:tabs>
        <w:spacing w:before="120" w:after="120"/>
        <w:outlineLvl w:val="2"/>
      </w:pPr>
      <w:r w:rsidRPr="000F4844">
        <w:t xml:space="preserve">Where the Authority </w:t>
      </w:r>
      <w:proofErr w:type="gramStart"/>
      <w:r w:rsidRPr="000F4844">
        <w:t>is in agreement</w:t>
      </w:r>
      <w:proofErr w:type="gramEnd"/>
      <w:r w:rsidRPr="000F4844">
        <w:t xml:space="preserve"> with any changes to the terms and conditions proposed during that period it will update and republish the relevant documentation and all Applicants will be notified accordingly. The Authority reserves the right to extend the </w:t>
      </w:r>
      <w:r w:rsidR="00690668">
        <w:t>s</w:t>
      </w:r>
      <w:r w:rsidRPr="000F4844">
        <w:t xml:space="preserve">ubmission deadline date in order to allow Applicants </w:t>
      </w:r>
      <w:proofErr w:type="gramStart"/>
      <w:r w:rsidRPr="000F4844">
        <w:t>sufficient</w:t>
      </w:r>
      <w:proofErr w:type="gramEnd"/>
      <w:r w:rsidRPr="000F4844">
        <w:t xml:space="preserve"> time to take these changes into account. Where the Authority is not in agreement with any changes those proposals shall have been judged to have been rejected and the Authority shall provide an explanation to the Applicants as to the reason/s why it has been judged so. </w:t>
      </w:r>
    </w:p>
    <w:p w14:paraId="0CBD471F" w14:textId="77777777" w:rsidR="00C75C38" w:rsidRPr="000F4844" w:rsidRDefault="00C75C38" w:rsidP="00E75523">
      <w:pPr>
        <w:widowControl w:val="0"/>
        <w:numPr>
          <w:ilvl w:val="2"/>
          <w:numId w:val="7"/>
        </w:numPr>
        <w:tabs>
          <w:tab w:val="clear" w:pos="720"/>
        </w:tabs>
        <w:spacing w:before="120" w:after="120"/>
        <w:outlineLvl w:val="2"/>
      </w:pPr>
      <w:r w:rsidRPr="000F4844">
        <w:t xml:space="preserve">When the period for clarification has closed Applicants shall no longer be allowed to raise any further queries regarding the terms and conditions and the Applicant shall not be permitted to reserve their right to comment or negotiate upon the terms and conditions at any point thereafter. </w:t>
      </w:r>
    </w:p>
    <w:p w14:paraId="545E217D" w14:textId="77777777" w:rsidR="00C75C38" w:rsidRPr="000F4844" w:rsidRDefault="00C75C38" w:rsidP="00E75523">
      <w:pPr>
        <w:widowControl w:val="0"/>
        <w:numPr>
          <w:ilvl w:val="2"/>
          <w:numId w:val="7"/>
        </w:numPr>
        <w:tabs>
          <w:tab w:val="clear" w:pos="720"/>
        </w:tabs>
        <w:spacing w:before="120" w:after="120"/>
        <w:outlineLvl w:val="2"/>
      </w:pPr>
      <w:r w:rsidRPr="000F4844">
        <w:t xml:space="preserve">Applicants are required to agree to the terms and conditions associated with this procurement opportunity as part of the </w:t>
      </w:r>
      <w:r w:rsidR="00690668">
        <w:t>s</w:t>
      </w:r>
      <w:r w:rsidRPr="000F4844">
        <w:t xml:space="preserve">ubmission process and the Authority reserves its right to class any </w:t>
      </w:r>
      <w:r w:rsidR="000F03BB">
        <w:t>Bid</w:t>
      </w:r>
      <w:r w:rsidRPr="000F4844">
        <w:t xml:space="preserve"> submitted to the contrary as non-compliant. All such Applicants shall be judged to have failed with their </w:t>
      </w:r>
      <w:r w:rsidR="000F03BB">
        <w:t>submitted Bids,</w:t>
      </w:r>
      <w:r w:rsidRPr="000F4844">
        <w:t xml:space="preserve"> shall be evaluated no further and notified accordingly. </w:t>
      </w:r>
    </w:p>
    <w:p w14:paraId="589C2335" w14:textId="18332E53" w:rsidR="00A30688" w:rsidRPr="00E75523" w:rsidRDefault="00C75C38" w:rsidP="00E75523">
      <w:pPr>
        <w:widowControl w:val="0"/>
        <w:numPr>
          <w:ilvl w:val="2"/>
          <w:numId w:val="7"/>
        </w:numPr>
        <w:tabs>
          <w:tab w:val="clear" w:pos="720"/>
        </w:tabs>
        <w:spacing w:before="120" w:after="120"/>
        <w:outlineLvl w:val="2"/>
        <w:rPr>
          <w:b/>
          <w:bCs/>
          <w:sz w:val="28"/>
        </w:rPr>
      </w:pPr>
      <w:r w:rsidRPr="000F4844">
        <w:t>The Contractor</w:t>
      </w:r>
      <w:r w:rsidR="00FF7F1C">
        <w:t>(</w:t>
      </w:r>
      <w:r w:rsidRPr="000F4844">
        <w:t>s</w:t>
      </w:r>
      <w:r w:rsidR="00FF7F1C">
        <w:t>)</w:t>
      </w:r>
      <w:r w:rsidRPr="000F4844">
        <w:t xml:space="preserve"> shall accept the terms and conditions as they are drafted in the final Contract. No further negotiation shall take place nor changes allowed. Where a Contractor disputes this position the Authority reserves the right to withdraw the Contract award and class the </w:t>
      </w:r>
      <w:r w:rsidR="00690668">
        <w:t>s</w:t>
      </w:r>
      <w:r w:rsidRPr="000F4844">
        <w:t xml:space="preserve">ubmission as </w:t>
      </w:r>
      <w:r w:rsidR="00FF7F1C" w:rsidRPr="000F4844">
        <w:t>non-compliant</w:t>
      </w:r>
      <w:r w:rsidRPr="000F4844">
        <w:t>.</w:t>
      </w:r>
      <w:bookmarkStart w:id="137" w:name="_Ref363549463"/>
      <w:bookmarkStart w:id="138" w:name="_Toc448995823"/>
    </w:p>
    <w:p w14:paraId="02E3BC8D" w14:textId="0EEA967E" w:rsidR="00C75C38" w:rsidRPr="00A30688" w:rsidRDefault="00C75C38" w:rsidP="00E75523">
      <w:pPr>
        <w:pStyle w:val="Heading2"/>
        <w:widowControl w:val="0"/>
        <w:tabs>
          <w:tab w:val="num" w:pos="709"/>
        </w:tabs>
        <w:spacing w:before="240" w:after="240"/>
        <w:ind w:left="709" w:hanging="709"/>
        <w:rPr>
          <w:bCs/>
        </w:rPr>
      </w:pPr>
      <w:bookmarkStart w:id="139" w:name="_Toc530675228"/>
      <w:r w:rsidRPr="00A30688">
        <w:rPr>
          <w:bCs/>
        </w:rPr>
        <w:lastRenderedPageBreak/>
        <w:t>Clarification and Circular Advices</w:t>
      </w:r>
      <w:bookmarkEnd w:id="137"/>
      <w:bookmarkEnd w:id="138"/>
      <w:bookmarkEnd w:id="139"/>
    </w:p>
    <w:p w14:paraId="75C53035" w14:textId="77777777" w:rsidR="001D73FE" w:rsidRPr="00A30688" w:rsidRDefault="001D73FE" w:rsidP="00E75523">
      <w:pPr>
        <w:widowControl w:val="0"/>
        <w:numPr>
          <w:ilvl w:val="2"/>
          <w:numId w:val="7"/>
        </w:numPr>
        <w:tabs>
          <w:tab w:val="clear" w:pos="720"/>
        </w:tabs>
        <w:spacing w:before="120" w:after="120"/>
        <w:outlineLvl w:val="2"/>
      </w:pPr>
      <w:r w:rsidRPr="00A30688">
        <w:t xml:space="preserve">Upon commencement of the procurement process the Applicant shall not approach any member of the Authority in relation to the opportunity, other than by using </w:t>
      </w:r>
      <w:r w:rsidR="00583009" w:rsidRPr="00A30688">
        <w:t>the agreed contact email.</w:t>
      </w:r>
    </w:p>
    <w:p w14:paraId="28D749EF" w14:textId="77777777" w:rsidR="00C75C38" w:rsidRDefault="00C75C38" w:rsidP="00E75523">
      <w:pPr>
        <w:widowControl w:val="0"/>
        <w:numPr>
          <w:ilvl w:val="2"/>
          <w:numId w:val="7"/>
        </w:numPr>
        <w:tabs>
          <w:tab w:val="clear" w:pos="720"/>
        </w:tabs>
        <w:spacing w:before="120" w:after="120"/>
        <w:outlineLvl w:val="2"/>
      </w:pPr>
      <w:r>
        <w:t>Applicants should note that unless your question is innovation based, responses will be provided to all Applicants. Where a question is of a commercially confidential nature and the Applicant does not wish it or the associated answer to be shared with other Applicants, the Applicant shall state this clearly within its question. The identity of Applicants raising any questions will remain confidential.</w:t>
      </w:r>
    </w:p>
    <w:p w14:paraId="663C16C9" w14:textId="1E9A6E23" w:rsidR="0008447D" w:rsidRPr="00A30688" w:rsidRDefault="0008447D" w:rsidP="00E75523">
      <w:pPr>
        <w:widowControl w:val="0"/>
        <w:numPr>
          <w:ilvl w:val="2"/>
          <w:numId w:val="7"/>
        </w:numPr>
        <w:tabs>
          <w:tab w:val="clear" w:pos="720"/>
        </w:tabs>
        <w:spacing w:before="120" w:after="120"/>
        <w:outlineLvl w:val="2"/>
      </w:pPr>
      <w:r w:rsidRPr="00A30688">
        <w:t xml:space="preserve">Relevant questions together with the answers will be posted on </w:t>
      </w:r>
      <w:r w:rsidR="00583009" w:rsidRPr="00A30688">
        <w:t>Contract</w:t>
      </w:r>
      <w:r w:rsidR="00FF7F1C" w:rsidRPr="00A30688">
        <w:t>s</w:t>
      </w:r>
      <w:r w:rsidR="00583009" w:rsidRPr="00A30688">
        <w:t xml:space="preserve"> Finder and it will be the requirement for the Applicant to check any updates</w:t>
      </w:r>
      <w:r w:rsidR="007F7D4D" w:rsidRPr="00A30688">
        <w:t>.</w:t>
      </w:r>
    </w:p>
    <w:p w14:paraId="2A43095E" w14:textId="77777777" w:rsidR="0008447D" w:rsidRPr="0008447D" w:rsidRDefault="0008447D" w:rsidP="00E75523">
      <w:pPr>
        <w:widowControl w:val="0"/>
        <w:numPr>
          <w:ilvl w:val="2"/>
          <w:numId w:val="7"/>
        </w:numPr>
        <w:tabs>
          <w:tab w:val="clear" w:pos="720"/>
        </w:tabs>
        <w:spacing w:before="120" w:after="120"/>
        <w:outlineLvl w:val="2"/>
      </w:pPr>
      <w:r w:rsidRPr="00A30688">
        <w:t xml:space="preserve">When </w:t>
      </w:r>
      <w:r w:rsidR="00805F5C" w:rsidRPr="00A30688">
        <w:t>Applicants</w:t>
      </w:r>
      <w:r w:rsidRPr="00A30688">
        <w:t xml:space="preserve"> first access the </w:t>
      </w:r>
      <w:r w:rsidR="00805F5C" w:rsidRPr="00A30688">
        <w:t xml:space="preserve">procurement </w:t>
      </w:r>
      <w:proofErr w:type="gramStart"/>
      <w:r w:rsidR="00805F5C" w:rsidRPr="00A30688">
        <w:t>documentation</w:t>
      </w:r>
      <w:proofErr w:type="gramEnd"/>
      <w:r w:rsidRPr="00A30688">
        <w:t xml:space="preserve"> they should satisfy themselves that they have seen any </w:t>
      </w:r>
      <w:r w:rsidR="00805F5C" w:rsidRPr="00A30688">
        <w:t>messages</w:t>
      </w:r>
      <w:r w:rsidRPr="00A30688">
        <w:t xml:space="preserve"> posted. It is in the </w:t>
      </w:r>
      <w:r w:rsidR="00805F5C" w:rsidRPr="00A30688">
        <w:t>Applicant’s</w:t>
      </w:r>
      <w:r w:rsidRPr="00A30688">
        <w:t xml:space="preserve"> interest to visit the messages area regularly as clarifications may fundamentally affect their planned response.</w:t>
      </w:r>
    </w:p>
    <w:p w14:paraId="68CB27A6" w14:textId="77777777" w:rsidR="00C75C38" w:rsidRDefault="00C75C38" w:rsidP="00E75523">
      <w:pPr>
        <w:widowControl w:val="0"/>
        <w:numPr>
          <w:ilvl w:val="2"/>
          <w:numId w:val="7"/>
        </w:numPr>
        <w:tabs>
          <w:tab w:val="clear" w:pos="720"/>
        </w:tabs>
        <w:spacing w:before="120" w:after="120"/>
        <w:outlineLvl w:val="2"/>
      </w:pPr>
      <w:r w:rsidRPr="00A30688">
        <w:t>If during the period the Authority or Awarding Authority, in the case of a Framework Agreement, issues any circular letters to Applicants in order to clarify or alter part of the documents then such circular letters shall form part</w:t>
      </w:r>
      <w:r>
        <w:rPr>
          <w:snapToGrid w:val="0"/>
        </w:rPr>
        <w:t xml:space="preserve"> of the </w:t>
      </w:r>
      <w:r w:rsidR="00DD50FB">
        <w:rPr>
          <w:snapToGrid w:val="0"/>
        </w:rPr>
        <w:t xml:space="preserve">(Call-Off) </w:t>
      </w:r>
      <w:r>
        <w:rPr>
          <w:snapToGrid w:val="0"/>
        </w:rPr>
        <w:t>Contract and Applicants shall be deemed to have taken account of them in preparing their Bid. Applicants shall promptly acknowledge any circular letters that they receive.</w:t>
      </w:r>
    </w:p>
    <w:p w14:paraId="54BCF69A" w14:textId="77777777" w:rsidR="00C75C38" w:rsidRPr="00A30688" w:rsidRDefault="00C75C38" w:rsidP="00E75523">
      <w:pPr>
        <w:pStyle w:val="Heading2"/>
        <w:widowControl w:val="0"/>
        <w:tabs>
          <w:tab w:val="num" w:pos="709"/>
        </w:tabs>
        <w:spacing w:before="240" w:after="240"/>
        <w:ind w:left="709" w:hanging="709"/>
        <w:rPr>
          <w:bCs/>
        </w:rPr>
      </w:pPr>
      <w:bookmarkStart w:id="140" w:name="_Toc448995824"/>
      <w:bookmarkStart w:id="141" w:name="_Toc530675229"/>
      <w:r w:rsidRPr="00A30688">
        <w:rPr>
          <w:bCs/>
        </w:rPr>
        <w:t>Completion of the Document</w:t>
      </w:r>
      <w:bookmarkEnd w:id="140"/>
      <w:bookmarkEnd w:id="141"/>
    </w:p>
    <w:p w14:paraId="704D4FFA" w14:textId="06DC1A0C" w:rsidR="00C75C38" w:rsidRPr="00A30688" w:rsidRDefault="00C75C38" w:rsidP="00E75523">
      <w:pPr>
        <w:widowControl w:val="0"/>
        <w:numPr>
          <w:ilvl w:val="2"/>
          <w:numId w:val="7"/>
        </w:numPr>
        <w:tabs>
          <w:tab w:val="clear" w:pos="720"/>
        </w:tabs>
        <w:spacing w:before="120" w:after="120"/>
        <w:outlineLvl w:val="2"/>
      </w:pPr>
      <w:r w:rsidRPr="00A30688">
        <w:t xml:space="preserve">For the avoidance of doubt </w:t>
      </w:r>
      <w:proofErr w:type="gramStart"/>
      <w:r w:rsidR="00965451" w:rsidRPr="00A30688">
        <w:t>all of</w:t>
      </w:r>
      <w:proofErr w:type="gramEnd"/>
      <w:r w:rsidR="00965451" w:rsidRPr="00A30688">
        <w:t xml:space="preserve"> the sections included within Volume Two (2) Applicant’s Offer</w:t>
      </w:r>
      <w:r w:rsidR="000B2C79" w:rsidRPr="00A30688">
        <w:t xml:space="preserve">, </w:t>
      </w:r>
      <w:r w:rsidR="00DD3E61" w:rsidRPr="00A30688">
        <w:t xml:space="preserve">Price Schedule </w:t>
      </w:r>
      <w:r w:rsidRPr="00A30688">
        <w:t xml:space="preserve">must be completed and submitted by the Applicant in order to be considered by the Authority as a fully complete and official Bid. </w:t>
      </w:r>
    </w:p>
    <w:p w14:paraId="61022873" w14:textId="77777777" w:rsidR="00C75C38" w:rsidRPr="00A30688" w:rsidRDefault="00C75C38" w:rsidP="00E75523">
      <w:pPr>
        <w:widowControl w:val="0"/>
        <w:numPr>
          <w:ilvl w:val="2"/>
          <w:numId w:val="7"/>
        </w:numPr>
        <w:tabs>
          <w:tab w:val="clear" w:pos="720"/>
        </w:tabs>
        <w:spacing w:before="120" w:after="120"/>
        <w:outlineLvl w:val="2"/>
      </w:pPr>
      <w:r w:rsidRPr="00A30688">
        <w:t xml:space="preserve">Any Bids made omitting any of the </w:t>
      </w:r>
      <w:r w:rsidR="000963B2" w:rsidRPr="00A30688">
        <w:t>sections</w:t>
      </w:r>
      <w:r w:rsidRPr="00A30688">
        <w:t xml:space="preserve">, or any of the requirements therein, will be considered as incomplete </w:t>
      </w:r>
      <w:r w:rsidR="001D6C50" w:rsidRPr="00A30688">
        <w:t xml:space="preserve">and may be disqualified from further evaluation and therefore exclusion from the procurement process. </w:t>
      </w:r>
      <w:r w:rsidRPr="00A30688">
        <w:t xml:space="preserve"> </w:t>
      </w:r>
    </w:p>
    <w:p w14:paraId="2AD69CB8" w14:textId="77777777" w:rsidR="00C75C38" w:rsidRDefault="00C75C38" w:rsidP="00E75523">
      <w:pPr>
        <w:widowControl w:val="0"/>
        <w:numPr>
          <w:ilvl w:val="2"/>
          <w:numId w:val="7"/>
        </w:numPr>
        <w:tabs>
          <w:tab w:val="clear" w:pos="720"/>
        </w:tabs>
        <w:spacing w:before="120" w:after="120"/>
        <w:outlineLvl w:val="2"/>
      </w:pPr>
      <w:r w:rsidRPr="00A30688">
        <w:t>Documents should only be completed and submitted in the format in which they currently appear. It is essential that Applicants do</w:t>
      </w:r>
      <w:r w:rsidR="000963B2" w:rsidRPr="00A30688">
        <w:t xml:space="preserve"> not re-format or </w:t>
      </w:r>
      <w:r w:rsidRPr="00A30688">
        <w:t xml:space="preserve">re-brand </w:t>
      </w:r>
      <w:r w:rsidR="000963B2" w:rsidRPr="00A30688">
        <w:t xml:space="preserve">any of the procurement documentation </w:t>
      </w:r>
      <w:r w:rsidRPr="00A30688">
        <w:t>in accordance with their own standards on formatting. An example of this is if the documents are issued in Microsoft Word format, the Authority requires them to be returned in the same format.</w:t>
      </w:r>
      <w:r w:rsidRPr="00BD12EB">
        <w:t xml:space="preserve"> </w:t>
      </w:r>
    </w:p>
    <w:p w14:paraId="6E48FD3D" w14:textId="3AE60F30" w:rsidR="00C75C38" w:rsidRDefault="00C75C38" w:rsidP="00E75523">
      <w:pPr>
        <w:widowControl w:val="0"/>
        <w:numPr>
          <w:ilvl w:val="2"/>
          <w:numId w:val="7"/>
        </w:numPr>
        <w:tabs>
          <w:tab w:val="clear" w:pos="720"/>
        </w:tabs>
        <w:spacing w:before="120" w:after="120"/>
        <w:outlineLvl w:val="2"/>
      </w:pPr>
      <w:r>
        <w:t>Applicants will answer all appropriate questions and sign (if possible) where specified. Applicants will clearly reference its replies and any supporting documentation.</w:t>
      </w:r>
    </w:p>
    <w:p w14:paraId="0127FD42" w14:textId="77777777" w:rsidR="00C75C38" w:rsidRDefault="00C75C38" w:rsidP="00E75523">
      <w:pPr>
        <w:widowControl w:val="0"/>
        <w:numPr>
          <w:ilvl w:val="2"/>
          <w:numId w:val="7"/>
        </w:numPr>
        <w:tabs>
          <w:tab w:val="clear" w:pos="720"/>
        </w:tabs>
        <w:spacing w:before="120" w:after="120"/>
        <w:outlineLvl w:val="2"/>
      </w:pPr>
      <w:r>
        <w:t>Any pro-</w:t>
      </w:r>
      <w:proofErr w:type="spellStart"/>
      <w:r>
        <w:t>formas</w:t>
      </w:r>
      <w:proofErr w:type="spellEnd"/>
      <w:r>
        <w:t xml:space="preserve"> must be fully completed even if your organisation has previously submitted </w:t>
      </w:r>
      <w:r w:rsidR="00387CC3">
        <w:t>Bids to the Authority</w:t>
      </w:r>
      <w:r>
        <w:t xml:space="preserve">. It is not </w:t>
      </w:r>
      <w:proofErr w:type="gramStart"/>
      <w:r>
        <w:t>sufficient</w:t>
      </w:r>
      <w:proofErr w:type="gramEnd"/>
      <w:r>
        <w:t xml:space="preserve"> to cross-refer to previous responses.</w:t>
      </w:r>
    </w:p>
    <w:p w14:paraId="762B7642" w14:textId="323FAAE3" w:rsidR="00211727" w:rsidRDefault="008A1735" w:rsidP="00E75523">
      <w:pPr>
        <w:widowControl w:val="0"/>
        <w:numPr>
          <w:ilvl w:val="2"/>
          <w:numId w:val="7"/>
        </w:numPr>
        <w:tabs>
          <w:tab w:val="clear" w:pos="720"/>
        </w:tabs>
        <w:spacing w:before="120" w:after="120"/>
        <w:outlineLvl w:val="2"/>
      </w:pPr>
      <w:r>
        <w:t xml:space="preserve">Where an Applicant requires assistance in completing the documents or meeting the submission requirements </w:t>
      </w:r>
      <w:r>
        <w:rPr>
          <w:rFonts w:cs="Arial"/>
        </w:rPr>
        <w:t>it is advised to notify the Authority at the earliest convenience and request additional support</w:t>
      </w:r>
      <w:r w:rsidR="00774E22">
        <w:rPr>
          <w:rFonts w:cs="Arial"/>
        </w:rPr>
        <w:t>, to include meeting with the Authority Authorised Representative</w:t>
      </w:r>
      <w:r>
        <w:rPr>
          <w:rFonts w:cs="Arial"/>
        </w:rPr>
        <w:t xml:space="preserve">. </w:t>
      </w:r>
    </w:p>
    <w:p w14:paraId="7C64C566" w14:textId="77777777" w:rsidR="00567404" w:rsidRDefault="00567404" w:rsidP="00E75523">
      <w:pPr>
        <w:pStyle w:val="Heading2"/>
        <w:widowControl w:val="0"/>
        <w:tabs>
          <w:tab w:val="num" w:pos="709"/>
        </w:tabs>
        <w:spacing w:before="240" w:after="240"/>
        <w:ind w:left="709" w:hanging="709"/>
      </w:pPr>
      <w:bookmarkStart w:id="142" w:name="_Toc448995838"/>
      <w:bookmarkStart w:id="143" w:name="_Toc530675230"/>
      <w:bookmarkStart w:id="144" w:name="_Toc448995825"/>
      <w:r w:rsidRPr="00A30688">
        <w:rPr>
          <w:bCs/>
        </w:rPr>
        <w:lastRenderedPageBreak/>
        <w:t>Applicant</w:t>
      </w:r>
      <w:r>
        <w:t xml:space="preserve"> Site Visits</w:t>
      </w:r>
      <w:bookmarkEnd w:id="142"/>
      <w:bookmarkEnd w:id="143"/>
    </w:p>
    <w:p w14:paraId="40F5D65C" w14:textId="22B2FC44" w:rsidR="00567404" w:rsidRDefault="00567404" w:rsidP="00E75523">
      <w:pPr>
        <w:widowControl w:val="0"/>
        <w:numPr>
          <w:ilvl w:val="2"/>
          <w:numId w:val="7"/>
        </w:numPr>
        <w:tabs>
          <w:tab w:val="clear" w:pos="720"/>
        </w:tabs>
        <w:spacing w:before="120" w:after="120"/>
        <w:outlineLvl w:val="2"/>
      </w:pPr>
      <w:r>
        <w:t>The Applicant may visit the sites prior to completing its offer to ensure that it is fully f</w:t>
      </w:r>
      <w:r w:rsidR="004606C1">
        <w:t>amiliar with the site locations, where relevant.</w:t>
      </w:r>
      <w:r>
        <w:t xml:space="preserve"> The information in the attached schedules is given as an indication of the gener</w:t>
      </w:r>
      <w:r w:rsidR="008A26BB">
        <w:t>al requirements of the Contract.</w:t>
      </w:r>
      <w:r>
        <w:t xml:space="preserve"> Claims on the grounds of lack of knowledge of site locations/conditions will not be accepted by the Authority.</w:t>
      </w:r>
    </w:p>
    <w:p w14:paraId="322D6E73" w14:textId="77777777" w:rsidR="00C75C38" w:rsidRDefault="00C75C38" w:rsidP="00E75523">
      <w:pPr>
        <w:pStyle w:val="Heading2"/>
        <w:widowControl w:val="0"/>
        <w:tabs>
          <w:tab w:val="num" w:pos="709"/>
        </w:tabs>
        <w:spacing w:before="240" w:after="240"/>
        <w:ind w:left="709" w:hanging="709"/>
      </w:pPr>
      <w:bookmarkStart w:id="145" w:name="_Toc530675231"/>
      <w:r>
        <w:rPr>
          <w:snapToGrid w:val="0"/>
        </w:rPr>
        <w:t xml:space="preserve">Alternatives and </w:t>
      </w:r>
      <w:r w:rsidRPr="00A30688">
        <w:rPr>
          <w:bCs/>
        </w:rPr>
        <w:t>Variations</w:t>
      </w:r>
      <w:bookmarkEnd w:id="144"/>
      <w:bookmarkEnd w:id="145"/>
    </w:p>
    <w:p w14:paraId="13F30241" w14:textId="77777777" w:rsidR="00C75C38" w:rsidRPr="00A30688" w:rsidRDefault="00C75C38" w:rsidP="00E75523">
      <w:pPr>
        <w:widowControl w:val="0"/>
        <w:numPr>
          <w:ilvl w:val="2"/>
          <w:numId w:val="7"/>
        </w:numPr>
        <w:tabs>
          <w:tab w:val="clear" w:pos="720"/>
        </w:tabs>
        <w:spacing w:before="120" w:after="120"/>
        <w:outlineLvl w:val="2"/>
      </w:pPr>
      <w:r>
        <w:t xml:space="preserve">Innovative offers may be made in addition to making a full and complete Bid unless otherwise stated.  The </w:t>
      </w:r>
      <w:r w:rsidR="00690668">
        <w:t>s</w:t>
      </w:r>
      <w:r>
        <w:t>ubmission of an alternative or variant Bid will not be considered if the Applicant fails to make a compliant Bid in the prescribed format.</w:t>
      </w:r>
    </w:p>
    <w:p w14:paraId="6CAA2E3C" w14:textId="77777777" w:rsidR="00C75C38" w:rsidRDefault="00C75C38" w:rsidP="00E75523">
      <w:pPr>
        <w:widowControl w:val="0"/>
        <w:numPr>
          <w:ilvl w:val="2"/>
          <w:numId w:val="7"/>
        </w:numPr>
        <w:tabs>
          <w:tab w:val="clear" w:pos="720"/>
        </w:tabs>
        <w:spacing w:before="120" w:after="120"/>
        <w:outlineLvl w:val="2"/>
      </w:pPr>
      <w:r>
        <w:t xml:space="preserve">Should the Applicant wish to offer a variation or alternative Bid, including innovations to the Specification, please complete the Bid as described. This will constitute the ‘compliant Bid’. </w:t>
      </w:r>
    </w:p>
    <w:p w14:paraId="57BC9D98" w14:textId="77777777" w:rsidR="00C75C38" w:rsidRDefault="00C75C38" w:rsidP="00E75523">
      <w:pPr>
        <w:widowControl w:val="0"/>
        <w:numPr>
          <w:ilvl w:val="2"/>
          <w:numId w:val="7"/>
        </w:numPr>
        <w:tabs>
          <w:tab w:val="clear" w:pos="720"/>
        </w:tabs>
        <w:spacing w:before="120" w:after="120"/>
        <w:outlineLvl w:val="2"/>
      </w:pPr>
      <w:r>
        <w:t>The Applicant’s alternative or variant Bid sho</w:t>
      </w:r>
      <w:r w:rsidR="00947443">
        <w:t>uld be prepared separately and s</w:t>
      </w:r>
      <w:r>
        <w:t xml:space="preserve">ubmitted as such, giving clear details of your organisation’s departure from the compliant Bid. </w:t>
      </w:r>
    </w:p>
    <w:p w14:paraId="79F6BC56" w14:textId="77777777" w:rsidR="006C506B" w:rsidRDefault="006C506B" w:rsidP="00E75523">
      <w:pPr>
        <w:widowControl w:val="0"/>
        <w:numPr>
          <w:ilvl w:val="2"/>
          <w:numId w:val="7"/>
        </w:numPr>
        <w:tabs>
          <w:tab w:val="clear" w:pos="720"/>
        </w:tabs>
        <w:spacing w:before="120" w:after="120"/>
        <w:outlineLvl w:val="2"/>
      </w:pPr>
      <w:r>
        <w:t xml:space="preserve">Applicants may submit alternative or variant Bids in instances where it believes it is able to offer an innovative solution to a ‘traditional’ specification or where elements of its proposed service delivery deviate from the specification and/or procurement requirements such that this may render an Applicant’s Bid as non-compliant. </w:t>
      </w:r>
    </w:p>
    <w:p w14:paraId="09A43392" w14:textId="77777777" w:rsidR="00C75C38" w:rsidRDefault="00C75C38" w:rsidP="00E75523">
      <w:pPr>
        <w:pStyle w:val="Heading2"/>
        <w:widowControl w:val="0"/>
        <w:tabs>
          <w:tab w:val="num" w:pos="709"/>
        </w:tabs>
        <w:spacing w:before="240" w:after="240"/>
        <w:ind w:left="709" w:hanging="709"/>
      </w:pPr>
      <w:bookmarkStart w:id="146" w:name="_Ref295385014"/>
      <w:bookmarkStart w:id="147" w:name="_Toc448995826"/>
      <w:bookmarkStart w:id="148" w:name="_Toc530675232"/>
      <w:r>
        <w:t xml:space="preserve">Return of </w:t>
      </w:r>
      <w:r w:rsidRPr="00A30688">
        <w:rPr>
          <w:snapToGrid w:val="0"/>
        </w:rPr>
        <w:t>Document</w:t>
      </w:r>
      <w:bookmarkEnd w:id="146"/>
      <w:bookmarkEnd w:id="147"/>
      <w:bookmarkEnd w:id="148"/>
      <w:r>
        <w:t xml:space="preserve"> </w:t>
      </w:r>
    </w:p>
    <w:p w14:paraId="6FF9771B" w14:textId="1FFCA24B" w:rsidR="00A27EBC" w:rsidRPr="00A27EBC" w:rsidRDefault="00C75C38" w:rsidP="00E75523">
      <w:pPr>
        <w:widowControl w:val="0"/>
        <w:numPr>
          <w:ilvl w:val="2"/>
          <w:numId w:val="7"/>
        </w:numPr>
        <w:tabs>
          <w:tab w:val="clear" w:pos="720"/>
        </w:tabs>
        <w:spacing w:before="120" w:after="120"/>
        <w:outlineLvl w:val="2"/>
      </w:pPr>
      <w:r w:rsidRPr="000B1F0F">
        <w:t xml:space="preserve">Documents </w:t>
      </w:r>
      <w:r>
        <w:t xml:space="preserve">must be returned in </w:t>
      </w:r>
      <w:r w:rsidR="00A27EBC" w:rsidRPr="00A27EBC">
        <w:t xml:space="preserve">the correct and proper process for submitting the Applicant’s Bid electronically. </w:t>
      </w:r>
      <w:r w:rsidR="005B401A">
        <w:t xml:space="preserve"> </w:t>
      </w:r>
      <w:r w:rsidR="00A27EBC" w:rsidRPr="00A27EBC">
        <w:t xml:space="preserve">All Bids shall be submitted via the </w:t>
      </w:r>
      <w:r w:rsidR="00583009">
        <w:t>email address highlighted.</w:t>
      </w:r>
    </w:p>
    <w:p w14:paraId="505B47E9" w14:textId="0E52201B" w:rsidR="00A27EBC" w:rsidRPr="00A27EBC" w:rsidRDefault="00A27EBC" w:rsidP="00E75523">
      <w:pPr>
        <w:widowControl w:val="0"/>
        <w:numPr>
          <w:ilvl w:val="2"/>
          <w:numId w:val="7"/>
        </w:numPr>
        <w:tabs>
          <w:tab w:val="clear" w:pos="720"/>
        </w:tabs>
        <w:spacing w:before="120" w:after="120"/>
        <w:outlineLvl w:val="2"/>
      </w:pPr>
      <w:r w:rsidRPr="00A27EBC">
        <w:t>Applicants will not email their Bids directly to any named person</w:t>
      </w:r>
      <w:r w:rsidR="005B401A">
        <w:t>(</w:t>
      </w:r>
      <w:r w:rsidRPr="00A27EBC">
        <w:t>s</w:t>
      </w:r>
      <w:r w:rsidR="005B401A">
        <w:t xml:space="preserve">) </w:t>
      </w:r>
      <w:r w:rsidRPr="00A27EBC">
        <w:t>within the Authority.</w:t>
      </w:r>
    </w:p>
    <w:p w14:paraId="58E28E49" w14:textId="77777777" w:rsidR="00A27EBC" w:rsidRPr="00A27EBC" w:rsidRDefault="00A27EBC" w:rsidP="00E75523">
      <w:pPr>
        <w:widowControl w:val="0"/>
        <w:numPr>
          <w:ilvl w:val="2"/>
          <w:numId w:val="7"/>
        </w:numPr>
        <w:tabs>
          <w:tab w:val="clear" w:pos="720"/>
        </w:tabs>
        <w:spacing w:before="120" w:after="120"/>
        <w:outlineLvl w:val="2"/>
      </w:pPr>
      <w:r w:rsidRPr="00A27EBC">
        <w:t>Applicants will not send their Bids to the Authority in a paper or other ‘hard’ format unless specifically requested to do so within the associated bid documentation.</w:t>
      </w:r>
    </w:p>
    <w:p w14:paraId="06795BCB" w14:textId="77777777" w:rsidR="00A27EBC" w:rsidRPr="00A27EBC" w:rsidRDefault="00A27EBC" w:rsidP="00E75523">
      <w:pPr>
        <w:widowControl w:val="0"/>
        <w:numPr>
          <w:ilvl w:val="2"/>
          <w:numId w:val="7"/>
        </w:numPr>
        <w:tabs>
          <w:tab w:val="clear" w:pos="720"/>
        </w:tabs>
        <w:spacing w:before="120" w:after="120"/>
        <w:outlineLvl w:val="2"/>
      </w:pPr>
      <w:r w:rsidRPr="00A27EBC">
        <w:t xml:space="preserve">It is the Applicant’s responsibility to ensure that its Bid is submitted prior to the deadline date/time. </w:t>
      </w:r>
    </w:p>
    <w:p w14:paraId="78C322FB" w14:textId="77777777" w:rsidR="00C75C38" w:rsidRDefault="00690668" w:rsidP="00E75523">
      <w:pPr>
        <w:widowControl w:val="0"/>
        <w:numPr>
          <w:ilvl w:val="2"/>
          <w:numId w:val="7"/>
        </w:numPr>
        <w:tabs>
          <w:tab w:val="clear" w:pos="720"/>
        </w:tabs>
        <w:spacing w:before="120" w:after="120"/>
        <w:outlineLvl w:val="2"/>
      </w:pPr>
      <w:r>
        <w:t>Any s</w:t>
      </w:r>
      <w:r w:rsidR="00A27EBC" w:rsidRPr="00A27EBC">
        <w:t>ubmissions that do not accord with the guidelines set out above shall be considered as non-compliant and will be treated as such.</w:t>
      </w:r>
    </w:p>
    <w:p w14:paraId="7121E5C6" w14:textId="77777777" w:rsidR="00C75C38" w:rsidRPr="000B1F0F" w:rsidRDefault="00C75C38" w:rsidP="00E75523">
      <w:pPr>
        <w:widowControl w:val="0"/>
        <w:numPr>
          <w:ilvl w:val="2"/>
          <w:numId w:val="7"/>
        </w:numPr>
        <w:tabs>
          <w:tab w:val="clear" w:pos="720"/>
        </w:tabs>
        <w:spacing w:before="120" w:after="120"/>
        <w:outlineLvl w:val="2"/>
      </w:pPr>
      <w:r w:rsidRPr="000B1F0F">
        <w:t>Submissions must be received in advance of the deadline in order to qualify as timely offers. As such, Appl</w:t>
      </w:r>
      <w:r>
        <w:t xml:space="preserve">icants are urged to make their </w:t>
      </w:r>
      <w:r w:rsidR="00690668">
        <w:t>s</w:t>
      </w:r>
      <w:r w:rsidRPr="000B1F0F">
        <w:t xml:space="preserve">ubmission well in advance of the stated </w:t>
      </w:r>
      <w:r>
        <w:t>deadline</w:t>
      </w:r>
      <w:r w:rsidRPr="000B1F0F">
        <w:t xml:space="preserve"> in order to avoid such issues as technical difficulties with the electronic system that may be due to the high volume of traffic attempting to submit offers, for example. </w:t>
      </w:r>
    </w:p>
    <w:p w14:paraId="3C78E107" w14:textId="77777777" w:rsidR="00C925FE" w:rsidRDefault="00C75C38" w:rsidP="00E75523">
      <w:pPr>
        <w:widowControl w:val="0"/>
        <w:numPr>
          <w:ilvl w:val="2"/>
          <w:numId w:val="7"/>
        </w:numPr>
        <w:tabs>
          <w:tab w:val="clear" w:pos="720"/>
        </w:tabs>
        <w:spacing w:before="120" w:after="120"/>
        <w:outlineLvl w:val="2"/>
      </w:pPr>
      <w:r w:rsidRPr="000B1F0F">
        <w:t xml:space="preserve">Submissions </w:t>
      </w:r>
      <w:r w:rsidRPr="00DB5F8D">
        <w:t>made after the date and time specified on the documents or to a different address, electronically or otherwise, will not be considered under any circumstances.</w:t>
      </w:r>
      <w:r w:rsidR="00DB5F8D" w:rsidRPr="00DB5F8D">
        <w:t xml:space="preserve"> </w:t>
      </w:r>
    </w:p>
    <w:p w14:paraId="36DA80D7" w14:textId="77777777" w:rsidR="00A30688" w:rsidRDefault="00A30688" w:rsidP="00E75523">
      <w:pPr>
        <w:widowControl w:val="0"/>
        <w:spacing w:after="0" w:line="240" w:lineRule="auto"/>
        <w:rPr>
          <w:b/>
          <w:sz w:val="28"/>
        </w:rPr>
      </w:pPr>
      <w:bookmarkStart w:id="149" w:name="_Toc94334834"/>
      <w:bookmarkStart w:id="150" w:name="_Toc94334914"/>
      <w:bookmarkStart w:id="151" w:name="_Toc94335508"/>
      <w:bookmarkStart w:id="152" w:name="_Toc94336932"/>
      <w:bookmarkStart w:id="153" w:name="_Toc94337512"/>
      <w:bookmarkStart w:id="154" w:name="_Toc95031560"/>
      <w:bookmarkStart w:id="155" w:name="_Toc95031607"/>
      <w:bookmarkStart w:id="156" w:name="_Toc95034099"/>
      <w:bookmarkStart w:id="157" w:name="_Toc95034292"/>
      <w:bookmarkStart w:id="158" w:name="_Toc95034438"/>
      <w:bookmarkStart w:id="159" w:name="_Toc95034650"/>
      <w:bookmarkStart w:id="160" w:name="_Toc95194844"/>
      <w:bookmarkStart w:id="161" w:name="_Toc95622619"/>
      <w:bookmarkStart w:id="162" w:name="_Toc448995827"/>
      <w:bookmarkStart w:id="163" w:name="_Toc93134256"/>
      <w:bookmarkStart w:id="164" w:name="_Toc94334821"/>
      <w:bookmarkStart w:id="165" w:name="_Toc94334901"/>
      <w:bookmarkStart w:id="166" w:name="_Toc94335495"/>
      <w:bookmarkStart w:id="167" w:name="_Toc94336919"/>
      <w:bookmarkStart w:id="168" w:name="_Toc94337499"/>
      <w:bookmarkStart w:id="169" w:name="_Toc95031547"/>
      <w:bookmarkStart w:id="170" w:name="_Toc95031594"/>
      <w:bookmarkStart w:id="171" w:name="_Toc95034086"/>
      <w:bookmarkStart w:id="172" w:name="_Toc95034279"/>
      <w:bookmarkStart w:id="173" w:name="_Toc95034425"/>
      <w:bookmarkStart w:id="174" w:name="_Toc95034637"/>
      <w:bookmarkStart w:id="175" w:name="_Toc95194831"/>
      <w:bookmarkStart w:id="176" w:name="_Toc95622605"/>
      <w:r>
        <w:br w:type="page"/>
      </w:r>
    </w:p>
    <w:p w14:paraId="045DAC61" w14:textId="717F2C7C" w:rsidR="00C75C38" w:rsidRDefault="00C75C38" w:rsidP="00E75523">
      <w:pPr>
        <w:pStyle w:val="Heading2"/>
        <w:widowControl w:val="0"/>
        <w:tabs>
          <w:tab w:val="num" w:pos="709"/>
        </w:tabs>
        <w:spacing w:before="240" w:after="240"/>
        <w:ind w:left="709" w:hanging="709"/>
        <w:rPr>
          <w:kern w:val="28"/>
        </w:rPr>
      </w:pPr>
      <w:bookmarkStart w:id="177" w:name="_Toc530675233"/>
      <w:r>
        <w:lastRenderedPageBreak/>
        <w:t>Applicant’s Warranties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77"/>
    </w:p>
    <w:p w14:paraId="18AAA8C2" w14:textId="77777777" w:rsidR="00C75C38" w:rsidRDefault="00C75C38" w:rsidP="00E75523">
      <w:pPr>
        <w:widowControl w:val="0"/>
        <w:numPr>
          <w:ilvl w:val="2"/>
          <w:numId w:val="7"/>
        </w:numPr>
        <w:tabs>
          <w:tab w:val="clear" w:pos="720"/>
        </w:tabs>
        <w:spacing w:before="120" w:after="120"/>
        <w:outlineLvl w:val="2"/>
      </w:pPr>
      <w:bookmarkStart w:id="178" w:name="_DV_M145"/>
      <w:bookmarkStart w:id="179" w:name="_DV_M146"/>
      <w:bookmarkEnd w:id="178"/>
      <w:bookmarkEnd w:id="179"/>
      <w:r>
        <w:t xml:space="preserve">In submitting their </w:t>
      </w:r>
      <w:proofErr w:type="gramStart"/>
      <w:r>
        <w:t>Bid</w:t>
      </w:r>
      <w:proofErr w:type="gramEnd"/>
      <w:r>
        <w:t xml:space="preserve"> the Applicant warrants and represents and undertakes to the Authority that it has not done any of the acts or matters referred to in </w:t>
      </w:r>
      <w:r w:rsidR="00791DC6">
        <w:t>Regulation</w:t>
      </w:r>
      <w:r>
        <w:t xml:space="preserve"> </w:t>
      </w:r>
      <w:r w:rsidR="00DB07E3">
        <w:t>57</w:t>
      </w:r>
      <w:r>
        <w:t xml:space="preserve"> of the Public Contracts Regulations </w:t>
      </w:r>
      <w:r w:rsidR="00DB07E3">
        <w:t>2015</w:t>
      </w:r>
      <w:r>
        <w:t xml:space="preserve"> and has complied in all respects with the requirements;</w:t>
      </w:r>
      <w:bookmarkStart w:id="180" w:name="_DV_M150"/>
      <w:bookmarkEnd w:id="180"/>
    </w:p>
    <w:p w14:paraId="6618D1B2" w14:textId="478478CC" w:rsidR="00C75C38" w:rsidRDefault="00C75C38" w:rsidP="00E75523">
      <w:pPr>
        <w:pStyle w:val="ListParagraph"/>
        <w:widowControl w:val="0"/>
        <w:numPr>
          <w:ilvl w:val="0"/>
          <w:numId w:val="9"/>
        </w:numPr>
        <w:ind w:left="1134" w:hanging="425"/>
      </w:pPr>
      <w:bookmarkStart w:id="181" w:name="_DV_M151"/>
      <w:bookmarkStart w:id="182" w:name="_DV_M152"/>
      <w:bookmarkEnd w:id="181"/>
      <w:bookmarkEnd w:id="182"/>
      <w:r>
        <w:t xml:space="preserve">it has full power and authority to enter into the Contract and provide the </w:t>
      </w:r>
      <w:r w:rsidR="00C925FE">
        <w:rPr>
          <w:rFonts w:cs="Arial"/>
          <w:szCs w:val="24"/>
        </w:rPr>
        <w:t>Supplies</w:t>
      </w:r>
      <w:r w:rsidRPr="00967B4E">
        <w:rPr>
          <w:rFonts w:cs="Arial"/>
          <w:szCs w:val="24"/>
        </w:rPr>
        <w:t xml:space="preserve">/Works or Services </w:t>
      </w:r>
      <w:r>
        <w:t xml:space="preserve">will </w:t>
      </w:r>
      <w:r w:rsidR="006A0E0B">
        <w:t>be</w:t>
      </w:r>
      <w:r>
        <w:t xml:space="preserve"> requested produce evidence of such to the Authority;</w:t>
      </w:r>
    </w:p>
    <w:p w14:paraId="613194D8" w14:textId="77777777" w:rsidR="00C75C38" w:rsidRDefault="00A71337" w:rsidP="00E75523">
      <w:pPr>
        <w:pStyle w:val="ListParagraph"/>
        <w:widowControl w:val="0"/>
        <w:numPr>
          <w:ilvl w:val="0"/>
          <w:numId w:val="9"/>
        </w:numPr>
        <w:ind w:left="1134" w:hanging="425"/>
      </w:pPr>
      <w:r>
        <w:t xml:space="preserve">it </w:t>
      </w:r>
      <w:r w:rsidR="00C75C38">
        <w:t>is of sound financial standing and the Applicant and its partners, directors, officers and employees are not aware of any circumstances (other than such circumstances as may be disclosed in the audited accounts or other financial statements of the Applicant submitted to the Authority) which may adversely affect such financial standing in the future.</w:t>
      </w:r>
    </w:p>
    <w:p w14:paraId="462813FC" w14:textId="77777777" w:rsidR="003137B7" w:rsidRDefault="003137B7" w:rsidP="00E75523">
      <w:pPr>
        <w:pStyle w:val="Heading2"/>
        <w:widowControl w:val="0"/>
        <w:tabs>
          <w:tab w:val="num" w:pos="709"/>
        </w:tabs>
        <w:spacing w:before="240" w:after="240"/>
        <w:ind w:left="709" w:hanging="709"/>
      </w:pPr>
      <w:bookmarkStart w:id="183" w:name="_Toc530675234"/>
      <w:bookmarkStart w:id="184" w:name="_Toc448995829"/>
      <w:r>
        <w:t>Evaluation of Bids</w:t>
      </w:r>
      <w:bookmarkEnd w:id="183"/>
    </w:p>
    <w:p w14:paraId="0A938B82" w14:textId="77777777" w:rsidR="003137B7" w:rsidRDefault="00E525A8" w:rsidP="00E75523">
      <w:pPr>
        <w:widowControl w:val="0"/>
        <w:numPr>
          <w:ilvl w:val="2"/>
          <w:numId w:val="7"/>
        </w:numPr>
        <w:tabs>
          <w:tab w:val="clear" w:pos="720"/>
        </w:tabs>
        <w:spacing w:before="120" w:after="120"/>
        <w:outlineLvl w:val="2"/>
      </w:pPr>
      <w:r w:rsidRPr="00E525A8">
        <w:t xml:space="preserve">All </w:t>
      </w:r>
      <w:r>
        <w:t>Bids</w:t>
      </w:r>
      <w:r w:rsidRPr="00E525A8">
        <w:t xml:space="preserve"> will be treated equally and assessed with transparency throughout the evaluation process. The successful offer(s) will be that which achieves the highest score within a best value framework (optimum combination of whole-life costs and quality) in line with the </w:t>
      </w:r>
      <w:r w:rsidR="00860F43">
        <w:t>best value principles of</w:t>
      </w:r>
      <w:r w:rsidRPr="00E525A8">
        <w:t xml:space="preserve"> Most Economically Advantageous Tender (MEAT).</w:t>
      </w:r>
    </w:p>
    <w:p w14:paraId="595BAF59" w14:textId="08CF325F" w:rsidR="00C6734F" w:rsidRDefault="00C6734F" w:rsidP="00E75523">
      <w:pPr>
        <w:widowControl w:val="0"/>
        <w:numPr>
          <w:ilvl w:val="2"/>
          <w:numId w:val="7"/>
        </w:numPr>
        <w:tabs>
          <w:tab w:val="clear" w:pos="720"/>
        </w:tabs>
        <w:spacing w:before="120" w:after="120"/>
        <w:outlineLvl w:val="2"/>
      </w:pPr>
      <w:r>
        <w:t xml:space="preserve">The evaluation process is a critical part of the procurement process and is the means by which the Authority </w:t>
      </w:r>
      <w:proofErr w:type="gramStart"/>
      <w:r>
        <w:t>is able to</w:t>
      </w:r>
      <w:proofErr w:type="gramEnd"/>
      <w:r>
        <w:t xml:space="preserve"> assess to whom the Authority wishes </w:t>
      </w:r>
      <w:r w:rsidRPr="00AB5BD9">
        <w:t>to select to progress to the next stage of this procurement process and/or award the Contract</w:t>
      </w:r>
      <w:r>
        <w:t>.</w:t>
      </w:r>
    </w:p>
    <w:p w14:paraId="2D62E138" w14:textId="6C5EB83F" w:rsidR="00C6734F" w:rsidRPr="00A30688" w:rsidRDefault="00C6734F" w:rsidP="00E75523">
      <w:pPr>
        <w:widowControl w:val="0"/>
        <w:numPr>
          <w:ilvl w:val="2"/>
          <w:numId w:val="7"/>
        </w:numPr>
        <w:tabs>
          <w:tab w:val="clear" w:pos="720"/>
        </w:tabs>
        <w:spacing w:before="120" w:after="120"/>
        <w:outlineLvl w:val="2"/>
      </w:pPr>
      <w:r>
        <w:t>The information disclosed by Applicants in its Bid will be used for the purposes of evaluation and shall form part of the resultant Contract</w:t>
      </w:r>
      <w:r w:rsidR="001B54A6" w:rsidRPr="00A30688">
        <w:t>.</w:t>
      </w:r>
    </w:p>
    <w:p w14:paraId="4566ECCC" w14:textId="274DD4FD" w:rsidR="001B54A6" w:rsidRPr="00FA72ED" w:rsidRDefault="001B54A6" w:rsidP="00E75523">
      <w:pPr>
        <w:widowControl w:val="0"/>
        <w:numPr>
          <w:ilvl w:val="2"/>
          <w:numId w:val="7"/>
        </w:numPr>
        <w:tabs>
          <w:tab w:val="clear" w:pos="720"/>
        </w:tabs>
        <w:spacing w:before="120" w:after="120"/>
        <w:outlineLvl w:val="2"/>
        <w:rPr>
          <w:rFonts w:cs="Arial"/>
          <w:color w:val="000000"/>
        </w:rPr>
      </w:pPr>
      <w:r w:rsidRPr="00A30688">
        <w:t>Any responses to any of the Selection or Award questions or any other part of your Bid that are later found to be incorrect may lead to you being exempted from this procurement process or any future procurement</w:t>
      </w:r>
      <w:r w:rsidRPr="008D3C03">
        <w:rPr>
          <w:rFonts w:cs="Arial"/>
          <w:color w:val="000000"/>
        </w:rPr>
        <w:t xml:space="preserve"> process lead by the Authority and could cause the termination of </w:t>
      </w:r>
      <w:r>
        <w:rPr>
          <w:rFonts w:cs="Arial"/>
          <w:color w:val="000000"/>
        </w:rPr>
        <w:t>any resultant</w:t>
      </w:r>
      <w:r w:rsidRPr="008D3C03">
        <w:rPr>
          <w:rFonts w:cs="Arial"/>
          <w:color w:val="000000"/>
        </w:rPr>
        <w:t xml:space="preserve"> </w:t>
      </w:r>
      <w:r w:rsidR="00641710">
        <w:rPr>
          <w:rFonts w:cs="Arial"/>
          <w:color w:val="000000"/>
        </w:rPr>
        <w:t>Contract</w:t>
      </w:r>
      <w:r w:rsidRPr="008D3C03">
        <w:rPr>
          <w:rFonts w:cs="Arial"/>
          <w:color w:val="000000"/>
        </w:rPr>
        <w:t>.</w:t>
      </w:r>
      <w:r w:rsidRPr="001B54A6">
        <w:rPr>
          <w:rFonts w:cs="Arial"/>
          <w:color w:val="000000"/>
        </w:rPr>
        <w:t xml:space="preserve"> </w:t>
      </w:r>
    </w:p>
    <w:p w14:paraId="76CFB14D" w14:textId="77777777" w:rsidR="009009A4" w:rsidRDefault="0086783C" w:rsidP="00E75523">
      <w:pPr>
        <w:pStyle w:val="Heading2"/>
        <w:widowControl w:val="0"/>
        <w:tabs>
          <w:tab w:val="num" w:pos="709"/>
        </w:tabs>
        <w:spacing w:before="240" w:after="240"/>
        <w:ind w:left="709" w:hanging="709"/>
      </w:pPr>
      <w:bookmarkStart w:id="185" w:name="_Toc530675235"/>
      <w:r>
        <w:t>Applicant’s</w:t>
      </w:r>
      <w:r w:rsidR="009009A4">
        <w:t xml:space="preserve"> Price</w:t>
      </w:r>
      <w:bookmarkEnd w:id="185"/>
      <w:r w:rsidR="009009A4">
        <w:t xml:space="preserve"> </w:t>
      </w:r>
    </w:p>
    <w:p w14:paraId="18D1C711" w14:textId="6596286A" w:rsidR="009009A4" w:rsidRPr="00A30688" w:rsidRDefault="009009A4" w:rsidP="00E75523">
      <w:pPr>
        <w:widowControl w:val="0"/>
        <w:numPr>
          <w:ilvl w:val="2"/>
          <w:numId w:val="7"/>
        </w:numPr>
        <w:tabs>
          <w:tab w:val="clear" w:pos="720"/>
        </w:tabs>
        <w:spacing w:before="120" w:after="120"/>
        <w:outlineLvl w:val="2"/>
      </w:pPr>
      <w:r w:rsidRPr="00A30688">
        <w:t xml:space="preserve">The price offered by the Applicant shall be firm and fixed for the duration of the Contract. Any percentage discounts that may be applied must be detailed </w:t>
      </w:r>
      <w:r w:rsidR="00571596" w:rsidRPr="00A30688">
        <w:t>by the Applicant in its Bid</w:t>
      </w:r>
      <w:r w:rsidRPr="00A30688">
        <w:t xml:space="preserve">. Price variation during the </w:t>
      </w:r>
      <w:r w:rsidR="00FD73EF" w:rsidRPr="00A30688">
        <w:t xml:space="preserve">Contract </w:t>
      </w:r>
      <w:r w:rsidRPr="00A30688">
        <w:t>term will be by negotiation only via formal performance review meetings. Any price variations will not take effect until they have been mutually agreed by both Authority and Applicant and the former receives confirmation in writing from the latter.</w:t>
      </w:r>
    </w:p>
    <w:p w14:paraId="42CEA6D3" w14:textId="77777777" w:rsidR="009009A4" w:rsidRPr="00A30688" w:rsidRDefault="009009A4" w:rsidP="00E75523">
      <w:pPr>
        <w:widowControl w:val="0"/>
        <w:numPr>
          <w:ilvl w:val="2"/>
          <w:numId w:val="7"/>
        </w:numPr>
        <w:tabs>
          <w:tab w:val="clear" w:pos="720"/>
        </w:tabs>
        <w:spacing w:before="120" w:after="120"/>
        <w:outlineLvl w:val="2"/>
      </w:pPr>
      <w:r w:rsidRPr="00A30688">
        <w:t xml:space="preserve">All prices submitted shall be in pounds sterling and shall be exclusive of Value Added Tax (VAT). </w:t>
      </w:r>
    </w:p>
    <w:p w14:paraId="0CE2C9B7" w14:textId="44E0059E" w:rsidR="009009A4" w:rsidRDefault="009009A4" w:rsidP="00E75523">
      <w:pPr>
        <w:widowControl w:val="0"/>
        <w:numPr>
          <w:ilvl w:val="2"/>
          <w:numId w:val="7"/>
        </w:numPr>
        <w:tabs>
          <w:tab w:val="clear" w:pos="720"/>
        </w:tabs>
        <w:spacing w:before="120" w:after="120"/>
        <w:outlineLvl w:val="2"/>
        <w:rPr>
          <w:rFonts w:cs="Arial"/>
        </w:rPr>
      </w:pPr>
      <w:r w:rsidRPr="00A30688">
        <w:t xml:space="preserve">The Applicant’s price will be evaluated in accordance with the </w:t>
      </w:r>
      <w:r w:rsidR="00A27EBC" w:rsidRPr="00A30688">
        <w:t xml:space="preserve">scoring methodology </w:t>
      </w:r>
      <w:r w:rsidRPr="00A30688">
        <w:t xml:space="preserve">and weightings as set </w:t>
      </w:r>
      <w:r w:rsidR="005B4F39" w:rsidRPr="00A30688">
        <w:t>by the Authority</w:t>
      </w:r>
      <w:r w:rsidR="005B4F39">
        <w:rPr>
          <w:rFonts w:cs="Arial"/>
        </w:rPr>
        <w:t xml:space="preserve"> </w:t>
      </w:r>
      <w:r w:rsidR="00B42271">
        <w:rPr>
          <w:rFonts w:cs="Arial"/>
        </w:rPr>
        <w:t>and declared within Volume Two (2) Applicant’s Offer</w:t>
      </w:r>
      <w:r w:rsidR="009C6764">
        <w:rPr>
          <w:rFonts w:cs="Arial"/>
        </w:rPr>
        <w:t xml:space="preserve"> </w:t>
      </w:r>
      <w:r w:rsidR="00C5639A">
        <w:rPr>
          <w:rFonts w:cs="Arial"/>
        </w:rPr>
        <w:t>and Schedule 3 Price Schedule</w:t>
      </w:r>
      <w:r w:rsidR="00B42271">
        <w:rPr>
          <w:rFonts w:cs="Arial"/>
        </w:rPr>
        <w:t xml:space="preserve">. </w:t>
      </w:r>
      <w:r>
        <w:rPr>
          <w:rFonts w:cs="Arial"/>
        </w:rPr>
        <w:t xml:space="preserve"> </w:t>
      </w:r>
    </w:p>
    <w:p w14:paraId="61444E45" w14:textId="77777777" w:rsidR="00692EE6" w:rsidRPr="00764FBC" w:rsidRDefault="00692EE6" w:rsidP="00692EE6">
      <w:pPr>
        <w:widowControl w:val="0"/>
        <w:spacing w:before="120" w:after="120"/>
        <w:ind w:left="720"/>
        <w:outlineLvl w:val="2"/>
        <w:rPr>
          <w:rFonts w:cs="Arial"/>
        </w:rPr>
      </w:pPr>
    </w:p>
    <w:p w14:paraId="73613BE2" w14:textId="77777777" w:rsidR="00C75C38" w:rsidRDefault="00C75C38" w:rsidP="00E75523">
      <w:pPr>
        <w:pStyle w:val="Heading2"/>
        <w:widowControl w:val="0"/>
        <w:tabs>
          <w:tab w:val="num" w:pos="709"/>
        </w:tabs>
        <w:spacing w:before="240" w:after="240"/>
        <w:ind w:left="709" w:hanging="709"/>
      </w:pPr>
      <w:bookmarkStart w:id="186" w:name="_Toc530675236"/>
      <w:r>
        <w:lastRenderedPageBreak/>
        <w:t>Errors and Omissions in the Applicant’s Bid</w:t>
      </w:r>
      <w:bookmarkEnd w:id="184"/>
      <w:bookmarkEnd w:id="186"/>
    </w:p>
    <w:p w14:paraId="74433519" w14:textId="77777777" w:rsidR="00C75C38" w:rsidRDefault="00C75C38" w:rsidP="00E75523">
      <w:pPr>
        <w:widowControl w:val="0"/>
        <w:numPr>
          <w:ilvl w:val="2"/>
          <w:numId w:val="7"/>
        </w:numPr>
        <w:tabs>
          <w:tab w:val="clear" w:pos="720"/>
        </w:tabs>
        <w:spacing w:before="120" w:after="120"/>
        <w:outlineLvl w:val="2"/>
        <w:rPr>
          <w:rFonts w:cs="Arial"/>
        </w:rPr>
      </w:pPr>
      <w:r>
        <w:rPr>
          <w:rFonts w:cs="Arial"/>
        </w:rPr>
        <w:t>If the Authority discovers errors or omissions in the Bid, the Applicant may be required to justify the price or item(s) concerned.  Any price adjustments to the Bid made by agreement between the parties concerned shall be confirmed in writing by the Applicant to the Authority before final acceptance of the Bid.</w:t>
      </w:r>
    </w:p>
    <w:p w14:paraId="515904C8" w14:textId="77777777" w:rsidR="007942D6" w:rsidRDefault="007942D6" w:rsidP="00E75523">
      <w:pPr>
        <w:pStyle w:val="Heading2"/>
        <w:widowControl w:val="0"/>
        <w:tabs>
          <w:tab w:val="num" w:pos="709"/>
        </w:tabs>
        <w:spacing w:before="240" w:after="240"/>
        <w:ind w:left="709" w:hanging="709"/>
      </w:pPr>
      <w:bookmarkStart w:id="187" w:name="_Toc448995830"/>
      <w:bookmarkStart w:id="188" w:name="_Toc53067523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t xml:space="preserve">Abnormally Low </w:t>
      </w:r>
      <w:bookmarkEnd w:id="187"/>
      <w:r w:rsidR="00D8283D">
        <w:t>Bids</w:t>
      </w:r>
      <w:bookmarkEnd w:id="188"/>
    </w:p>
    <w:p w14:paraId="5F193A81" w14:textId="77777777" w:rsidR="007942D6" w:rsidRPr="007942D6" w:rsidRDefault="007942D6" w:rsidP="00E75523">
      <w:pPr>
        <w:widowControl w:val="0"/>
        <w:numPr>
          <w:ilvl w:val="2"/>
          <w:numId w:val="7"/>
        </w:numPr>
        <w:tabs>
          <w:tab w:val="clear" w:pos="720"/>
        </w:tabs>
        <w:spacing w:before="120" w:after="120"/>
        <w:outlineLvl w:val="2"/>
      </w:pPr>
      <w:proofErr w:type="gramStart"/>
      <w:r w:rsidRPr="007942D6">
        <w:t xml:space="preserve">In the </w:t>
      </w:r>
      <w:r w:rsidRPr="00A30688">
        <w:rPr>
          <w:rFonts w:cs="Arial"/>
        </w:rPr>
        <w:t>event</w:t>
      </w:r>
      <w:r w:rsidRPr="007942D6">
        <w:t xml:space="preserve"> that</w:t>
      </w:r>
      <w:proofErr w:type="gramEnd"/>
      <w:r w:rsidRPr="007942D6">
        <w:t xml:space="preserve"> the Authority receives a Bid which is abnormally low, in accordance with Regulation 69 of the Public Contracts Regulations 2015, it shall require the Applicant to explain in writing the price or cost proposed in the </w:t>
      </w:r>
      <w:r w:rsidR="00690668">
        <w:t>s</w:t>
      </w:r>
      <w:r w:rsidR="00E177D5">
        <w:t>ubmission</w:t>
      </w:r>
      <w:r w:rsidRPr="007942D6">
        <w:t xml:space="preserve">. The Authority shall assess the information provided by the Applicant and may reject the </w:t>
      </w:r>
      <w:r w:rsidR="00D8283D">
        <w:t>Bid</w:t>
      </w:r>
      <w:r w:rsidRPr="007942D6">
        <w:t xml:space="preserve"> where the evidence supplied does not satisfactorily account for the low level of price or costs proposed.</w:t>
      </w:r>
    </w:p>
    <w:p w14:paraId="65E65C80" w14:textId="77777777" w:rsidR="00567404" w:rsidRDefault="00567404" w:rsidP="00E75523">
      <w:pPr>
        <w:pStyle w:val="Heading2"/>
        <w:widowControl w:val="0"/>
        <w:tabs>
          <w:tab w:val="num" w:pos="709"/>
        </w:tabs>
        <w:spacing w:before="240" w:after="240"/>
        <w:ind w:left="709" w:hanging="709"/>
      </w:pPr>
      <w:bookmarkStart w:id="189" w:name="_Toc448995839"/>
      <w:bookmarkStart w:id="190" w:name="_Toc530675238"/>
      <w:bookmarkStart w:id="191" w:name="_Toc448995831"/>
      <w:r>
        <w:t>Authority Site Visits</w:t>
      </w:r>
      <w:bookmarkEnd w:id="189"/>
      <w:bookmarkEnd w:id="190"/>
    </w:p>
    <w:p w14:paraId="51777B15" w14:textId="4C9963D1" w:rsidR="00567404" w:rsidRPr="00F504C8" w:rsidRDefault="00567404" w:rsidP="00E75523">
      <w:pPr>
        <w:widowControl w:val="0"/>
        <w:numPr>
          <w:ilvl w:val="2"/>
          <w:numId w:val="7"/>
        </w:numPr>
        <w:tabs>
          <w:tab w:val="clear" w:pos="720"/>
        </w:tabs>
        <w:spacing w:before="120" w:after="120"/>
        <w:outlineLvl w:val="2"/>
      </w:pPr>
      <w:r w:rsidRPr="00F504C8">
        <w:t>The Authority reserves the right to pay a site visit to short listed Applicant’s premises</w:t>
      </w:r>
      <w:r>
        <w:t xml:space="preserve"> and</w:t>
      </w:r>
      <w:r w:rsidRPr="00F504C8">
        <w:t>/</w:t>
      </w:r>
      <w:r>
        <w:t xml:space="preserve">or </w:t>
      </w:r>
      <w:r w:rsidRPr="00F504C8">
        <w:t>exemplar site/s at which it performs the servi</w:t>
      </w:r>
      <w:r w:rsidR="004606C1">
        <w:t>ce required under the Contract.</w:t>
      </w:r>
    </w:p>
    <w:p w14:paraId="6FB9B3A3" w14:textId="77777777" w:rsidR="00567404" w:rsidRPr="00F504C8" w:rsidRDefault="00567404" w:rsidP="00E75523">
      <w:pPr>
        <w:widowControl w:val="0"/>
        <w:numPr>
          <w:ilvl w:val="2"/>
          <w:numId w:val="7"/>
        </w:numPr>
        <w:tabs>
          <w:tab w:val="clear" w:pos="720"/>
        </w:tabs>
        <w:spacing w:before="120" w:after="120"/>
        <w:outlineLvl w:val="2"/>
      </w:pPr>
      <w:r w:rsidRPr="00F504C8">
        <w:t>Applicants may or may not be contacted to be made aware that a site visit will take place. Any notification that is made will detail the date, time and details of those Members/Officers that are anticipated to attend.</w:t>
      </w:r>
    </w:p>
    <w:p w14:paraId="422D5A58" w14:textId="77777777" w:rsidR="00567404" w:rsidRPr="00343349" w:rsidRDefault="00567404" w:rsidP="00E75523">
      <w:pPr>
        <w:widowControl w:val="0"/>
        <w:numPr>
          <w:ilvl w:val="2"/>
          <w:numId w:val="7"/>
        </w:numPr>
        <w:tabs>
          <w:tab w:val="clear" w:pos="720"/>
        </w:tabs>
        <w:spacing w:before="120" w:after="120"/>
        <w:outlineLvl w:val="2"/>
      </w:pPr>
      <w:r w:rsidRPr="00F504C8">
        <w:t>Applicants</w:t>
      </w:r>
      <w:r w:rsidR="00627D5C">
        <w:t xml:space="preserve"> must</w:t>
      </w:r>
      <w:r w:rsidRPr="00F504C8">
        <w:t xml:space="preserve"> grant access to any premises requested to be visited by the Authority within that </w:t>
      </w:r>
      <w:r w:rsidRPr="00343349">
        <w:t xml:space="preserve">allocated time period. </w:t>
      </w:r>
    </w:p>
    <w:p w14:paraId="60EFAB9F" w14:textId="0371E42A" w:rsidR="00567404" w:rsidRPr="00284C0E" w:rsidRDefault="00567404" w:rsidP="00E75523">
      <w:pPr>
        <w:widowControl w:val="0"/>
        <w:numPr>
          <w:ilvl w:val="2"/>
          <w:numId w:val="7"/>
        </w:numPr>
        <w:tabs>
          <w:tab w:val="clear" w:pos="720"/>
        </w:tabs>
        <w:spacing w:before="120" w:after="120"/>
        <w:outlineLvl w:val="2"/>
      </w:pPr>
      <w:r w:rsidRPr="00284C0E">
        <w:t>Site visits will be for the purpose of ensuring that Applicants are appropriately skilled and experienced to deliver the service required under the Contract</w:t>
      </w:r>
      <w:r w:rsidR="00627D5C">
        <w:t xml:space="preserve"> </w:t>
      </w:r>
      <w:r w:rsidRPr="00284C0E">
        <w:t xml:space="preserve">and that any claims made to that effect are accurate. </w:t>
      </w:r>
    </w:p>
    <w:p w14:paraId="48A263DA" w14:textId="2595220B" w:rsidR="00C64FDD" w:rsidRDefault="00C64FDD" w:rsidP="00E75523">
      <w:pPr>
        <w:pStyle w:val="Heading2"/>
        <w:widowControl w:val="0"/>
        <w:tabs>
          <w:tab w:val="num" w:pos="709"/>
        </w:tabs>
        <w:spacing w:before="240" w:after="240"/>
        <w:ind w:left="709" w:hanging="709"/>
      </w:pPr>
      <w:bookmarkStart w:id="192" w:name="_Toc530675239"/>
      <w:r>
        <w:t>Rejection of Offers</w:t>
      </w:r>
      <w:bookmarkEnd w:id="191"/>
      <w:bookmarkEnd w:id="192"/>
    </w:p>
    <w:p w14:paraId="18DD6E1A" w14:textId="77777777" w:rsidR="00A27EBC" w:rsidRDefault="00C64FDD" w:rsidP="00E75523">
      <w:pPr>
        <w:widowControl w:val="0"/>
        <w:numPr>
          <w:ilvl w:val="2"/>
          <w:numId w:val="7"/>
        </w:numPr>
        <w:tabs>
          <w:tab w:val="clear" w:pos="720"/>
        </w:tabs>
        <w:spacing w:before="120" w:after="120"/>
        <w:outlineLvl w:val="2"/>
      </w:pPr>
      <w:r>
        <w:t>The Authority may at its absolute discretion refrain</w:t>
      </w:r>
      <w:r w:rsidR="006111D6">
        <w:t xml:space="preserve"> from considering or reject a Bid </w:t>
      </w:r>
      <w:r w:rsidR="008C05C7">
        <w:t xml:space="preserve">if: </w:t>
      </w:r>
    </w:p>
    <w:p w14:paraId="01D58F00" w14:textId="77777777" w:rsidR="00A27EBC" w:rsidRDefault="008C05C7" w:rsidP="00E75523">
      <w:pPr>
        <w:pStyle w:val="ListParagraph"/>
        <w:widowControl w:val="0"/>
        <w:numPr>
          <w:ilvl w:val="0"/>
          <w:numId w:val="10"/>
        </w:numPr>
        <w:ind w:hanging="371"/>
      </w:pPr>
      <w:r>
        <w:t xml:space="preserve">it </w:t>
      </w:r>
      <w:r w:rsidR="00C64FDD">
        <w:t>is incomplete or vague or is submitted later than the prescribed date and time</w:t>
      </w:r>
      <w:bookmarkStart w:id="193" w:name="_DV_M107"/>
      <w:bookmarkEnd w:id="193"/>
      <w:r w:rsidR="00C64FDD">
        <w:t xml:space="preserve">; or </w:t>
      </w:r>
    </w:p>
    <w:p w14:paraId="78DBA546" w14:textId="77777777" w:rsidR="00A27EBC" w:rsidRDefault="00C64FDD" w:rsidP="00E75523">
      <w:pPr>
        <w:pStyle w:val="ListParagraph"/>
        <w:widowControl w:val="0"/>
        <w:numPr>
          <w:ilvl w:val="0"/>
          <w:numId w:val="10"/>
        </w:numPr>
        <w:ind w:hanging="371"/>
      </w:pPr>
      <w:r>
        <w:t xml:space="preserve">it is not in accordance with the </w:t>
      </w:r>
      <w:r w:rsidR="00A1336F">
        <w:t>approved format</w:t>
      </w:r>
      <w:r>
        <w:t xml:space="preserve"> and all other provisions of the documents</w:t>
      </w:r>
      <w:r w:rsidR="00A27EBC">
        <w:t>;</w:t>
      </w:r>
      <w:r>
        <w:t xml:space="preserve"> or </w:t>
      </w:r>
    </w:p>
    <w:p w14:paraId="1D606A11" w14:textId="77777777" w:rsidR="00C64FDD" w:rsidRDefault="00C64FDD" w:rsidP="00E75523">
      <w:pPr>
        <w:pStyle w:val="ListParagraph"/>
        <w:widowControl w:val="0"/>
        <w:numPr>
          <w:ilvl w:val="0"/>
          <w:numId w:val="10"/>
        </w:numPr>
        <w:ind w:hanging="371"/>
      </w:pPr>
      <w:r>
        <w:t>is in breach o</w:t>
      </w:r>
      <w:r w:rsidR="00A1336F">
        <w:t>f any condition contained within it</w:t>
      </w:r>
      <w:r>
        <w:t>.</w:t>
      </w:r>
    </w:p>
    <w:p w14:paraId="16D1CD7E" w14:textId="7F2F8114" w:rsidR="00A27EBC" w:rsidRDefault="00A27EBC" w:rsidP="00E75523">
      <w:pPr>
        <w:widowControl w:val="0"/>
        <w:numPr>
          <w:ilvl w:val="2"/>
          <w:numId w:val="7"/>
        </w:numPr>
        <w:tabs>
          <w:tab w:val="clear" w:pos="720"/>
        </w:tabs>
        <w:spacing w:before="120" w:after="120"/>
        <w:outlineLvl w:val="2"/>
      </w:pPr>
      <w:r>
        <w:t>The Authority reserves the right, subject to relevant legislation, at any time to reject any Bid and</w:t>
      </w:r>
      <w:r w:rsidR="00A30688">
        <w:t xml:space="preserve"> </w:t>
      </w:r>
      <w:r>
        <w:t>/</w:t>
      </w:r>
      <w:r w:rsidR="00A30688">
        <w:t xml:space="preserve"> </w:t>
      </w:r>
      <w:r>
        <w:t xml:space="preserve">or terminate the procurement process with one or </w:t>
      </w:r>
      <w:proofErr w:type="gramStart"/>
      <w:r>
        <w:t>all of</w:t>
      </w:r>
      <w:proofErr w:type="gramEnd"/>
      <w:r>
        <w:t xml:space="preserve"> the Applicants.</w:t>
      </w:r>
    </w:p>
    <w:p w14:paraId="09C520E9" w14:textId="2D012A33" w:rsidR="00A27EBC" w:rsidRDefault="00A27EBC" w:rsidP="00E75523">
      <w:pPr>
        <w:widowControl w:val="0"/>
        <w:numPr>
          <w:ilvl w:val="2"/>
          <w:numId w:val="7"/>
        </w:numPr>
        <w:tabs>
          <w:tab w:val="clear" w:pos="720"/>
        </w:tabs>
        <w:spacing w:before="120" w:after="120"/>
        <w:outlineLvl w:val="2"/>
      </w:pPr>
      <w:r>
        <w:t>The Authority reserves the right to disqualify any or all Applicants who make material changes to, or (in the Authority's opinion) a material change takes place in respect of, any aspect of either its pre-qualification submission or Bid unless substantial justification can be provided to the satisfaction of the Authority.</w:t>
      </w:r>
    </w:p>
    <w:p w14:paraId="6A8C3EB8" w14:textId="65D5A280" w:rsidR="00C64FDD" w:rsidRDefault="00C64FDD" w:rsidP="00E75523">
      <w:pPr>
        <w:widowControl w:val="0"/>
        <w:numPr>
          <w:ilvl w:val="2"/>
          <w:numId w:val="7"/>
        </w:numPr>
        <w:tabs>
          <w:tab w:val="clear" w:pos="720"/>
        </w:tabs>
        <w:spacing w:before="120" w:after="120"/>
        <w:outlineLvl w:val="2"/>
      </w:pPr>
      <w:r>
        <w:t xml:space="preserve">Any </w:t>
      </w:r>
      <w:r w:rsidR="00690668">
        <w:t>s</w:t>
      </w:r>
      <w:r w:rsidR="00A1336F">
        <w:t>ubmission</w:t>
      </w:r>
      <w:r>
        <w:t xml:space="preserve"> in</w:t>
      </w:r>
      <w:r w:rsidR="000A15CA">
        <w:t xml:space="preserve"> respect of which the Applicant</w:t>
      </w:r>
      <w:r w:rsidR="00A30688">
        <w:t>:</w:t>
      </w:r>
    </w:p>
    <w:p w14:paraId="214EFBE7" w14:textId="62102DCE" w:rsidR="00C64FDD" w:rsidRDefault="000A15CA" w:rsidP="00E75523">
      <w:pPr>
        <w:pStyle w:val="ListParagraph"/>
        <w:widowControl w:val="0"/>
        <w:numPr>
          <w:ilvl w:val="0"/>
          <w:numId w:val="8"/>
        </w:numPr>
        <w:ind w:left="1276" w:hanging="567"/>
      </w:pPr>
      <w:bookmarkStart w:id="194" w:name="_DV_M115"/>
      <w:bookmarkEnd w:id="194"/>
      <w:r>
        <w:t>h</w:t>
      </w:r>
      <w:r w:rsidR="00C64FDD">
        <w:t>as directly or indirectly canvassed any Official, Member</w:t>
      </w:r>
      <w:r w:rsidR="00A27EBC">
        <w:t xml:space="preserve">, </w:t>
      </w:r>
      <w:r w:rsidR="00C64FDD">
        <w:t>Officer</w:t>
      </w:r>
      <w:r w:rsidR="00A27EBC">
        <w:t>, Agent or Advisor of the Authority</w:t>
      </w:r>
      <w:r w:rsidR="00C64FDD">
        <w:t xml:space="preserve"> or obtained information from any other person who </w:t>
      </w:r>
      <w:r w:rsidR="00CE7EDA">
        <w:t xml:space="preserve">has been contracted to supply </w:t>
      </w:r>
      <w:r w:rsidR="00C925FE">
        <w:t>Supplies</w:t>
      </w:r>
      <w:r w:rsidR="00CE7EDA">
        <w:t xml:space="preserve"> or provide the Service or W</w:t>
      </w:r>
      <w:r w:rsidR="00C64FDD">
        <w:t>orks to the Authority concerning the award of the Contract</w:t>
      </w:r>
      <w:r w:rsidR="0086783C">
        <w:t xml:space="preserve"> </w:t>
      </w:r>
      <w:r w:rsidR="00C64FDD">
        <w:t xml:space="preserve">or who has directly or indirectly obtained or attempted to obtain </w:t>
      </w:r>
      <w:r w:rsidR="00C64FDD">
        <w:lastRenderedPageBreak/>
        <w:t>information from any such Official, Member</w:t>
      </w:r>
      <w:r w:rsidR="00A27EBC">
        <w:t>,</w:t>
      </w:r>
      <w:r w:rsidR="00C64FDD">
        <w:t xml:space="preserve"> Officer</w:t>
      </w:r>
      <w:r w:rsidR="00A27EBC">
        <w:t>, Agent or Advisor</w:t>
      </w:r>
      <w:r w:rsidR="00C64FDD">
        <w:t xml:space="preserve"> concerning any other Applicant; or</w:t>
      </w:r>
    </w:p>
    <w:p w14:paraId="6E228556" w14:textId="77777777" w:rsidR="00C64FDD" w:rsidRDefault="000A15CA" w:rsidP="00E75523">
      <w:pPr>
        <w:pStyle w:val="ListParagraph"/>
        <w:widowControl w:val="0"/>
        <w:numPr>
          <w:ilvl w:val="0"/>
          <w:numId w:val="8"/>
        </w:numPr>
        <w:ind w:left="1276" w:hanging="567"/>
      </w:pPr>
      <w:bookmarkStart w:id="195" w:name="_DV_M116"/>
      <w:bookmarkEnd w:id="195"/>
      <w:r>
        <w:t>f</w:t>
      </w:r>
      <w:r w:rsidR="00C64FDD">
        <w:t xml:space="preserve">ixes or </w:t>
      </w:r>
      <w:r>
        <w:t xml:space="preserve">adjusts the prices </w:t>
      </w:r>
      <w:r w:rsidR="00C64FDD">
        <w:t>by or in accordance with any agreement or arrangement with any other person; or</w:t>
      </w:r>
    </w:p>
    <w:p w14:paraId="3D622BD4" w14:textId="356507A1" w:rsidR="00C64FDD" w:rsidRDefault="000A15CA" w:rsidP="00E75523">
      <w:pPr>
        <w:pStyle w:val="ListParagraph"/>
        <w:widowControl w:val="0"/>
        <w:numPr>
          <w:ilvl w:val="0"/>
          <w:numId w:val="8"/>
        </w:numPr>
        <w:ind w:left="1276" w:hanging="567"/>
      </w:pPr>
      <w:bookmarkStart w:id="196" w:name="_DV_M117"/>
      <w:bookmarkEnd w:id="196"/>
      <w:r>
        <w:t>c</w:t>
      </w:r>
      <w:r w:rsidR="00C64FDD">
        <w:t xml:space="preserve">ommunicates to any person other than the Authority the </w:t>
      </w:r>
      <w:r>
        <w:t>price</w:t>
      </w:r>
      <w:r w:rsidR="00C64FDD">
        <w:t xml:space="preserve"> or approximate </w:t>
      </w:r>
      <w:r>
        <w:t>price</w:t>
      </w:r>
      <w:r w:rsidR="00C64FDD">
        <w:t xml:space="preserve"> except where such disclosure is made in confidence in order to obtain quotations necessary for the </w:t>
      </w:r>
      <w:r w:rsidR="00A30688">
        <w:t xml:space="preserve">bid </w:t>
      </w:r>
      <w:r w:rsidR="00C64FDD">
        <w:t>preparation or for the purposes of insurance or financing; or</w:t>
      </w:r>
    </w:p>
    <w:p w14:paraId="7A3839F5" w14:textId="77777777" w:rsidR="00C64FDD" w:rsidRDefault="000A15CA" w:rsidP="00E75523">
      <w:pPr>
        <w:pStyle w:val="ListParagraph"/>
        <w:widowControl w:val="0"/>
        <w:numPr>
          <w:ilvl w:val="0"/>
          <w:numId w:val="8"/>
        </w:numPr>
        <w:ind w:left="1276" w:hanging="567"/>
      </w:pPr>
      <w:bookmarkStart w:id="197" w:name="_DV_M118"/>
      <w:bookmarkEnd w:id="197"/>
      <w:r>
        <w:t>e</w:t>
      </w:r>
      <w:r w:rsidR="00C64FDD">
        <w:t>nters into any agreement with any other person that such other person shall re</w:t>
      </w:r>
      <w:r w:rsidR="00C52EA7">
        <w:t xml:space="preserve">frain from submitting an offer </w:t>
      </w:r>
      <w:r w:rsidR="00C64FDD">
        <w:t>or shall limit or restrict the prices to be shown or referred to by another Applicant; or</w:t>
      </w:r>
    </w:p>
    <w:p w14:paraId="5A1452F4" w14:textId="739CEA4E" w:rsidR="00C64FDD" w:rsidRDefault="000A15CA" w:rsidP="00E75523">
      <w:pPr>
        <w:pStyle w:val="ListParagraph"/>
        <w:widowControl w:val="0"/>
        <w:numPr>
          <w:ilvl w:val="0"/>
          <w:numId w:val="8"/>
        </w:numPr>
        <w:ind w:left="1276" w:hanging="567"/>
      </w:pPr>
      <w:bookmarkStart w:id="198" w:name="_DV_M119"/>
      <w:bookmarkEnd w:id="198"/>
      <w:r>
        <w:t>o</w:t>
      </w:r>
      <w:r w:rsidR="00C64FDD">
        <w:t>ffers to agree to pay to any person ha</w:t>
      </w:r>
      <w:bookmarkStart w:id="199" w:name="_DV_C34"/>
      <w:r w:rsidR="00C64FDD">
        <w:t xml:space="preserve">ving direct connection with the </w:t>
      </w:r>
      <w:bookmarkEnd w:id="199"/>
      <w:r w:rsidR="004C55F2">
        <w:t>procurement</w:t>
      </w:r>
      <w:r w:rsidR="00C64FDD">
        <w:t xml:space="preserve"> process or does pay or give any sum of money, inducement or valuable consideration, directly or indirectly, for doing or having done or causing or having caused to be done in relation to any other Applicant</w:t>
      </w:r>
      <w:r w:rsidR="00C52EA7">
        <w:t xml:space="preserve"> or any other person’s proposal</w:t>
      </w:r>
      <w:r>
        <w:t>, any act or omission</w:t>
      </w:r>
      <w:r w:rsidR="00A30688">
        <w:t>;</w:t>
      </w:r>
    </w:p>
    <w:p w14:paraId="58BF4AA8" w14:textId="77777777" w:rsidR="00C64FDD" w:rsidRDefault="00C64FDD" w:rsidP="00E75523">
      <w:pPr>
        <w:widowControl w:val="0"/>
        <w:ind w:left="709"/>
      </w:pPr>
      <w:bookmarkStart w:id="200" w:name="_DV_M121"/>
      <w:bookmarkEnd w:id="200"/>
      <w:r>
        <w:t>shall not be considered for acceptance and shall accordingly be rejected by the Authority provided always that such non-acceptance or rejection shall be without prejudice to any other civil remedies available to the Authority or any criminal liability which such conduct by a</w:t>
      </w:r>
      <w:r w:rsidR="00C925FE">
        <w:t>n</w:t>
      </w:r>
      <w:r>
        <w:t xml:space="preserve"> Applicant may attract.</w:t>
      </w:r>
    </w:p>
    <w:p w14:paraId="3D9FFE13" w14:textId="77777777" w:rsidR="00C64FDD" w:rsidRDefault="00C64FDD" w:rsidP="00E75523">
      <w:pPr>
        <w:pStyle w:val="Heading2"/>
        <w:widowControl w:val="0"/>
        <w:tabs>
          <w:tab w:val="num" w:pos="709"/>
        </w:tabs>
        <w:spacing w:before="240" w:after="240"/>
        <w:ind w:left="709" w:hanging="709"/>
      </w:pPr>
      <w:bookmarkStart w:id="201" w:name="_Toc448995832"/>
      <w:bookmarkStart w:id="202" w:name="_Toc530675240"/>
      <w:r>
        <w:t>Acceptance of Offers</w:t>
      </w:r>
      <w:bookmarkEnd w:id="201"/>
      <w:bookmarkEnd w:id="202"/>
      <w:r w:rsidR="00CC40F8">
        <w:t xml:space="preserve"> </w:t>
      </w:r>
    </w:p>
    <w:p w14:paraId="3DE30016" w14:textId="77777777" w:rsidR="00990B28" w:rsidRDefault="00990B28" w:rsidP="00E75523">
      <w:pPr>
        <w:widowControl w:val="0"/>
        <w:numPr>
          <w:ilvl w:val="2"/>
          <w:numId w:val="7"/>
        </w:numPr>
        <w:tabs>
          <w:tab w:val="clear" w:pos="720"/>
        </w:tabs>
        <w:spacing w:before="120" w:after="120"/>
        <w:outlineLvl w:val="2"/>
      </w:pPr>
      <w:r w:rsidRPr="00990B28">
        <w:t xml:space="preserve">The Authority does not bind itself to accept the lowest or any </w:t>
      </w:r>
      <w:r w:rsidR="00D8283D">
        <w:t>Bid</w:t>
      </w:r>
      <w:r w:rsidRPr="00990B28">
        <w:t xml:space="preserve">, and reserves the right to accept a </w:t>
      </w:r>
      <w:r w:rsidR="00D8283D">
        <w:t xml:space="preserve">Bid either in whole or in part, </w:t>
      </w:r>
      <w:r w:rsidRPr="00990B28">
        <w:t xml:space="preserve">or such item or items specified in the </w:t>
      </w:r>
      <w:r w:rsidR="002519CE">
        <w:t>procurement documents</w:t>
      </w:r>
      <w:r w:rsidRPr="00990B28">
        <w:t xml:space="preserve">, and for such place or places of delivery as it thinks fit, each item and establishment being for this purpose considered as </w:t>
      </w:r>
      <w:r w:rsidR="002519CE">
        <w:t>bid</w:t>
      </w:r>
      <w:r w:rsidR="00D8283D">
        <w:t xml:space="preserve"> for separately, or to make no award at all. </w:t>
      </w:r>
    </w:p>
    <w:p w14:paraId="48871605" w14:textId="21BA27B5" w:rsidR="00C64FDD" w:rsidRDefault="00C64FDD" w:rsidP="00E75523">
      <w:pPr>
        <w:pStyle w:val="Heading2"/>
        <w:widowControl w:val="0"/>
        <w:tabs>
          <w:tab w:val="num" w:pos="709"/>
        </w:tabs>
        <w:spacing w:before="240" w:after="240"/>
        <w:ind w:left="709" w:hanging="709"/>
      </w:pPr>
      <w:bookmarkStart w:id="203" w:name="_Toc448995833"/>
      <w:bookmarkStart w:id="204" w:name="_Toc530675241"/>
      <w:r>
        <w:t>Award of Contract</w:t>
      </w:r>
      <w:bookmarkEnd w:id="203"/>
      <w:bookmarkEnd w:id="204"/>
    </w:p>
    <w:p w14:paraId="0164A958" w14:textId="3FE69E8D" w:rsidR="00C64FDD" w:rsidRDefault="00E809C9" w:rsidP="00E75523">
      <w:pPr>
        <w:widowControl w:val="0"/>
        <w:numPr>
          <w:ilvl w:val="2"/>
          <w:numId w:val="7"/>
        </w:numPr>
        <w:tabs>
          <w:tab w:val="clear" w:pos="720"/>
        </w:tabs>
        <w:spacing w:before="120" w:after="120"/>
        <w:outlineLvl w:val="2"/>
      </w:pPr>
      <w:r>
        <w:t xml:space="preserve">Submitted documents </w:t>
      </w:r>
      <w:r w:rsidR="00C64FDD">
        <w:t xml:space="preserve">shall constitute an irrevocable offer to provide the </w:t>
      </w:r>
      <w:r w:rsidR="00C925FE" w:rsidRPr="00A30688">
        <w:t>Supplies</w:t>
      </w:r>
      <w:r w:rsidR="00CE7EDA" w:rsidRPr="00A30688">
        <w:t xml:space="preserve">/Works or Services. </w:t>
      </w:r>
      <w:r>
        <w:t xml:space="preserve">Any acceptance of it </w:t>
      </w:r>
      <w:r w:rsidR="00C64FDD">
        <w:t>by the Authority shall be communicated in writing to the Applicant. Upon such acceptance the Contract</w:t>
      </w:r>
      <w:r w:rsidR="0086783C">
        <w:t xml:space="preserve"> </w:t>
      </w:r>
      <w:r w:rsidR="00C64FDD">
        <w:t>shall become binding on all parties.</w:t>
      </w:r>
    </w:p>
    <w:p w14:paraId="0DC13B30" w14:textId="0D5D4FC2" w:rsidR="00C64FDD" w:rsidRDefault="00C64FDD" w:rsidP="00E75523">
      <w:pPr>
        <w:widowControl w:val="0"/>
        <w:numPr>
          <w:ilvl w:val="2"/>
          <w:numId w:val="7"/>
        </w:numPr>
        <w:tabs>
          <w:tab w:val="clear" w:pos="720"/>
        </w:tabs>
        <w:spacing w:before="120" w:after="120"/>
        <w:outlineLvl w:val="2"/>
      </w:pPr>
      <w:r>
        <w:t>The successful Applicant shall conclude a formal Contract</w:t>
      </w:r>
      <w:r w:rsidR="0086783C">
        <w:t xml:space="preserve"> </w:t>
      </w:r>
      <w:r>
        <w:t xml:space="preserve">with the </w:t>
      </w:r>
      <w:r w:rsidR="006111D6">
        <w:t>Authority</w:t>
      </w:r>
      <w:r>
        <w:t>, which shall embody the Applicant’s offer. No Applicant may consider itself successful unless and until a formal Contract has been signed by a Duly Authorised Officer of the Authority and co-signed by the Applicant’s Authorised Officer.</w:t>
      </w:r>
    </w:p>
    <w:p w14:paraId="490845FA" w14:textId="2AF2BFE0" w:rsidR="003C3369" w:rsidRDefault="00C64FDD" w:rsidP="00E75523">
      <w:pPr>
        <w:widowControl w:val="0"/>
        <w:numPr>
          <w:ilvl w:val="2"/>
          <w:numId w:val="7"/>
        </w:numPr>
        <w:tabs>
          <w:tab w:val="clear" w:pos="720"/>
        </w:tabs>
        <w:spacing w:before="120" w:after="120"/>
        <w:outlineLvl w:val="2"/>
      </w:pPr>
      <w:bookmarkStart w:id="205" w:name="_DV_C86"/>
      <w:r>
        <w:t xml:space="preserve">The </w:t>
      </w:r>
      <w:bookmarkEnd w:id="205"/>
      <w:r w:rsidR="00E809C9">
        <w:t xml:space="preserve">offer </w:t>
      </w:r>
      <w:r>
        <w:t xml:space="preserve">shall remain open for acceptance for a period of </w:t>
      </w:r>
      <w:r w:rsidR="00A27EBC">
        <w:t xml:space="preserve">six </w:t>
      </w:r>
      <w:r w:rsidR="000E6A8D">
        <w:t>(</w:t>
      </w:r>
      <w:r w:rsidR="00A27EBC">
        <w:t>6</w:t>
      </w:r>
      <w:r>
        <w:t xml:space="preserve">) months from the closing date for the receipt of </w:t>
      </w:r>
      <w:bookmarkStart w:id="206" w:name="_DV_M143"/>
      <w:bookmarkEnd w:id="206"/>
      <w:r w:rsidR="00A27EBC">
        <w:t>s</w:t>
      </w:r>
      <w:r w:rsidR="006A08EF">
        <w:t>ubmi</w:t>
      </w:r>
      <w:r w:rsidR="000B23F9">
        <w:t xml:space="preserve">ssion. </w:t>
      </w:r>
    </w:p>
    <w:p w14:paraId="3DB7BD5B" w14:textId="4CE822C0" w:rsidR="009940CC" w:rsidRDefault="009940CC" w:rsidP="00E75523">
      <w:pPr>
        <w:widowControl w:val="0"/>
        <w:spacing w:after="0" w:line="240" w:lineRule="auto"/>
      </w:pPr>
    </w:p>
    <w:p w14:paraId="0089FFAA" w14:textId="4921BD0D" w:rsidR="009940CC" w:rsidRDefault="009940CC" w:rsidP="00CC54C5">
      <w:pPr>
        <w:spacing w:after="0" w:line="240" w:lineRule="auto"/>
      </w:pPr>
    </w:p>
    <w:p w14:paraId="2E5E8094" w14:textId="7A777F6F" w:rsidR="009940CC" w:rsidRDefault="009940CC" w:rsidP="00CC54C5">
      <w:pPr>
        <w:spacing w:after="0" w:line="240" w:lineRule="auto"/>
      </w:pPr>
    </w:p>
    <w:p w14:paraId="5560C513" w14:textId="7C755E90" w:rsidR="009940CC" w:rsidRDefault="009940CC" w:rsidP="00CC54C5">
      <w:pPr>
        <w:spacing w:after="0" w:line="240" w:lineRule="auto"/>
      </w:pPr>
    </w:p>
    <w:p w14:paraId="3BB626E7" w14:textId="4CF47E5D" w:rsidR="009940CC" w:rsidRDefault="00D5712D" w:rsidP="00CC54C5">
      <w:pPr>
        <w:spacing w:after="0" w:line="240" w:lineRule="auto"/>
      </w:pPr>
      <w:r>
        <w:br w:type="page"/>
      </w:r>
    </w:p>
    <w:p w14:paraId="449D39B6" w14:textId="4944D91E" w:rsidR="00A30688" w:rsidRPr="002D6163" w:rsidRDefault="00A30688" w:rsidP="00A30688">
      <w:pPr>
        <w:pStyle w:val="Heading2"/>
        <w:numPr>
          <w:ilvl w:val="0"/>
          <w:numId w:val="0"/>
        </w:numPr>
        <w:spacing w:after="240"/>
        <w:ind w:left="3697" w:hanging="3697"/>
        <w:rPr>
          <w:u w:val="single"/>
        </w:rPr>
      </w:pPr>
      <w:bookmarkStart w:id="207" w:name="_Toc530675242"/>
      <w:r>
        <w:rPr>
          <w:u w:val="single"/>
        </w:rPr>
        <w:lastRenderedPageBreak/>
        <w:t>Definitions</w:t>
      </w:r>
      <w:bookmarkEnd w:id="207"/>
    </w:p>
    <w:tbl>
      <w:tblPr>
        <w:tblW w:w="9747" w:type="dxa"/>
        <w:jc w:val="center"/>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000" w:firstRow="0" w:lastRow="0" w:firstColumn="0" w:lastColumn="0" w:noHBand="0" w:noVBand="0"/>
      </w:tblPr>
      <w:tblGrid>
        <w:gridCol w:w="2684"/>
        <w:gridCol w:w="7063"/>
      </w:tblGrid>
      <w:tr w:rsidR="0031451E" w:rsidRPr="0031451E" w14:paraId="44E6E384" w14:textId="77777777" w:rsidTr="00EC4FF9">
        <w:trPr>
          <w:jc w:val="center"/>
        </w:trPr>
        <w:tc>
          <w:tcPr>
            <w:tcW w:w="2684" w:type="dxa"/>
          </w:tcPr>
          <w:p w14:paraId="42DCA9AF"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Ad hoc Service Requests</w:t>
            </w:r>
          </w:p>
        </w:tc>
        <w:tc>
          <w:tcPr>
            <w:tcW w:w="7063" w:type="dxa"/>
          </w:tcPr>
          <w:p w14:paraId="26667D6F"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requests from the Authority for additional Services beyond the scope of the Core Services as detailed in the specification and associated Schedules.</w:t>
            </w:r>
          </w:p>
        </w:tc>
      </w:tr>
      <w:tr w:rsidR="0031451E" w:rsidRPr="0031451E" w14:paraId="22C7A0F6" w14:textId="77777777" w:rsidTr="00EC4FF9">
        <w:trPr>
          <w:jc w:val="center"/>
        </w:trPr>
        <w:tc>
          <w:tcPr>
            <w:tcW w:w="2684" w:type="dxa"/>
            <w:vAlign w:val="center"/>
          </w:tcPr>
          <w:p w14:paraId="68B310C6"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Applicant</w:t>
            </w:r>
          </w:p>
        </w:tc>
        <w:tc>
          <w:tcPr>
            <w:tcW w:w="7063" w:type="dxa"/>
            <w:vAlign w:val="center"/>
          </w:tcPr>
          <w:p w14:paraId="38976342"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organisation responding to the procurement through the procurement process</w:t>
            </w:r>
          </w:p>
        </w:tc>
      </w:tr>
      <w:tr w:rsidR="0031451E" w:rsidRPr="0031451E" w14:paraId="739B05F2" w14:textId="77777777" w:rsidTr="00EC4FF9">
        <w:trPr>
          <w:jc w:val="center"/>
        </w:trPr>
        <w:tc>
          <w:tcPr>
            <w:tcW w:w="2684" w:type="dxa"/>
            <w:vAlign w:val="center"/>
          </w:tcPr>
          <w:p w14:paraId="5F76C9DE"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Authority</w:t>
            </w:r>
          </w:p>
        </w:tc>
        <w:tc>
          <w:tcPr>
            <w:tcW w:w="7063" w:type="dxa"/>
            <w:vAlign w:val="center"/>
          </w:tcPr>
          <w:p w14:paraId="6B2B34F2"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organisation preparing the procurement documents and/or the organisation for whom the resultant Contract will be performed</w:t>
            </w:r>
          </w:p>
        </w:tc>
      </w:tr>
      <w:tr w:rsidR="0031451E" w:rsidRPr="0031451E" w14:paraId="56A0E17C" w14:textId="77777777" w:rsidTr="00EC4FF9">
        <w:trPr>
          <w:jc w:val="center"/>
        </w:trPr>
        <w:tc>
          <w:tcPr>
            <w:tcW w:w="2684" w:type="dxa"/>
          </w:tcPr>
          <w:p w14:paraId="1D40139F"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Authorised Operatives / Contractor’s Operatives</w:t>
            </w:r>
          </w:p>
        </w:tc>
        <w:tc>
          <w:tcPr>
            <w:tcW w:w="7063" w:type="dxa"/>
          </w:tcPr>
          <w:p w14:paraId="3E3D743B"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appointed person(s) duly authorised by the Appointed Contractor eligible to undertake duties in connection with delivery of the Contract.</w:t>
            </w:r>
          </w:p>
        </w:tc>
      </w:tr>
      <w:tr w:rsidR="0031451E" w:rsidRPr="0031451E" w14:paraId="58392704" w14:textId="77777777" w:rsidTr="00EC4FF9">
        <w:trPr>
          <w:jc w:val="center"/>
        </w:trPr>
        <w:tc>
          <w:tcPr>
            <w:tcW w:w="2684" w:type="dxa"/>
          </w:tcPr>
          <w:p w14:paraId="74F73B05"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Authorised Personnel (Council)</w:t>
            </w:r>
          </w:p>
        </w:tc>
        <w:tc>
          <w:tcPr>
            <w:tcW w:w="7063" w:type="dxa"/>
          </w:tcPr>
          <w:p w14:paraId="4BA01B03"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appointed person(s) of the Council eligible to make necessary formal instructions in connection with the delivery of the Contract.</w:t>
            </w:r>
          </w:p>
        </w:tc>
      </w:tr>
      <w:tr w:rsidR="0031451E" w:rsidRPr="0031451E" w14:paraId="42651542" w14:textId="77777777" w:rsidTr="00EC4FF9">
        <w:trPr>
          <w:jc w:val="center"/>
        </w:trPr>
        <w:tc>
          <w:tcPr>
            <w:tcW w:w="2684" w:type="dxa"/>
            <w:vAlign w:val="center"/>
          </w:tcPr>
          <w:p w14:paraId="239AB7FF"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Authority Authorised Representative</w:t>
            </w:r>
          </w:p>
        </w:tc>
        <w:tc>
          <w:tcPr>
            <w:tcW w:w="7063" w:type="dxa"/>
            <w:vAlign w:val="center"/>
          </w:tcPr>
          <w:p w14:paraId="01916890"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main client Officer for the procurement process and/or resultant Contract</w:t>
            </w:r>
          </w:p>
        </w:tc>
      </w:tr>
      <w:tr w:rsidR="0031451E" w:rsidRPr="0031451E" w14:paraId="04750591" w14:textId="77777777" w:rsidTr="00EC4FF9">
        <w:trPr>
          <w:jc w:val="center"/>
        </w:trPr>
        <w:tc>
          <w:tcPr>
            <w:tcW w:w="2684" w:type="dxa"/>
            <w:vAlign w:val="center"/>
          </w:tcPr>
          <w:p w14:paraId="3AED609E"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Award</w:t>
            </w:r>
          </w:p>
        </w:tc>
        <w:tc>
          <w:tcPr>
            <w:tcW w:w="7063" w:type="dxa"/>
            <w:vAlign w:val="center"/>
          </w:tcPr>
          <w:p w14:paraId="3FA051F5"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process by which the Authority shall determine to whom the Contract will be awarded in accordance with the criteria listed at Regulation 67 of the Public Contracts Regulations 2015</w:t>
            </w:r>
          </w:p>
        </w:tc>
      </w:tr>
      <w:tr w:rsidR="0031451E" w:rsidRPr="0031451E" w14:paraId="7F8335B3" w14:textId="77777777" w:rsidTr="00EC4FF9">
        <w:trPr>
          <w:jc w:val="center"/>
        </w:trPr>
        <w:tc>
          <w:tcPr>
            <w:tcW w:w="2684" w:type="dxa"/>
            <w:vAlign w:val="center"/>
          </w:tcPr>
          <w:p w14:paraId="18632BD3"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Awarding Authority</w:t>
            </w:r>
          </w:p>
        </w:tc>
        <w:tc>
          <w:tcPr>
            <w:tcW w:w="7063" w:type="dxa"/>
            <w:vAlign w:val="center"/>
          </w:tcPr>
          <w:p w14:paraId="2F94EE35"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organisation for whom the resultant Contract will be performed; this may be a different organisation than is referred to under Authority (in instances where the Authority is procuring a Contract on behalf of another organisation, for example)</w:t>
            </w:r>
          </w:p>
        </w:tc>
      </w:tr>
      <w:tr w:rsidR="0031451E" w:rsidRPr="0031451E" w14:paraId="301661FE" w14:textId="77777777" w:rsidTr="00EC4FF9">
        <w:trPr>
          <w:jc w:val="center"/>
        </w:trPr>
        <w:tc>
          <w:tcPr>
            <w:tcW w:w="2684" w:type="dxa"/>
            <w:vAlign w:val="center"/>
          </w:tcPr>
          <w:p w14:paraId="67B01B0C"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Bid / Tender</w:t>
            </w:r>
          </w:p>
        </w:tc>
        <w:tc>
          <w:tcPr>
            <w:tcW w:w="7063" w:type="dxa"/>
            <w:vAlign w:val="center"/>
          </w:tcPr>
          <w:p w14:paraId="6A0A817C"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Applicant’s offer to the Authority, which shall be submitted as the completed procurement documents</w:t>
            </w:r>
          </w:p>
        </w:tc>
      </w:tr>
      <w:tr w:rsidR="0031451E" w:rsidRPr="0031451E" w14:paraId="21814EFB" w14:textId="77777777" w:rsidTr="00EC4FF9">
        <w:trPr>
          <w:jc w:val="center"/>
        </w:trPr>
        <w:tc>
          <w:tcPr>
            <w:tcW w:w="2684" w:type="dxa"/>
            <w:vAlign w:val="center"/>
          </w:tcPr>
          <w:p w14:paraId="3448C5E0"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Call-Off Contract</w:t>
            </w:r>
          </w:p>
        </w:tc>
        <w:tc>
          <w:tcPr>
            <w:tcW w:w="7063" w:type="dxa"/>
            <w:vAlign w:val="center"/>
          </w:tcPr>
          <w:p w14:paraId="66DC038E"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 Contract awarded under a Framework Agreement</w:t>
            </w:r>
          </w:p>
        </w:tc>
      </w:tr>
      <w:tr w:rsidR="0031451E" w:rsidRPr="0031451E" w14:paraId="7059CAE9" w14:textId="77777777" w:rsidTr="00EC4FF9">
        <w:trPr>
          <w:jc w:val="center"/>
        </w:trPr>
        <w:tc>
          <w:tcPr>
            <w:tcW w:w="2684" w:type="dxa"/>
            <w:vAlign w:val="center"/>
          </w:tcPr>
          <w:p w14:paraId="78BFB857"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Clarification</w:t>
            </w:r>
          </w:p>
        </w:tc>
        <w:tc>
          <w:tcPr>
            <w:tcW w:w="7063" w:type="dxa"/>
            <w:vAlign w:val="center"/>
          </w:tcPr>
          <w:p w14:paraId="6E0FD48B"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process by which queries on the Authority’s procurement document are raised by the Applicants and the process by which queries on the Applicant’s Bid are raised by the Authority</w:t>
            </w:r>
          </w:p>
        </w:tc>
      </w:tr>
      <w:tr w:rsidR="0031451E" w:rsidRPr="0031451E" w14:paraId="4832F38C" w14:textId="77777777" w:rsidTr="00EC4FF9">
        <w:trPr>
          <w:jc w:val="center"/>
        </w:trPr>
        <w:tc>
          <w:tcPr>
            <w:tcW w:w="2684" w:type="dxa"/>
            <w:vAlign w:val="center"/>
          </w:tcPr>
          <w:p w14:paraId="3FCA3492"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Commercially Sensitive information</w:t>
            </w:r>
          </w:p>
        </w:tc>
        <w:tc>
          <w:tcPr>
            <w:tcW w:w="7063" w:type="dxa"/>
            <w:vAlign w:val="center"/>
          </w:tcPr>
          <w:p w14:paraId="4B4F9C7B"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information listed by an Applicant within its Bid at Volume Two (2) Applicant’s Offer and Price Schedule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31451E" w:rsidRPr="0031451E" w14:paraId="35C69F95" w14:textId="77777777" w:rsidTr="00EC4FF9">
        <w:trPr>
          <w:jc w:val="center"/>
        </w:trPr>
        <w:tc>
          <w:tcPr>
            <w:tcW w:w="2684" w:type="dxa"/>
            <w:vAlign w:val="center"/>
          </w:tcPr>
          <w:p w14:paraId="65B62C08"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Consortia / Consortium</w:t>
            </w:r>
          </w:p>
        </w:tc>
        <w:tc>
          <w:tcPr>
            <w:tcW w:w="7063" w:type="dxa"/>
            <w:vAlign w:val="center"/>
          </w:tcPr>
          <w:p w14:paraId="18C41782"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information listed by an Applicant within its Bid at Volume Two (2) Applicant’s Offer / Appendix A and Price Schedule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31451E" w:rsidRPr="0031451E" w14:paraId="310A0753" w14:textId="77777777" w:rsidTr="00EC4FF9">
        <w:trPr>
          <w:jc w:val="center"/>
        </w:trPr>
        <w:tc>
          <w:tcPr>
            <w:tcW w:w="2684" w:type="dxa"/>
            <w:vAlign w:val="center"/>
          </w:tcPr>
          <w:p w14:paraId="1FE4EA4D"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Contract</w:t>
            </w:r>
          </w:p>
        </w:tc>
        <w:tc>
          <w:tcPr>
            <w:tcW w:w="7063" w:type="dxa"/>
            <w:vAlign w:val="center"/>
          </w:tcPr>
          <w:p w14:paraId="2BFD5747"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 formal and legally binding agreement entered in to between two or more parties to provide Supplies, Services or Works in return for financial remuneration including all documents to which reference may properly be made in order to ascertain the rights and obligations of all the parties involved</w:t>
            </w:r>
          </w:p>
        </w:tc>
      </w:tr>
      <w:tr w:rsidR="0031451E" w:rsidRPr="0031451E" w14:paraId="1A47E7EE" w14:textId="77777777" w:rsidTr="00EC4FF9">
        <w:trPr>
          <w:jc w:val="center"/>
        </w:trPr>
        <w:tc>
          <w:tcPr>
            <w:tcW w:w="2684" w:type="dxa"/>
            <w:vAlign w:val="center"/>
          </w:tcPr>
          <w:p w14:paraId="68C7CE65"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Contract Notice</w:t>
            </w:r>
          </w:p>
        </w:tc>
        <w:tc>
          <w:tcPr>
            <w:tcW w:w="7063" w:type="dxa"/>
            <w:vAlign w:val="center"/>
          </w:tcPr>
          <w:p w14:paraId="5445F153"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publication in the OJEU of an Authority’s intention to procure a public supplies, services, or works Contract</w:t>
            </w:r>
          </w:p>
        </w:tc>
      </w:tr>
      <w:tr w:rsidR="0031451E" w:rsidRPr="0031451E" w14:paraId="7E43AC62" w14:textId="77777777" w:rsidTr="00EC4FF9">
        <w:trPr>
          <w:jc w:val="center"/>
        </w:trPr>
        <w:tc>
          <w:tcPr>
            <w:tcW w:w="2684" w:type="dxa"/>
            <w:vAlign w:val="center"/>
          </w:tcPr>
          <w:p w14:paraId="539942B7"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Contracting Authority</w:t>
            </w:r>
          </w:p>
        </w:tc>
        <w:tc>
          <w:tcPr>
            <w:tcW w:w="7063" w:type="dxa"/>
            <w:vAlign w:val="center"/>
          </w:tcPr>
          <w:p w14:paraId="39A15B98"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Authority and any other organisation on whose behalf the Authority may be working</w:t>
            </w:r>
          </w:p>
        </w:tc>
      </w:tr>
      <w:tr w:rsidR="0031451E" w:rsidRPr="0031451E" w14:paraId="5DCFE9D4" w14:textId="77777777" w:rsidTr="00EC4FF9">
        <w:trPr>
          <w:jc w:val="center"/>
        </w:trPr>
        <w:tc>
          <w:tcPr>
            <w:tcW w:w="2684" w:type="dxa"/>
            <w:vAlign w:val="center"/>
          </w:tcPr>
          <w:p w14:paraId="05392776"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Contractor</w:t>
            </w:r>
          </w:p>
        </w:tc>
        <w:tc>
          <w:tcPr>
            <w:tcW w:w="7063" w:type="dxa"/>
            <w:vAlign w:val="center"/>
          </w:tcPr>
          <w:p w14:paraId="7CAB9715"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Applicant awarded the Contract culminating from an offer to supply accepted by this Authority</w:t>
            </w:r>
          </w:p>
        </w:tc>
      </w:tr>
      <w:tr w:rsidR="0031451E" w:rsidRPr="0031451E" w14:paraId="62EE7982" w14:textId="77777777" w:rsidTr="00EC4FF9">
        <w:trPr>
          <w:jc w:val="center"/>
        </w:trPr>
        <w:tc>
          <w:tcPr>
            <w:tcW w:w="2684" w:type="dxa"/>
            <w:vAlign w:val="center"/>
          </w:tcPr>
          <w:p w14:paraId="0C4A44C2"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Core Services</w:t>
            </w:r>
          </w:p>
        </w:tc>
        <w:tc>
          <w:tcPr>
            <w:tcW w:w="7063" w:type="dxa"/>
            <w:vAlign w:val="center"/>
          </w:tcPr>
          <w:p w14:paraId="183C78AE"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main defined Services forming the delivery and fulfilment of the Contract, as set out in the Specification and associated Schedules.</w:t>
            </w:r>
          </w:p>
        </w:tc>
      </w:tr>
      <w:tr w:rsidR="0031451E" w:rsidRPr="0031451E" w14:paraId="6696BDB3" w14:textId="77777777" w:rsidTr="00EC4FF9">
        <w:trPr>
          <w:jc w:val="center"/>
        </w:trPr>
        <w:tc>
          <w:tcPr>
            <w:tcW w:w="2684" w:type="dxa"/>
            <w:vAlign w:val="center"/>
          </w:tcPr>
          <w:p w14:paraId="71B8694F"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Council</w:t>
            </w:r>
          </w:p>
        </w:tc>
        <w:tc>
          <w:tcPr>
            <w:tcW w:w="7063" w:type="dxa"/>
            <w:vAlign w:val="center"/>
          </w:tcPr>
          <w:p w14:paraId="4AACE9EB"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As Authority</w:t>
            </w:r>
          </w:p>
        </w:tc>
      </w:tr>
      <w:tr w:rsidR="0031451E" w:rsidRPr="0031451E" w14:paraId="15CA4EEF" w14:textId="77777777" w:rsidTr="00EC4FF9">
        <w:trPr>
          <w:jc w:val="center"/>
        </w:trPr>
        <w:tc>
          <w:tcPr>
            <w:tcW w:w="2684" w:type="dxa"/>
            <w:vAlign w:val="center"/>
          </w:tcPr>
          <w:p w14:paraId="3FF87A5B"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DPA 2018</w:t>
            </w:r>
          </w:p>
        </w:tc>
        <w:tc>
          <w:tcPr>
            <w:tcW w:w="7063" w:type="dxa"/>
            <w:vAlign w:val="center"/>
          </w:tcPr>
          <w:p w14:paraId="3A7AD857"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Data Protection Act 2018</w:t>
            </w:r>
          </w:p>
        </w:tc>
      </w:tr>
      <w:tr w:rsidR="0031451E" w:rsidRPr="0031451E" w14:paraId="6ABFC2F6" w14:textId="77777777" w:rsidTr="00EC4FF9">
        <w:trPr>
          <w:jc w:val="center"/>
        </w:trPr>
        <w:tc>
          <w:tcPr>
            <w:tcW w:w="2684" w:type="dxa"/>
            <w:vAlign w:val="center"/>
          </w:tcPr>
          <w:p w14:paraId="0D42EBB0"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Data Protection Legislation</w:t>
            </w:r>
          </w:p>
        </w:tc>
        <w:tc>
          <w:tcPr>
            <w:tcW w:w="7063" w:type="dxa"/>
            <w:vAlign w:val="center"/>
          </w:tcPr>
          <w:p w14:paraId="5B586FA4"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w:t>
            </w:r>
            <w:proofErr w:type="spellStart"/>
            <w:r w:rsidRPr="0031451E">
              <w:rPr>
                <w:rFonts w:cs="Arial"/>
                <w:sz w:val="20"/>
                <w:szCs w:val="20"/>
              </w:rPr>
              <w:t>i</w:t>
            </w:r>
            <w:proofErr w:type="spellEnd"/>
            <w:r w:rsidRPr="0031451E">
              <w:rPr>
                <w:rFonts w:cs="Arial"/>
                <w:sz w:val="20"/>
                <w:szCs w:val="20"/>
              </w:rPr>
              <w:t>) the GDPR, the LED and any applicable national implementing Laws as amended from time to time (ii) the DPA 2018 to the extent that it relates to processing of personal data and privacy; (</w:t>
            </w:r>
            <w:proofErr w:type="spellStart"/>
            <w:r w:rsidRPr="0031451E">
              <w:rPr>
                <w:rFonts w:cs="Arial"/>
                <w:sz w:val="20"/>
                <w:szCs w:val="20"/>
              </w:rPr>
              <w:t>iiii</w:t>
            </w:r>
            <w:proofErr w:type="spellEnd"/>
            <w:r w:rsidRPr="0031451E">
              <w:rPr>
                <w:rFonts w:cs="Arial"/>
                <w:sz w:val="20"/>
                <w:szCs w:val="20"/>
              </w:rPr>
              <w:t>) all applicable Law about the processing of personal data and privacy;</w:t>
            </w:r>
          </w:p>
        </w:tc>
      </w:tr>
      <w:tr w:rsidR="0031451E" w:rsidRPr="0031451E" w14:paraId="46933C95" w14:textId="77777777" w:rsidTr="00EC4FF9">
        <w:trPr>
          <w:jc w:val="center"/>
        </w:trPr>
        <w:tc>
          <w:tcPr>
            <w:tcW w:w="2684" w:type="dxa"/>
          </w:tcPr>
          <w:p w14:paraId="59A75625"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lastRenderedPageBreak/>
              <w:t>Default / Default Notice</w:t>
            </w:r>
          </w:p>
        </w:tc>
        <w:tc>
          <w:tcPr>
            <w:tcW w:w="7063" w:type="dxa"/>
          </w:tcPr>
          <w:p w14:paraId="03A0B02C"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sz w:val="20"/>
                <w:szCs w:val="20"/>
              </w:rPr>
              <w:t>Shall mean a failure to perform as set out against the Key Performance Indicators within this Contract and the associated Notice issued to the Contractor outlining the default and corrective actions required to rectify.</w:t>
            </w:r>
          </w:p>
        </w:tc>
      </w:tr>
      <w:tr w:rsidR="0031451E" w:rsidRPr="0031451E" w14:paraId="793C47F1" w14:textId="77777777" w:rsidTr="00EC4FF9">
        <w:trPr>
          <w:jc w:val="center"/>
        </w:trPr>
        <w:tc>
          <w:tcPr>
            <w:tcW w:w="2684" w:type="dxa"/>
          </w:tcPr>
          <w:p w14:paraId="19880D9A"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Defects</w:t>
            </w:r>
          </w:p>
        </w:tc>
        <w:tc>
          <w:tcPr>
            <w:tcW w:w="7063" w:type="dxa"/>
          </w:tcPr>
          <w:p w14:paraId="137E8EE3"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Defects to surfaces and object which the Contractor is responsible for cleaning which either impair the Contractor from undertaking the required tasks, and / or form a hazard to health of wider safety of Operatives and users of the premises.</w:t>
            </w:r>
          </w:p>
        </w:tc>
      </w:tr>
      <w:tr w:rsidR="0031451E" w:rsidRPr="0031451E" w14:paraId="76D56DDC" w14:textId="77777777" w:rsidTr="00EC4FF9">
        <w:trPr>
          <w:jc w:val="center"/>
        </w:trPr>
        <w:tc>
          <w:tcPr>
            <w:tcW w:w="2684" w:type="dxa"/>
            <w:vAlign w:val="center"/>
          </w:tcPr>
          <w:p w14:paraId="18A0F292"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Disclosure and Barring Service (DBS) check</w:t>
            </w:r>
          </w:p>
        </w:tc>
        <w:tc>
          <w:tcPr>
            <w:tcW w:w="7063" w:type="dxa"/>
            <w:vAlign w:val="center"/>
          </w:tcPr>
          <w:p w14:paraId="718694FE"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organisation formed on 01 December 2012 from the merger of the Criminal Records Bureau and Independent Safeguarding Authority.  Further information can be found at the following:</w:t>
            </w:r>
          </w:p>
          <w:p w14:paraId="530EB8D4" w14:textId="77777777" w:rsidR="0031451E" w:rsidRPr="0031451E" w:rsidRDefault="00F956B4" w:rsidP="0031451E">
            <w:pPr>
              <w:tabs>
                <w:tab w:val="left" w:pos="709"/>
              </w:tabs>
              <w:spacing w:before="100" w:beforeAutospacing="1" w:after="100" w:afterAutospacing="1" w:line="240" w:lineRule="auto"/>
              <w:rPr>
                <w:rFonts w:cs="Arial"/>
                <w:sz w:val="20"/>
                <w:szCs w:val="20"/>
              </w:rPr>
            </w:pPr>
            <w:hyperlink r:id="rId17" w:history="1">
              <w:r w:rsidR="0031451E" w:rsidRPr="0031451E">
                <w:rPr>
                  <w:rFonts w:cs="Arial"/>
                  <w:sz w:val="20"/>
                  <w:szCs w:val="20"/>
                </w:rPr>
                <w:t>www.homeoffice.gov.uk/dbs</w:t>
              </w:r>
            </w:hyperlink>
            <w:r w:rsidR="0031451E" w:rsidRPr="0031451E">
              <w:rPr>
                <w:rFonts w:cs="Arial"/>
                <w:sz w:val="20"/>
                <w:szCs w:val="20"/>
              </w:rPr>
              <w:t xml:space="preserve"> </w:t>
            </w:r>
          </w:p>
        </w:tc>
      </w:tr>
      <w:tr w:rsidR="0031451E" w:rsidRPr="0031451E" w14:paraId="1BF4CD5D" w14:textId="77777777" w:rsidTr="00EC4FF9">
        <w:trPr>
          <w:jc w:val="center"/>
        </w:trPr>
        <w:tc>
          <w:tcPr>
            <w:tcW w:w="2684" w:type="dxa"/>
            <w:vAlign w:val="center"/>
          </w:tcPr>
          <w:p w14:paraId="74E490BF"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Eligible User</w:t>
            </w:r>
          </w:p>
        </w:tc>
        <w:tc>
          <w:tcPr>
            <w:tcW w:w="7063" w:type="dxa"/>
            <w:vAlign w:val="center"/>
          </w:tcPr>
          <w:p w14:paraId="7F91EB17"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any organisation given access to a Contract as a result of the procurement process and on whose behalf the Authority may be establishing the arrangements</w:t>
            </w:r>
          </w:p>
        </w:tc>
      </w:tr>
      <w:tr w:rsidR="0031451E" w:rsidRPr="0031451E" w14:paraId="775B2EFF" w14:textId="77777777" w:rsidTr="00EC4FF9">
        <w:trPr>
          <w:jc w:val="center"/>
        </w:trPr>
        <w:tc>
          <w:tcPr>
            <w:tcW w:w="2684" w:type="dxa"/>
            <w:vAlign w:val="center"/>
          </w:tcPr>
          <w:p w14:paraId="197733F1"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Employers’ Liability (Compulsory Insurance)</w:t>
            </w:r>
          </w:p>
        </w:tc>
        <w:tc>
          <w:tcPr>
            <w:tcW w:w="7063" w:type="dxa"/>
            <w:vAlign w:val="center"/>
          </w:tcPr>
          <w:p w14:paraId="0D105F26" w14:textId="77777777" w:rsidR="0031451E" w:rsidRPr="0031451E" w:rsidRDefault="0031451E" w:rsidP="0031451E">
            <w:pPr>
              <w:tabs>
                <w:tab w:val="left" w:pos="709"/>
              </w:tabs>
              <w:spacing w:after="120" w:line="240" w:lineRule="auto"/>
              <w:rPr>
                <w:rFonts w:cs="Arial"/>
                <w:sz w:val="20"/>
                <w:szCs w:val="20"/>
              </w:rPr>
            </w:pPr>
            <w:r w:rsidRPr="0031451E">
              <w:rPr>
                <w:rFonts w:cs="Arial"/>
                <w:sz w:val="20"/>
                <w:szCs w:val="20"/>
              </w:rPr>
              <w:t>Shall mean an insurance that enables organisations to meet the costs of damages and legal fees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481EE9EE" w14:textId="77777777" w:rsidR="0031451E" w:rsidRPr="0031451E" w:rsidRDefault="0031451E" w:rsidP="0031451E">
            <w:pPr>
              <w:tabs>
                <w:tab w:val="left" w:pos="709"/>
              </w:tabs>
              <w:spacing w:after="120" w:line="240" w:lineRule="auto"/>
              <w:rPr>
                <w:rFonts w:cs="Arial"/>
                <w:sz w:val="20"/>
                <w:szCs w:val="20"/>
              </w:rPr>
            </w:pPr>
            <w:r w:rsidRPr="0031451E">
              <w:rPr>
                <w:rFonts w:cs="Arial"/>
                <w:sz w:val="20"/>
                <w:szCs w:val="20"/>
              </w:rPr>
              <w:t>By law, an employer must have EL insurance and be insured for at least £5 million. Most insurers automatically provide cover of at least £10 million. The insurance must cover all the organisation’s employees in England, Scotland, Wales and Northern Ireland.</w:t>
            </w:r>
          </w:p>
          <w:p w14:paraId="650120FB" w14:textId="77777777" w:rsidR="0031451E" w:rsidRPr="0031451E" w:rsidRDefault="0031451E" w:rsidP="0031451E">
            <w:pPr>
              <w:tabs>
                <w:tab w:val="left" w:pos="709"/>
              </w:tabs>
              <w:spacing w:after="120" w:line="240" w:lineRule="auto"/>
              <w:rPr>
                <w:rFonts w:cs="Arial"/>
                <w:sz w:val="20"/>
                <w:szCs w:val="20"/>
              </w:rPr>
            </w:pPr>
            <w:r w:rsidRPr="0031451E">
              <w:rPr>
                <w:rFonts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31451E" w:rsidRPr="0031451E" w14:paraId="364D5F59" w14:textId="77777777" w:rsidTr="00EC4FF9">
        <w:trPr>
          <w:jc w:val="center"/>
        </w:trPr>
        <w:tc>
          <w:tcPr>
            <w:tcW w:w="2684" w:type="dxa"/>
            <w:vAlign w:val="center"/>
          </w:tcPr>
          <w:p w14:paraId="0026E979"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Evaluation</w:t>
            </w:r>
          </w:p>
        </w:tc>
        <w:tc>
          <w:tcPr>
            <w:tcW w:w="7063" w:type="dxa"/>
            <w:vAlign w:val="center"/>
          </w:tcPr>
          <w:p w14:paraId="6FD76BBF"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process through which the Applicant’s Bid is reviewed in accordance with the Evaluation Criteria, following which a decision to award a Contract is made</w:t>
            </w:r>
          </w:p>
        </w:tc>
      </w:tr>
      <w:tr w:rsidR="0031451E" w:rsidRPr="0031451E" w14:paraId="308C7301" w14:textId="77777777" w:rsidTr="00EC4FF9">
        <w:trPr>
          <w:jc w:val="center"/>
        </w:trPr>
        <w:tc>
          <w:tcPr>
            <w:tcW w:w="2684" w:type="dxa"/>
            <w:vAlign w:val="center"/>
          </w:tcPr>
          <w:p w14:paraId="514F9CD7"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Evaluation Criteria</w:t>
            </w:r>
          </w:p>
        </w:tc>
        <w:tc>
          <w:tcPr>
            <w:tcW w:w="7063" w:type="dxa"/>
            <w:vAlign w:val="center"/>
          </w:tcPr>
          <w:p w14:paraId="7640D731"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The means by which the Authority will Evaluate an Applicant’s Bid, to include all of the issues that must be considered so as to be able to judge the suitability of an Applicant’s Bid</w:t>
            </w:r>
          </w:p>
        </w:tc>
      </w:tr>
      <w:tr w:rsidR="0031451E" w:rsidRPr="0031451E" w14:paraId="46DDAC83" w14:textId="77777777" w:rsidTr="00EC4FF9">
        <w:trPr>
          <w:jc w:val="center"/>
        </w:trPr>
        <w:tc>
          <w:tcPr>
            <w:tcW w:w="2684" w:type="dxa"/>
            <w:vAlign w:val="center"/>
          </w:tcPr>
          <w:p w14:paraId="1724BF1D"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Framework Agreement</w:t>
            </w:r>
          </w:p>
        </w:tc>
        <w:tc>
          <w:tcPr>
            <w:tcW w:w="7063" w:type="dxa"/>
            <w:vAlign w:val="center"/>
          </w:tcPr>
          <w:p w14:paraId="77C47587"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an agreement or other arrangement between one or more contracting authorities and one or more economic operators which establishes the terms (in particular the terms as to price and, where appropriate, quantity) under which the economic operator will enter into one or more contracts with a contracting authority in the period during which the framework agreement applies</w:t>
            </w:r>
          </w:p>
        </w:tc>
      </w:tr>
      <w:tr w:rsidR="0031451E" w:rsidRPr="0031451E" w14:paraId="492CC024" w14:textId="77777777" w:rsidTr="00EC4FF9">
        <w:trPr>
          <w:jc w:val="center"/>
        </w:trPr>
        <w:tc>
          <w:tcPr>
            <w:tcW w:w="2684" w:type="dxa"/>
            <w:vAlign w:val="center"/>
          </w:tcPr>
          <w:p w14:paraId="412FE9CB"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Further Competition</w:t>
            </w:r>
          </w:p>
        </w:tc>
        <w:tc>
          <w:tcPr>
            <w:tcW w:w="7063" w:type="dxa"/>
            <w:vAlign w:val="center"/>
          </w:tcPr>
          <w:p w14:paraId="6628E02B"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procurement process by which the Authority shall call a Contract off against a Framework Agreement</w:t>
            </w:r>
          </w:p>
        </w:tc>
      </w:tr>
      <w:tr w:rsidR="0031451E" w:rsidRPr="0031451E" w14:paraId="12893CDF" w14:textId="77777777" w:rsidTr="00EC4FF9">
        <w:trPr>
          <w:jc w:val="center"/>
        </w:trPr>
        <w:tc>
          <w:tcPr>
            <w:tcW w:w="2684" w:type="dxa"/>
            <w:vAlign w:val="center"/>
          </w:tcPr>
          <w:p w14:paraId="54D3FBD8"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GDPR</w:t>
            </w:r>
          </w:p>
        </w:tc>
        <w:tc>
          <w:tcPr>
            <w:tcW w:w="7063" w:type="dxa"/>
            <w:vAlign w:val="center"/>
          </w:tcPr>
          <w:p w14:paraId="63717458"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 xml:space="preserve">the General Data Protection Regulation </w:t>
            </w:r>
            <w:r w:rsidRPr="0031451E">
              <w:rPr>
                <w:rFonts w:cs="Arial"/>
                <w:i/>
                <w:iCs/>
                <w:sz w:val="20"/>
                <w:szCs w:val="20"/>
              </w:rPr>
              <w:t>(Regulation (EU) 2016/679)</w:t>
            </w:r>
          </w:p>
        </w:tc>
      </w:tr>
      <w:tr w:rsidR="0031451E" w:rsidRPr="0031451E" w14:paraId="6B2CD166" w14:textId="77777777" w:rsidTr="00EC4FF9">
        <w:trPr>
          <w:jc w:val="center"/>
        </w:trPr>
        <w:tc>
          <w:tcPr>
            <w:tcW w:w="2684" w:type="dxa"/>
            <w:vAlign w:val="center"/>
          </w:tcPr>
          <w:p w14:paraId="35F0F5E1"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Invitation to Tender (ITT)</w:t>
            </w:r>
          </w:p>
        </w:tc>
        <w:tc>
          <w:tcPr>
            <w:tcW w:w="7063" w:type="dxa"/>
            <w:vAlign w:val="center"/>
          </w:tcPr>
          <w:p w14:paraId="78157B6C"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written request by the Authority for an interested Applicant to submit a written Bid to facilitate the Authority’s requirements</w:t>
            </w:r>
          </w:p>
        </w:tc>
      </w:tr>
      <w:tr w:rsidR="0031451E" w:rsidRPr="0031451E" w14:paraId="428FDA45" w14:textId="77777777" w:rsidTr="00EC4FF9">
        <w:trPr>
          <w:jc w:val="center"/>
        </w:trPr>
        <w:tc>
          <w:tcPr>
            <w:tcW w:w="2684" w:type="dxa"/>
            <w:vAlign w:val="center"/>
          </w:tcPr>
          <w:p w14:paraId="316A16F0"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Key Performance Indicators (KPI)</w:t>
            </w:r>
          </w:p>
        </w:tc>
        <w:tc>
          <w:tcPr>
            <w:tcW w:w="7063" w:type="dxa"/>
            <w:vAlign w:val="center"/>
          </w:tcPr>
          <w:p w14:paraId="4DFEC9C8" w14:textId="1DAABD3E" w:rsidR="00DD5DDF"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 xml:space="preserve">Shall mean the standards of performance against which overall performance is to be assessed under the Contract by the </w:t>
            </w:r>
            <w:r w:rsidR="00DD5DDF">
              <w:rPr>
                <w:rFonts w:cs="Arial"/>
                <w:sz w:val="20"/>
                <w:szCs w:val="20"/>
              </w:rPr>
              <w:t>Contractor</w:t>
            </w:r>
          </w:p>
        </w:tc>
      </w:tr>
      <w:tr w:rsidR="0031451E" w:rsidRPr="0031451E" w14:paraId="0F0C4096" w14:textId="77777777" w:rsidTr="00EC4FF9">
        <w:trPr>
          <w:jc w:val="center"/>
        </w:trPr>
        <w:tc>
          <w:tcPr>
            <w:tcW w:w="2684" w:type="dxa"/>
            <w:vAlign w:val="center"/>
          </w:tcPr>
          <w:p w14:paraId="23B55007"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Lead Applicant</w:t>
            </w:r>
          </w:p>
        </w:tc>
        <w:tc>
          <w:tcPr>
            <w:tcW w:w="7063" w:type="dxa"/>
            <w:vAlign w:val="center"/>
          </w:tcPr>
          <w:p w14:paraId="7DCBD08A"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organisation leading the bidding process on behalf of its consortia or sub-contractor partners</w:t>
            </w:r>
          </w:p>
        </w:tc>
      </w:tr>
      <w:tr w:rsidR="0031451E" w:rsidRPr="0031451E" w14:paraId="6C377340" w14:textId="77777777" w:rsidTr="00EC4FF9">
        <w:trPr>
          <w:jc w:val="center"/>
        </w:trPr>
        <w:tc>
          <w:tcPr>
            <w:tcW w:w="2684" w:type="dxa"/>
            <w:vAlign w:val="center"/>
          </w:tcPr>
          <w:p w14:paraId="6416771B"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Lowest Price</w:t>
            </w:r>
          </w:p>
        </w:tc>
        <w:tc>
          <w:tcPr>
            <w:tcW w:w="7063" w:type="dxa"/>
            <w:vAlign w:val="center"/>
          </w:tcPr>
          <w:p w14:paraId="4CE444FD"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 means of evaluation whereby all Applicants to a procurement process will be assessed solely on the basis of their offer of price</w:t>
            </w:r>
          </w:p>
        </w:tc>
      </w:tr>
      <w:tr w:rsidR="0031451E" w:rsidRPr="0031451E" w14:paraId="363385ED" w14:textId="77777777" w:rsidTr="00EC4FF9">
        <w:trPr>
          <w:jc w:val="center"/>
        </w:trPr>
        <w:tc>
          <w:tcPr>
            <w:tcW w:w="2684" w:type="dxa"/>
            <w:vAlign w:val="center"/>
          </w:tcPr>
          <w:p w14:paraId="264D5A2F"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Lot(s)</w:t>
            </w:r>
          </w:p>
        </w:tc>
        <w:tc>
          <w:tcPr>
            <w:tcW w:w="7063" w:type="dxa"/>
            <w:vAlign w:val="center"/>
          </w:tcPr>
          <w:p w14:paraId="00898157"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 xml:space="preserve">One of a number of categories of Supplies or Services which a single procurement process has been divided into. The use of lots potentially allows for multiple providers to be appointed following one procurement </w:t>
            </w:r>
            <w:r w:rsidRPr="0031451E">
              <w:rPr>
                <w:rFonts w:cs="Arial"/>
                <w:sz w:val="20"/>
                <w:szCs w:val="20"/>
              </w:rPr>
              <w:lastRenderedPageBreak/>
              <w:t>process. An example might be a computer hardware procurement with one lot for "laptops" and a second lot for "desktops".</w:t>
            </w:r>
          </w:p>
        </w:tc>
      </w:tr>
      <w:tr w:rsidR="0031451E" w:rsidRPr="0031451E" w14:paraId="3B662BC1" w14:textId="77777777" w:rsidTr="00EC4FF9">
        <w:trPr>
          <w:jc w:val="center"/>
        </w:trPr>
        <w:tc>
          <w:tcPr>
            <w:tcW w:w="2684" w:type="dxa"/>
            <w:vAlign w:val="center"/>
          </w:tcPr>
          <w:p w14:paraId="71A5AC16"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lastRenderedPageBreak/>
              <w:t>Mandatory Requirements: Pass/Fail</w:t>
            </w:r>
          </w:p>
        </w:tc>
        <w:tc>
          <w:tcPr>
            <w:tcW w:w="7063" w:type="dxa"/>
            <w:vAlign w:val="center"/>
          </w:tcPr>
          <w:p w14:paraId="7BC7CF3C"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Authority’s essential requirements that Applicants will be required to demonstrate their ability to meet so as to be able to pass through to the next stage of the procurement process</w:t>
            </w:r>
          </w:p>
        </w:tc>
      </w:tr>
      <w:tr w:rsidR="0031451E" w:rsidRPr="0031451E" w14:paraId="3FDCAC4C" w14:textId="77777777" w:rsidTr="00EC4FF9">
        <w:trPr>
          <w:jc w:val="center"/>
        </w:trPr>
        <w:tc>
          <w:tcPr>
            <w:tcW w:w="2684" w:type="dxa"/>
            <w:vAlign w:val="center"/>
          </w:tcPr>
          <w:p w14:paraId="59A967CC"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Mandatory Requirements: Scored</w:t>
            </w:r>
          </w:p>
        </w:tc>
        <w:tc>
          <w:tcPr>
            <w:tcW w:w="7063" w:type="dxa"/>
            <w:vAlign w:val="center"/>
          </w:tcPr>
          <w:p w14:paraId="52FFF166"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Authority’s essential requirements that Applicants will be required to demonstrate their ability to meet and that will be scored so as to be able to pass through to the next stage of the procurement process and/or as part of the Award criteria</w:t>
            </w:r>
          </w:p>
        </w:tc>
      </w:tr>
      <w:tr w:rsidR="0031451E" w:rsidRPr="0031451E" w14:paraId="16578958" w14:textId="77777777" w:rsidTr="00EC4FF9">
        <w:trPr>
          <w:jc w:val="center"/>
        </w:trPr>
        <w:tc>
          <w:tcPr>
            <w:tcW w:w="2684" w:type="dxa"/>
            <w:vAlign w:val="center"/>
          </w:tcPr>
          <w:p w14:paraId="0FCABC13" w14:textId="77777777" w:rsidR="0031451E" w:rsidRPr="0031451E" w:rsidRDefault="0031451E" w:rsidP="0031451E">
            <w:pPr>
              <w:tabs>
                <w:tab w:val="left" w:pos="709"/>
              </w:tabs>
              <w:spacing w:after="0"/>
              <w:rPr>
                <w:rFonts w:cs="Arial"/>
                <w:b/>
                <w:sz w:val="18"/>
                <w:szCs w:val="18"/>
              </w:rPr>
            </w:pPr>
            <w:r w:rsidRPr="0031451E">
              <w:rPr>
                <w:rFonts w:cs="Arial"/>
                <w:b/>
                <w:sz w:val="18"/>
                <w:szCs w:val="18"/>
              </w:rPr>
              <w:t>Most Economically Advantageous Tender (MEAT)</w:t>
            </w:r>
          </w:p>
        </w:tc>
        <w:tc>
          <w:tcPr>
            <w:tcW w:w="7063" w:type="dxa"/>
            <w:vAlign w:val="center"/>
          </w:tcPr>
          <w:p w14:paraId="6F9DDDEC"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 means of evaluation whereby all Applicants to a procurement process will be assessed the basis of their offer of a combination of both quality factors and price</w:t>
            </w:r>
          </w:p>
        </w:tc>
      </w:tr>
      <w:tr w:rsidR="0031451E" w:rsidRPr="0031451E" w14:paraId="015F3E33" w14:textId="77777777" w:rsidTr="00EC4FF9">
        <w:trPr>
          <w:jc w:val="center"/>
        </w:trPr>
        <w:tc>
          <w:tcPr>
            <w:tcW w:w="2684" w:type="dxa"/>
            <w:vAlign w:val="center"/>
          </w:tcPr>
          <w:p w14:paraId="373CA9F2"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Officer</w:t>
            </w:r>
          </w:p>
        </w:tc>
        <w:tc>
          <w:tcPr>
            <w:tcW w:w="7063" w:type="dxa"/>
            <w:vAlign w:val="center"/>
          </w:tcPr>
          <w:p w14:paraId="2D506C80"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individual completing the procurement documents on behalf of the Authority</w:t>
            </w:r>
          </w:p>
        </w:tc>
      </w:tr>
      <w:tr w:rsidR="0031451E" w:rsidRPr="0031451E" w14:paraId="23B0E423" w14:textId="77777777" w:rsidTr="00EC4FF9">
        <w:trPr>
          <w:jc w:val="center"/>
        </w:trPr>
        <w:tc>
          <w:tcPr>
            <w:tcW w:w="2684" w:type="dxa"/>
            <w:vAlign w:val="center"/>
          </w:tcPr>
          <w:p w14:paraId="3DE1D9E2"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Official Purchase Order</w:t>
            </w:r>
          </w:p>
        </w:tc>
        <w:tc>
          <w:tcPr>
            <w:tcW w:w="7063" w:type="dxa"/>
            <w:vAlign w:val="center"/>
          </w:tcPr>
          <w:p w14:paraId="1C708527"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Authority’s Official Purchase Order, to which these conditions apply</w:t>
            </w:r>
          </w:p>
        </w:tc>
      </w:tr>
      <w:tr w:rsidR="0031451E" w:rsidRPr="0031451E" w14:paraId="16D0C71A" w14:textId="77777777" w:rsidTr="00EC4FF9">
        <w:trPr>
          <w:jc w:val="center"/>
        </w:trPr>
        <w:tc>
          <w:tcPr>
            <w:tcW w:w="2684" w:type="dxa"/>
            <w:vAlign w:val="center"/>
          </w:tcPr>
          <w:p w14:paraId="542CEAAE"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OJEU</w:t>
            </w:r>
          </w:p>
        </w:tc>
        <w:tc>
          <w:tcPr>
            <w:tcW w:w="7063" w:type="dxa"/>
            <w:vAlign w:val="center"/>
          </w:tcPr>
          <w:p w14:paraId="5A33F87D"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Official Journal of the European Union</w:t>
            </w:r>
          </w:p>
        </w:tc>
      </w:tr>
      <w:tr w:rsidR="0031451E" w:rsidRPr="0031451E" w14:paraId="0D32B3CF" w14:textId="77777777" w:rsidTr="00EC4FF9">
        <w:trPr>
          <w:jc w:val="center"/>
        </w:trPr>
        <w:tc>
          <w:tcPr>
            <w:tcW w:w="2684" w:type="dxa"/>
            <w:vAlign w:val="center"/>
          </w:tcPr>
          <w:p w14:paraId="6272F54D"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Open</w:t>
            </w:r>
          </w:p>
        </w:tc>
        <w:tc>
          <w:tcPr>
            <w:tcW w:w="7063" w:type="dxa"/>
            <w:vAlign w:val="center"/>
          </w:tcPr>
          <w:p w14:paraId="6F398866"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31451E" w:rsidRPr="0031451E" w14:paraId="427552AD" w14:textId="77777777" w:rsidTr="00EC4FF9">
        <w:trPr>
          <w:jc w:val="center"/>
        </w:trPr>
        <w:tc>
          <w:tcPr>
            <w:tcW w:w="2684" w:type="dxa"/>
          </w:tcPr>
          <w:p w14:paraId="6D28BE53"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Premises</w:t>
            </w:r>
          </w:p>
        </w:tc>
        <w:tc>
          <w:tcPr>
            <w:tcW w:w="7063" w:type="dxa"/>
          </w:tcPr>
          <w:p w14:paraId="4F1A63D9"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various sites as detailed within the associated Schedules that are to be serviced by the Services defined under this Contract.</w:t>
            </w:r>
          </w:p>
        </w:tc>
      </w:tr>
      <w:tr w:rsidR="0031451E" w:rsidRPr="0031451E" w14:paraId="763DBFD9" w14:textId="77777777" w:rsidTr="00EC4FF9">
        <w:trPr>
          <w:jc w:val="center"/>
        </w:trPr>
        <w:tc>
          <w:tcPr>
            <w:tcW w:w="2684" w:type="dxa"/>
          </w:tcPr>
          <w:p w14:paraId="29F17E55"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Premises Manager / Corporate Health and Safety Team</w:t>
            </w:r>
          </w:p>
        </w:tc>
        <w:tc>
          <w:tcPr>
            <w:tcW w:w="7063" w:type="dxa"/>
          </w:tcPr>
          <w:p w14:paraId="3088414C"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Authorised Officer of the Council with overall responsibilities and jurisdiction in relation to particular Premises serviced under this Contract</w:t>
            </w:r>
          </w:p>
        </w:tc>
      </w:tr>
      <w:tr w:rsidR="0031451E" w:rsidRPr="0031451E" w14:paraId="5604FFBC" w14:textId="77777777" w:rsidTr="00EC4FF9">
        <w:trPr>
          <w:jc w:val="center"/>
        </w:trPr>
        <w:tc>
          <w:tcPr>
            <w:tcW w:w="2684" w:type="dxa"/>
            <w:vAlign w:val="center"/>
          </w:tcPr>
          <w:p w14:paraId="39F5CD5C"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Procurement and Contract Procedures</w:t>
            </w:r>
          </w:p>
        </w:tc>
        <w:tc>
          <w:tcPr>
            <w:tcW w:w="7063" w:type="dxa"/>
            <w:vAlign w:val="center"/>
          </w:tcPr>
          <w:p w14:paraId="25D4210F"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Authority’s internal rules regulating the award of Contracts</w:t>
            </w:r>
          </w:p>
        </w:tc>
      </w:tr>
      <w:tr w:rsidR="0031451E" w:rsidRPr="0031451E" w14:paraId="73F42E03" w14:textId="77777777" w:rsidTr="00EC4FF9">
        <w:trPr>
          <w:jc w:val="center"/>
        </w:trPr>
        <w:tc>
          <w:tcPr>
            <w:tcW w:w="2684" w:type="dxa"/>
            <w:vAlign w:val="center"/>
          </w:tcPr>
          <w:p w14:paraId="18D3AD7C"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Pricing</w:t>
            </w:r>
          </w:p>
        </w:tc>
        <w:tc>
          <w:tcPr>
            <w:tcW w:w="7063" w:type="dxa"/>
            <w:vAlign w:val="center"/>
          </w:tcPr>
          <w:p w14:paraId="0BB32DE4"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value placed on a Bid by the Applicant that will purchase their offer to facilitate the Authority’s requirements</w:t>
            </w:r>
          </w:p>
        </w:tc>
      </w:tr>
      <w:tr w:rsidR="0031451E" w:rsidRPr="0031451E" w14:paraId="098026CD" w14:textId="77777777" w:rsidTr="00EC4FF9">
        <w:trPr>
          <w:jc w:val="center"/>
        </w:trPr>
        <w:tc>
          <w:tcPr>
            <w:tcW w:w="2684" w:type="dxa"/>
            <w:vAlign w:val="center"/>
          </w:tcPr>
          <w:p w14:paraId="79960D0A"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Procurement</w:t>
            </w:r>
          </w:p>
        </w:tc>
        <w:tc>
          <w:tcPr>
            <w:tcW w:w="7063" w:type="dxa"/>
            <w:vAlign w:val="center"/>
          </w:tcPr>
          <w:p w14:paraId="0C7F44D4"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acquisition of Supplies, Services or Works from an external source</w:t>
            </w:r>
          </w:p>
        </w:tc>
      </w:tr>
      <w:tr w:rsidR="0031451E" w:rsidRPr="0031451E" w14:paraId="41A2BAA7" w14:textId="77777777" w:rsidTr="00EC4FF9">
        <w:trPr>
          <w:jc w:val="center"/>
        </w:trPr>
        <w:tc>
          <w:tcPr>
            <w:tcW w:w="2684" w:type="dxa"/>
            <w:vAlign w:val="center"/>
          </w:tcPr>
          <w:p w14:paraId="145D3947"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Procurement Representative</w:t>
            </w:r>
          </w:p>
        </w:tc>
        <w:tc>
          <w:tcPr>
            <w:tcW w:w="7063" w:type="dxa"/>
            <w:vAlign w:val="center"/>
          </w:tcPr>
          <w:p w14:paraId="576B121D"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As Procurement Representative</w:t>
            </w:r>
          </w:p>
        </w:tc>
      </w:tr>
      <w:tr w:rsidR="0031451E" w:rsidRPr="0031451E" w14:paraId="1CC82A12" w14:textId="77777777" w:rsidTr="00EC4FF9">
        <w:trPr>
          <w:jc w:val="center"/>
        </w:trPr>
        <w:tc>
          <w:tcPr>
            <w:tcW w:w="2684" w:type="dxa"/>
            <w:vAlign w:val="center"/>
          </w:tcPr>
          <w:p w14:paraId="1ADF6386"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Product Liability Insurance</w:t>
            </w:r>
          </w:p>
          <w:p w14:paraId="06F9D0C4" w14:textId="77777777" w:rsidR="0031451E" w:rsidRPr="0031451E" w:rsidRDefault="0031451E" w:rsidP="0031451E">
            <w:pPr>
              <w:tabs>
                <w:tab w:val="left" w:pos="709"/>
              </w:tabs>
              <w:spacing w:before="100" w:beforeAutospacing="1" w:after="100" w:afterAutospacing="1" w:line="240" w:lineRule="auto"/>
              <w:rPr>
                <w:rFonts w:cs="Arial"/>
                <w:b/>
                <w:sz w:val="20"/>
                <w:szCs w:val="20"/>
              </w:rPr>
            </w:pPr>
          </w:p>
        </w:tc>
        <w:tc>
          <w:tcPr>
            <w:tcW w:w="7063" w:type="dxa"/>
            <w:vAlign w:val="center"/>
          </w:tcPr>
          <w:p w14:paraId="38CAB4D0" w14:textId="77777777" w:rsidR="0031451E" w:rsidRPr="0031451E" w:rsidRDefault="0031451E" w:rsidP="0031451E">
            <w:pPr>
              <w:tabs>
                <w:tab w:val="left" w:pos="709"/>
              </w:tabs>
              <w:spacing w:after="120" w:line="240" w:lineRule="auto"/>
              <w:rPr>
                <w:rFonts w:cs="Arial"/>
                <w:sz w:val="20"/>
                <w:szCs w:val="20"/>
              </w:rPr>
            </w:pPr>
            <w:r w:rsidRPr="0031451E">
              <w:rPr>
                <w:rFonts w:cs="Arial"/>
                <w:sz w:val="20"/>
                <w:szCs w:val="20"/>
              </w:rPr>
              <w:t>In Product Liability Insurance terms, a product is any physical item that is sold or given away.</w:t>
            </w:r>
          </w:p>
          <w:p w14:paraId="53875F96" w14:textId="77777777" w:rsidR="0031451E" w:rsidRPr="0031451E" w:rsidRDefault="0031451E" w:rsidP="0031451E">
            <w:pPr>
              <w:tabs>
                <w:tab w:val="left" w:pos="709"/>
              </w:tabs>
              <w:spacing w:after="120" w:line="240" w:lineRule="auto"/>
              <w:rPr>
                <w:rFonts w:cs="Arial"/>
                <w:sz w:val="20"/>
                <w:szCs w:val="20"/>
              </w:rPr>
            </w:pPr>
            <w:r w:rsidRPr="0031451E">
              <w:rPr>
                <w:rFonts w:cs="Arial"/>
                <w:sz w:val="20"/>
                <w:szCs w:val="20"/>
              </w:rPr>
              <w:t>Products must be 'fit for purpose'. The organisation is legally responsible for any damage or injury that a product it supplies may cause (in some circumstances this also includes products that the organisation does not manufacture).</w:t>
            </w:r>
          </w:p>
          <w:p w14:paraId="0B6AD709" w14:textId="77777777" w:rsidR="0031451E" w:rsidRPr="0031451E" w:rsidRDefault="0031451E" w:rsidP="0031451E">
            <w:pPr>
              <w:tabs>
                <w:tab w:val="left" w:pos="709"/>
              </w:tabs>
              <w:spacing w:after="120" w:line="240" w:lineRule="auto"/>
              <w:rPr>
                <w:rFonts w:cs="Arial"/>
                <w:sz w:val="20"/>
                <w:szCs w:val="20"/>
              </w:rPr>
            </w:pPr>
            <w:r w:rsidRPr="0031451E">
              <w:rPr>
                <w:rFonts w:cs="Arial"/>
                <w:sz w:val="20"/>
                <w:szCs w:val="20"/>
              </w:rPr>
              <w:t>Product Liability Insurance covers the organisation against damages awarded as a result of damage to property or personal injury caused by the product. If damages are paid for personal injury, the NHS can claim to recover the costs of hospital treatment (including ambulance costs). This applies to incidents that occur either on or after 29 January 2007.</w:t>
            </w:r>
          </w:p>
        </w:tc>
      </w:tr>
      <w:tr w:rsidR="0031451E" w:rsidRPr="0031451E" w14:paraId="470FFECD" w14:textId="77777777" w:rsidTr="00EC4FF9">
        <w:trPr>
          <w:jc w:val="center"/>
        </w:trPr>
        <w:tc>
          <w:tcPr>
            <w:tcW w:w="2684" w:type="dxa"/>
            <w:vAlign w:val="center"/>
          </w:tcPr>
          <w:p w14:paraId="4602B80D"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Professional Indemnity Insurance</w:t>
            </w:r>
          </w:p>
          <w:p w14:paraId="715B9772" w14:textId="77777777" w:rsidR="0031451E" w:rsidRPr="0031451E" w:rsidRDefault="0031451E" w:rsidP="0031451E">
            <w:pPr>
              <w:tabs>
                <w:tab w:val="left" w:pos="709"/>
              </w:tabs>
              <w:spacing w:before="100" w:beforeAutospacing="1" w:after="100" w:afterAutospacing="1" w:line="240" w:lineRule="auto"/>
              <w:rPr>
                <w:rFonts w:cs="Arial"/>
                <w:b/>
                <w:sz w:val="20"/>
                <w:szCs w:val="20"/>
              </w:rPr>
            </w:pPr>
          </w:p>
        </w:tc>
        <w:tc>
          <w:tcPr>
            <w:tcW w:w="7063" w:type="dxa"/>
            <w:vAlign w:val="center"/>
          </w:tcPr>
          <w:p w14:paraId="61CDF09D" w14:textId="77777777" w:rsidR="0031451E" w:rsidRPr="0031451E" w:rsidRDefault="0031451E" w:rsidP="0031451E">
            <w:pPr>
              <w:tabs>
                <w:tab w:val="left" w:pos="709"/>
              </w:tabs>
              <w:spacing w:after="120" w:line="240" w:lineRule="auto"/>
              <w:rPr>
                <w:rFonts w:cs="Arial"/>
                <w:sz w:val="20"/>
                <w:szCs w:val="20"/>
              </w:rPr>
            </w:pPr>
            <w:r w:rsidRPr="0031451E">
              <w:rPr>
                <w:rFonts w:cs="Arial"/>
                <w:sz w:val="20"/>
                <w:szCs w:val="20"/>
              </w:rPr>
              <w:t xml:space="preserve">Shall mean a liability cover that provides protection for negligent advice or a service provided by the organisation, it also protects against damages the organisation becomes liable for in relation to mistakes made such as errors of judgement, basic administration errors, mislay of or damage to clients' documents. It is designed to safeguard it against claims made by clients for any resulting financial loss or damage to their reputation. This type of insurance should also cover legal fees and costs. </w:t>
            </w:r>
          </w:p>
          <w:p w14:paraId="3494AF25" w14:textId="77777777" w:rsidR="0031451E" w:rsidRPr="0031451E" w:rsidRDefault="0031451E" w:rsidP="0031451E">
            <w:pPr>
              <w:tabs>
                <w:tab w:val="left" w:pos="709"/>
              </w:tabs>
              <w:spacing w:after="120" w:line="240" w:lineRule="auto"/>
              <w:rPr>
                <w:rFonts w:cs="Arial"/>
                <w:sz w:val="20"/>
                <w:szCs w:val="20"/>
              </w:rPr>
            </w:pPr>
            <w:r w:rsidRPr="0031451E">
              <w:rPr>
                <w:rFonts w:cs="Arial"/>
                <w:sz w:val="20"/>
                <w:szCs w:val="20"/>
              </w:rPr>
              <w:t xml:space="preserve">Individuals and organisations that provide professional advice or consultancy services need Professional Indemnity cover. </w:t>
            </w:r>
          </w:p>
        </w:tc>
      </w:tr>
      <w:tr w:rsidR="0031451E" w:rsidRPr="0031451E" w14:paraId="55BC96A5" w14:textId="77777777" w:rsidTr="00EC4FF9">
        <w:trPr>
          <w:jc w:val="center"/>
        </w:trPr>
        <w:tc>
          <w:tcPr>
            <w:tcW w:w="2684" w:type="dxa"/>
            <w:vAlign w:val="center"/>
          </w:tcPr>
          <w:p w14:paraId="4BAEC894"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Project Brief</w:t>
            </w:r>
          </w:p>
        </w:tc>
        <w:tc>
          <w:tcPr>
            <w:tcW w:w="7063" w:type="dxa"/>
            <w:vAlign w:val="center"/>
          </w:tcPr>
          <w:p w14:paraId="0B51A1E5"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This is a document which outlines to bidders the nature of the good/services or works against which you wish them to submit an expression of interest</w:t>
            </w:r>
          </w:p>
        </w:tc>
      </w:tr>
      <w:tr w:rsidR="0031451E" w:rsidRPr="0031451E" w14:paraId="479214B7" w14:textId="77777777" w:rsidTr="00EC4FF9">
        <w:trPr>
          <w:jc w:val="center"/>
        </w:trPr>
        <w:tc>
          <w:tcPr>
            <w:tcW w:w="2684" w:type="dxa"/>
            <w:vAlign w:val="center"/>
          </w:tcPr>
          <w:p w14:paraId="3EEC2A95"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Public Contracts Regulations 2015</w:t>
            </w:r>
          </w:p>
        </w:tc>
        <w:tc>
          <w:tcPr>
            <w:tcW w:w="7063" w:type="dxa"/>
            <w:vAlign w:val="center"/>
          </w:tcPr>
          <w:p w14:paraId="052A6C86"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legislation of the United Kingdom concerning the procedures for the award of public works contracts, public supply contracts and public service contracts</w:t>
            </w:r>
          </w:p>
        </w:tc>
      </w:tr>
      <w:tr w:rsidR="0031451E" w:rsidRPr="0031451E" w14:paraId="600FB7E7" w14:textId="77777777" w:rsidTr="00EC4FF9">
        <w:trPr>
          <w:jc w:val="center"/>
        </w:trPr>
        <w:tc>
          <w:tcPr>
            <w:tcW w:w="2684" w:type="dxa"/>
            <w:vAlign w:val="center"/>
          </w:tcPr>
          <w:p w14:paraId="4A31879F"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lastRenderedPageBreak/>
              <w:t>Public Liability Insurance</w:t>
            </w:r>
          </w:p>
          <w:p w14:paraId="692CC21D" w14:textId="77777777" w:rsidR="0031451E" w:rsidRPr="0031451E" w:rsidRDefault="0031451E" w:rsidP="0031451E">
            <w:pPr>
              <w:tabs>
                <w:tab w:val="left" w:pos="709"/>
              </w:tabs>
              <w:spacing w:before="100" w:beforeAutospacing="1" w:after="100" w:afterAutospacing="1" w:line="240" w:lineRule="auto"/>
              <w:rPr>
                <w:rFonts w:cs="Arial"/>
                <w:b/>
                <w:sz w:val="20"/>
                <w:szCs w:val="20"/>
              </w:rPr>
            </w:pPr>
          </w:p>
        </w:tc>
        <w:tc>
          <w:tcPr>
            <w:tcW w:w="7063" w:type="dxa"/>
            <w:vAlign w:val="center"/>
          </w:tcPr>
          <w:p w14:paraId="751FCD31"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31451E">
              <w:t>legal fees</w:t>
            </w:r>
            <w:r w:rsidRPr="0031451E">
              <w:rPr>
                <w:rFonts w:cs="Arial"/>
                <w:sz w:val="20"/>
                <w:szCs w:val="20"/>
              </w:rPr>
              <w:t xml:space="preserve">, costs and expenses as well as costs of hospital treatment (including ambulance costs) that the NHS may claim from the organisation. Premiums are based on the type of business and rated on an estimate for the level of activity of the business. </w:t>
            </w:r>
          </w:p>
        </w:tc>
      </w:tr>
      <w:tr w:rsidR="0031451E" w:rsidRPr="0031451E" w14:paraId="10BB24B2" w14:textId="77777777" w:rsidTr="00EC4FF9">
        <w:trPr>
          <w:jc w:val="center"/>
        </w:trPr>
        <w:tc>
          <w:tcPr>
            <w:tcW w:w="2684" w:type="dxa"/>
          </w:tcPr>
          <w:p w14:paraId="560EF05C"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Responsive Cleaning</w:t>
            </w:r>
          </w:p>
        </w:tc>
        <w:tc>
          <w:tcPr>
            <w:tcW w:w="7063" w:type="dxa"/>
          </w:tcPr>
          <w:p w14:paraId="1627D24A"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Cleaning Services to be performed by the Contractor in response to a specific instruction by the Authorised Personnel of the Council outside of scheduled Core Service delivery.</w:t>
            </w:r>
          </w:p>
        </w:tc>
      </w:tr>
      <w:tr w:rsidR="0031451E" w:rsidRPr="0031451E" w14:paraId="388CCDAD" w14:textId="77777777" w:rsidTr="00EC4FF9">
        <w:trPr>
          <w:jc w:val="center"/>
        </w:trPr>
        <w:tc>
          <w:tcPr>
            <w:tcW w:w="2684" w:type="dxa"/>
            <w:vAlign w:val="center"/>
          </w:tcPr>
          <w:p w14:paraId="767B82E6"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Restricted</w:t>
            </w:r>
          </w:p>
        </w:tc>
        <w:tc>
          <w:tcPr>
            <w:tcW w:w="7063" w:type="dxa"/>
            <w:vAlign w:val="center"/>
          </w:tcPr>
          <w:p w14:paraId="7B59A145"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procurement process determined by the Public Contracts Regulations 2015, which includes the publication of an OJEU Contract Notice plus a Supplier Questionnaire and Invitation to Tender prior to the award of a Contract</w:t>
            </w:r>
          </w:p>
        </w:tc>
      </w:tr>
      <w:tr w:rsidR="0031451E" w:rsidRPr="0031451E" w14:paraId="73AD20FE" w14:textId="77777777" w:rsidTr="00EC4FF9">
        <w:trPr>
          <w:jc w:val="center"/>
        </w:trPr>
        <w:tc>
          <w:tcPr>
            <w:tcW w:w="2684" w:type="dxa"/>
            <w:vAlign w:val="center"/>
          </w:tcPr>
          <w:p w14:paraId="0CBB3833"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Safeguarding</w:t>
            </w:r>
          </w:p>
        </w:tc>
        <w:tc>
          <w:tcPr>
            <w:tcW w:w="7063" w:type="dxa"/>
            <w:vAlign w:val="center"/>
          </w:tcPr>
          <w:p w14:paraId="0567A18C"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31451E" w:rsidRPr="0031451E" w14:paraId="5B29084C" w14:textId="77777777" w:rsidTr="00EC4FF9">
        <w:trPr>
          <w:jc w:val="center"/>
        </w:trPr>
        <w:tc>
          <w:tcPr>
            <w:tcW w:w="2684" w:type="dxa"/>
            <w:vAlign w:val="center"/>
          </w:tcPr>
          <w:p w14:paraId="53D7A5C3"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Selection</w:t>
            </w:r>
          </w:p>
        </w:tc>
        <w:tc>
          <w:tcPr>
            <w:tcW w:w="7063" w:type="dxa"/>
            <w:vAlign w:val="center"/>
          </w:tcPr>
          <w:p w14:paraId="12FEFC7D"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31451E" w:rsidRPr="0031451E" w14:paraId="5D708E54" w14:textId="77777777" w:rsidTr="00EC4FF9">
        <w:trPr>
          <w:jc w:val="center"/>
        </w:trPr>
        <w:tc>
          <w:tcPr>
            <w:tcW w:w="2684" w:type="dxa"/>
            <w:vAlign w:val="center"/>
          </w:tcPr>
          <w:p w14:paraId="503030FD" w14:textId="1151CE75"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 xml:space="preserve">Selection </w:t>
            </w:r>
            <w:r w:rsidR="00043959" w:rsidRPr="0031451E">
              <w:rPr>
                <w:rFonts w:cs="Arial"/>
                <w:b/>
                <w:sz w:val="20"/>
                <w:szCs w:val="20"/>
              </w:rPr>
              <w:t>Questionnaire</w:t>
            </w:r>
          </w:p>
        </w:tc>
        <w:tc>
          <w:tcPr>
            <w:tcW w:w="7063" w:type="dxa"/>
            <w:vAlign w:val="center"/>
          </w:tcPr>
          <w:p w14:paraId="63D42A88"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31451E" w:rsidRPr="0031451E" w14:paraId="15C8969E" w14:textId="77777777" w:rsidTr="00EC4FF9">
        <w:trPr>
          <w:jc w:val="center"/>
        </w:trPr>
        <w:tc>
          <w:tcPr>
            <w:tcW w:w="2684" w:type="dxa"/>
            <w:vAlign w:val="center"/>
          </w:tcPr>
          <w:p w14:paraId="422EB843"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Services</w:t>
            </w:r>
          </w:p>
        </w:tc>
        <w:tc>
          <w:tcPr>
            <w:tcW w:w="7063" w:type="dxa"/>
            <w:vAlign w:val="center"/>
          </w:tcPr>
          <w:p w14:paraId="155FC300"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a system supplying a need such as communications and transport, utilities such as electricity and fuel, the provision of advice or the performance of routine maintenance or repair work</w:t>
            </w:r>
          </w:p>
        </w:tc>
      </w:tr>
      <w:tr w:rsidR="0031451E" w:rsidRPr="0031451E" w14:paraId="602000D4" w14:textId="77777777" w:rsidTr="00EC4FF9">
        <w:trPr>
          <w:jc w:val="center"/>
        </w:trPr>
        <w:tc>
          <w:tcPr>
            <w:tcW w:w="2684" w:type="dxa"/>
          </w:tcPr>
          <w:p w14:paraId="4B46E70A"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Service Failure(s)</w:t>
            </w:r>
          </w:p>
        </w:tc>
        <w:tc>
          <w:tcPr>
            <w:tcW w:w="7063" w:type="dxa"/>
          </w:tcPr>
          <w:p w14:paraId="7A1A5AF2"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failure(s) by the Contractor to perform the Services as set out under the Contract and in line with the expectations of the Authority and the Key Performance Indicators as set out in Table 1.</w:t>
            </w:r>
          </w:p>
        </w:tc>
      </w:tr>
      <w:tr w:rsidR="0031451E" w:rsidRPr="0031451E" w14:paraId="25FC1AF7" w14:textId="77777777" w:rsidTr="00EC4FF9">
        <w:trPr>
          <w:jc w:val="center"/>
        </w:trPr>
        <w:tc>
          <w:tcPr>
            <w:tcW w:w="2684" w:type="dxa"/>
            <w:vAlign w:val="center"/>
          </w:tcPr>
          <w:p w14:paraId="46CCBC3A"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Specification</w:t>
            </w:r>
          </w:p>
        </w:tc>
        <w:tc>
          <w:tcPr>
            <w:tcW w:w="7063" w:type="dxa"/>
            <w:vAlign w:val="center"/>
          </w:tcPr>
          <w:p w14:paraId="375DD689"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detailed description of the Authority’s requirements</w:t>
            </w:r>
          </w:p>
        </w:tc>
      </w:tr>
      <w:tr w:rsidR="0031451E" w:rsidRPr="0031451E" w14:paraId="1DE44D14" w14:textId="77777777" w:rsidTr="00EC4FF9">
        <w:trPr>
          <w:jc w:val="center"/>
        </w:trPr>
        <w:tc>
          <w:tcPr>
            <w:tcW w:w="2684" w:type="dxa"/>
            <w:vAlign w:val="center"/>
          </w:tcPr>
          <w:p w14:paraId="53A33D5C"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 xml:space="preserve">Standstill </w:t>
            </w:r>
          </w:p>
        </w:tc>
        <w:tc>
          <w:tcPr>
            <w:tcW w:w="7063" w:type="dxa"/>
            <w:vAlign w:val="center"/>
          </w:tcPr>
          <w:p w14:paraId="3875E523"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period between the notification of the Authority’s intention to award a Contract and the award of the Contract, in accordance with Regulation 87 of the Public Contracts Regulations 2015</w:t>
            </w:r>
          </w:p>
        </w:tc>
      </w:tr>
      <w:tr w:rsidR="0031451E" w:rsidRPr="0031451E" w14:paraId="282654E8" w14:textId="77777777" w:rsidTr="00EC4FF9">
        <w:trPr>
          <w:jc w:val="center"/>
        </w:trPr>
        <w:tc>
          <w:tcPr>
            <w:tcW w:w="2684" w:type="dxa"/>
            <w:vAlign w:val="center"/>
          </w:tcPr>
          <w:p w14:paraId="5A6DB82E"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Supplies</w:t>
            </w:r>
          </w:p>
        </w:tc>
        <w:tc>
          <w:tcPr>
            <w:tcW w:w="7063" w:type="dxa"/>
            <w:vAlign w:val="center"/>
          </w:tcPr>
          <w:p w14:paraId="3E3F943A"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items offered by an Applicant and/or the items requested by the Authority</w:t>
            </w:r>
          </w:p>
        </w:tc>
      </w:tr>
      <w:tr w:rsidR="0031451E" w:rsidRPr="0031451E" w14:paraId="0A76DE60" w14:textId="77777777" w:rsidTr="00EC4FF9">
        <w:trPr>
          <w:jc w:val="center"/>
        </w:trPr>
        <w:tc>
          <w:tcPr>
            <w:tcW w:w="2684" w:type="dxa"/>
            <w:vAlign w:val="center"/>
          </w:tcPr>
          <w:p w14:paraId="619407F8"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TUPE</w:t>
            </w:r>
          </w:p>
        </w:tc>
        <w:tc>
          <w:tcPr>
            <w:tcW w:w="7063" w:type="dxa"/>
            <w:vAlign w:val="center"/>
          </w:tcPr>
          <w:p w14:paraId="07029E12"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"Transfer of Undertakings (Protection of Employment) Regulations 2006" as amended by the "Collective Redundancies and Transfer of Undertakings (Protection of Employment) (Amendment) Regulations 2014"</w:t>
            </w:r>
          </w:p>
        </w:tc>
      </w:tr>
      <w:tr w:rsidR="0031451E" w:rsidRPr="0031451E" w14:paraId="5937195B" w14:textId="77777777" w:rsidTr="00EC4FF9">
        <w:trPr>
          <w:jc w:val="center"/>
        </w:trPr>
        <w:tc>
          <w:tcPr>
            <w:tcW w:w="2684" w:type="dxa"/>
            <w:vAlign w:val="center"/>
          </w:tcPr>
          <w:p w14:paraId="0D3DC772"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Volume One (1) Instructions and Information</w:t>
            </w:r>
          </w:p>
        </w:tc>
        <w:tc>
          <w:tcPr>
            <w:tcW w:w="7063" w:type="dxa"/>
            <w:vAlign w:val="center"/>
          </w:tcPr>
          <w:p w14:paraId="1619073B"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document containing advice to Applicants concerning the way that the procurement process will be conducted and the way in which the documentation should be completed - the Selection and Award criteria to be used in the procurement process and shall be the document in which the Applicant shall make its response to those criteria plus pricing and information concerning the Applicant’s organisation</w:t>
            </w:r>
          </w:p>
        </w:tc>
      </w:tr>
      <w:tr w:rsidR="0031451E" w:rsidRPr="0031451E" w14:paraId="30201A7B" w14:textId="77777777" w:rsidTr="00EC4FF9">
        <w:trPr>
          <w:jc w:val="center"/>
        </w:trPr>
        <w:tc>
          <w:tcPr>
            <w:tcW w:w="2684" w:type="dxa"/>
            <w:vAlign w:val="center"/>
          </w:tcPr>
          <w:p w14:paraId="31D4975E"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 xml:space="preserve">Volume Two (2) </w:t>
            </w:r>
            <w:r w:rsidRPr="0031451E">
              <w:rPr>
                <w:b/>
                <w:color w:val="000000"/>
                <w:sz w:val="20"/>
                <w:szCs w:val="20"/>
              </w:rPr>
              <w:t xml:space="preserve">Applicant’s Offer </w:t>
            </w:r>
          </w:p>
        </w:tc>
        <w:tc>
          <w:tcPr>
            <w:tcW w:w="7063" w:type="dxa"/>
            <w:vAlign w:val="center"/>
          </w:tcPr>
          <w:p w14:paraId="43BFCCC9"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document containing information specific to the opportunity, to include the Specification</w:t>
            </w:r>
          </w:p>
        </w:tc>
      </w:tr>
      <w:tr w:rsidR="0031451E" w:rsidRPr="0031451E" w14:paraId="4FC9031B" w14:textId="77777777" w:rsidTr="00EC4FF9">
        <w:trPr>
          <w:jc w:val="center"/>
        </w:trPr>
        <w:tc>
          <w:tcPr>
            <w:tcW w:w="2684" w:type="dxa"/>
          </w:tcPr>
          <w:p w14:paraId="5AA4A3E5"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Working Day</w:t>
            </w:r>
          </w:p>
        </w:tc>
        <w:tc>
          <w:tcPr>
            <w:tcW w:w="7063" w:type="dxa"/>
            <w:vAlign w:val="center"/>
          </w:tcPr>
          <w:p w14:paraId="79305F68"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Monday to Friday inclusive, excluding Bank Holidays in England</w:t>
            </w:r>
          </w:p>
        </w:tc>
      </w:tr>
      <w:tr w:rsidR="0031451E" w:rsidRPr="0031451E" w14:paraId="138E875C" w14:textId="77777777" w:rsidTr="00EC4FF9">
        <w:trPr>
          <w:jc w:val="center"/>
        </w:trPr>
        <w:tc>
          <w:tcPr>
            <w:tcW w:w="2684" w:type="dxa"/>
            <w:vAlign w:val="center"/>
          </w:tcPr>
          <w:p w14:paraId="6D88F30E" w14:textId="77777777" w:rsidR="0031451E" w:rsidRPr="0031451E" w:rsidRDefault="0031451E" w:rsidP="0031451E">
            <w:pPr>
              <w:tabs>
                <w:tab w:val="left" w:pos="709"/>
              </w:tabs>
              <w:spacing w:before="100" w:beforeAutospacing="1" w:after="100" w:afterAutospacing="1" w:line="240" w:lineRule="auto"/>
              <w:rPr>
                <w:rFonts w:cs="Arial"/>
                <w:b/>
                <w:sz w:val="20"/>
                <w:szCs w:val="20"/>
              </w:rPr>
            </w:pPr>
            <w:r w:rsidRPr="0031451E">
              <w:rPr>
                <w:rFonts w:cs="Arial"/>
                <w:b/>
                <w:sz w:val="20"/>
                <w:szCs w:val="20"/>
              </w:rPr>
              <w:t>Works</w:t>
            </w:r>
          </w:p>
        </w:tc>
        <w:tc>
          <w:tcPr>
            <w:tcW w:w="7063" w:type="dxa"/>
            <w:vAlign w:val="center"/>
          </w:tcPr>
          <w:p w14:paraId="39E14E88" w14:textId="77777777" w:rsidR="0031451E" w:rsidRPr="0031451E" w:rsidRDefault="0031451E" w:rsidP="0031451E">
            <w:pPr>
              <w:tabs>
                <w:tab w:val="left" w:pos="709"/>
              </w:tabs>
              <w:spacing w:before="100" w:beforeAutospacing="1" w:after="100" w:afterAutospacing="1" w:line="240" w:lineRule="auto"/>
              <w:rPr>
                <w:rFonts w:cs="Arial"/>
                <w:sz w:val="20"/>
                <w:szCs w:val="20"/>
              </w:rPr>
            </w:pPr>
            <w:r w:rsidRPr="0031451E">
              <w:rPr>
                <w:rFonts w:cs="Arial"/>
                <w:sz w:val="20"/>
                <w:szCs w:val="20"/>
              </w:rPr>
              <w:t>Shall mean the carrying out of any work which includes assembling, construction, building, altering, manufacturing, processing, fabricating, erection, installation, fitting out, improvement, repair or commissioning of any movable or immovable property</w:t>
            </w:r>
          </w:p>
        </w:tc>
      </w:tr>
    </w:tbl>
    <w:p w14:paraId="3BD0C469" w14:textId="77777777" w:rsidR="009940CC" w:rsidRPr="00284C0E" w:rsidRDefault="009940CC" w:rsidP="0031451E">
      <w:pPr>
        <w:tabs>
          <w:tab w:val="left" w:pos="5430"/>
        </w:tabs>
        <w:spacing w:before="120" w:after="120" w:line="240" w:lineRule="auto"/>
      </w:pPr>
    </w:p>
    <w:sectPr w:rsidR="009940CC" w:rsidRPr="00284C0E" w:rsidSect="00EC4FF9">
      <w:pgSz w:w="11907" w:h="16840" w:code="9"/>
      <w:pgMar w:top="1134" w:right="1134" w:bottom="993" w:left="1134" w:header="992" w:footer="519" w:gutter="0"/>
      <w:pgBorders w:offsetFrom="page">
        <w:top w:val="single" w:sz="12" w:space="24" w:color="C00000"/>
        <w:left w:val="single" w:sz="12" w:space="24" w:color="C00000"/>
        <w:bottom w:val="single" w:sz="12" w:space="24" w:color="C00000"/>
        <w:right w:val="single" w:sz="12"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37D0C" w14:textId="77777777" w:rsidR="0054540C" w:rsidRDefault="0054540C">
      <w:r>
        <w:separator/>
      </w:r>
    </w:p>
  </w:endnote>
  <w:endnote w:type="continuationSeparator" w:id="0">
    <w:p w14:paraId="7A68F179" w14:textId="77777777" w:rsidR="0054540C" w:rsidRDefault="0054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4"/>
      <w:docPartObj>
        <w:docPartGallery w:val="Page Numbers (Bottom of Page)"/>
        <w:docPartUnique/>
      </w:docPartObj>
    </w:sdtPr>
    <w:sdtEndPr/>
    <w:sdtContent>
      <w:p w14:paraId="4AA372CB" w14:textId="77777777" w:rsidR="003D5D8C" w:rsidRDefault="003D5D8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3D5D8C" w:rsidRDefault="003D5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795"/>
      <w:docPartObj>
        <w:docPartGallery w:val="Page Numbers (Bottom of Page)"/>
        <w:docPartUnique/>
      </w:docPartObj>
    </w:sdtPr>
    <w:sdtEndPr/>
    <w:sdtContent>
      <w:p w14:paraId="400976FA" w14:textId="77777777" w:rsidR="003D5D8C" w:rsidRDefault="003D5D8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9BE3" w14:textId="77777777" w:rsidR="003D5D8C" w:rsidRDefault="003D5D8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6838"/>
      <w:docPartObj>
        <w:docPartGallery w:val="Page Numbers (Bottom of Page)"/>
        <w:docPartUnique/>
      </w:docPartObj>
    </w:sdtPr>
    <w:sdtEndPr/>
    <w:sdtContent>
      <w:p w14:paraId="51A9C7A7" w14:textId="77777777" w:rsidR="003D5D8C" w:rsidRDefault="003D5D8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3D5D8C" w:rsidRDefault="003D5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50B9" w14:textId="77777777" w:rsidR="0054540C" w:rsidRDefault="0054540C">
      <w:r>
        <w:separator/>
      </w:r>
    </w:p>
  </w:footnote>
  <w:footnote w:type="continuationSeparator" w:id="0">
    <w:p w14:paraId="32835DD4" w14:textId="77777777" w:rsidR="0054540C" w:rsidRDefault="0054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7BB7" w14:textId="77777777" w:rsidR="003D5D8C" w:rsidRDefault="003D5D8C">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F4EF" w14:textId="77777777" w:rsidR="003D5D8C" w:rsidRDefault="003D5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67083D"/>
    <w:multiLevelType w:val="multilevel"/>
    <w:tmpl w:val="C1F43130"/>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153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70A4F"/>
    <w:multiLevelType w:val="hybridMultilevel"/>
    <w:tmpl w:val="6ADA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533979EF"/>
    <w:multiLevelType w:val="hybridMultilevel"/>
    <w:tmpl w:val="28300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F07689"/>
    <w:multiLevelType w:val="hybridMultilevel"/>
    <w:tmpl w:val="503434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20"/>
  </w:num>
  <w:num w:numId="5">
    <w:abstractNumId w:val="5"/>
  </w:num>
  <w:num w:numId="6">
    <w:abstractNumId w:val="14"/>
  </w:num>
  <w:num w:numId="7">
    <w:abstractNumId w:val="12"/>
  </w:num>
  <w:num w:numId="8">
    <w:abstractNumId w:val="18"/>
  </w:num>
  <w:num w:numId="9">
    <w:abstractNumId w:val="9"/>
  </w:num>
  <w:num w:numId="10">
    <w:abstractNumId w:val="19"/>
  </w:num>
  <w:num w:numId="11">
    <w:abstractNumId w:val="16"/>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1"/>
  </w:num>
  <w:num w:numId="17">
    <w:abstractNumId w:val="6"/>
  </w:num>
  <w:num w:numId="18">
    <w:abstractNumId w:val="13"/>
  </w:num>
  <w:num w:numId="19">
    <w:abstractNumId w:val="3"/>
  </w:num>
  <w:num w:numId="20">
    <w:abstractNumId w:val="7"/>
  </w:num>
  <w:num w:numId="21">
    <w:abstractNumId w:val="8"/>
  </w:num>
  <w:num w:numId="22">
    <w:abstractNumId w:val="12"/>
  </w:num>
  <w:num w:numId="23">
    <w:abstractNumId w:val="12"/>
  </w:num>
  <w:num w:numId="24">
    <w:abstractNumId w:val="12"/>
  </w:num>
  <w:num w:numId="2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21FE"/>
    <w:rsid w:val="00003672"/>
    <w:rsid w:val="00004792"/>
    <w:rsid w:val="0000503E"/>
    <w:rsid w:val="00006D70"/>
    <w:rsid w:val="00011646"/>
    <w:rsid w:val="000119AB"/>
    <w:rsid w:val="00011D02"/>
    <w:rsid w:val="00012704"/>
    <w:rsid w:val="000129E2"/>
    <w:rsid w:val="00012F9F"/>
    <w:rsid w:val="00020225"/>
    <w:rsid w:val="00020668"/>
    <w:rsid w:val="000228D8"/>
    <w:rsid w:val="00024034"/>
    <w:rsid w:val="000307A3"/>
    <w:rsid w:val="00030DD5"/>
    <w:rsid w:val="0003116B"/>
    <w:rsid w:val="00031C0F"/>
    <w:rsid w:val="0003336B"/>
    <w:rsid w:val="0003424B"/>
    <w:rsid w:val="000350E4"/>
    <w:rsid w:val="0003796C"/>
    <w:rsid w:val="00040BA9"/>
    <w:rsid w:val="00041D5A"/>
    <w:rsid w:val="000435DE"/>
    <w:rsid w:val="00043959"/>
    <w:rsid w:val="000472D2"/>
    <w:rsid w:val="00051468"/>
    <w:rsid w:val="00054C07"/>
    <w:rsid w:val="00056361"/>
    <w:rsid w:val="000572AE"/>
    <w:rsid w:val="0005769A"/>
    <w:rsid w:val="000608F9"/>
    <w:rsid w:val="000616A6"/>
    <w:rsid w:val="00062FA6"/>
    <w:rsid w:val="00063DC2"/>
    <w:rsid w:val="00066285"/>
    <w:rsid w:val="00067330"/>
    <w:rsid w:val="00067F59"/>
    <w:rsid w:val="00071A02"/>
    <w:rsid w:val="000755F8"/>
    <w:rsid w:val="00077361"/>
    <w:rsid w:val="00080553"/>
    <w:rsid w:val="00080A5C"/>
    <w:rsid w:val="00081C28"/>
    <w:rsid w:val="00083B9E"/>
    <w:rsid w:val="00083C40"/>
    <w:rsid w:val="000840BF"/>
    <w:rsid w:val="0008447D"/>
    <w:rsid w:val="00084668"/>
    <w:rsid w:val="000849B9"/>
    <w:rsid w:val="0008558F"/>
    <w:rsid w:val="00086CC1"/>
    <w:rsid w:val="00090552"/>
    <w:rsid w:val="00092960"/>
    <w:rsid w:val="00093BF8"/>
    <w:rsid w:val="00095FBA"/>
    <w:rsid w:val="0009605F"/>
    <w:rsid w:val="000963B2"/>
    <w:rsid w:val="00097B39"/>
    <w:rsid w:val="00097ECA"/>
    <w:rsid w:val="000A0501"/>
    <w:rsid w:val="000A093F"/>
    <w:rsid w:val="000A15B3"/>
    <w:rsid w:val="000A15CA"/>
    <w:rsid w:val="000A1AD4"/>
    <w:rsid w:val="000A4187"/>
    <w:rsid w:val="000A46DB"/>
    <w:rsid w:val="000A4818"/>
    <w:rsid w:val="000A4FD1"/>
    <w:rsid w:val="000A51D5"/>
    <w:rsid w:val="000A59F7"/>
    <w:rsid w:val="000A5BE4"/>
    <w:rsid w:val="000A6E68"/>
    <w:rsid w:val="000B1F0F"/>
    <w:rsid w:val="000B23F9"/>
    <w:rsid w:val="000B2C79"/>
    <w:rsid w:val="000B2E7C"/>
    <w:rsid w:val="000B4201"/>
    <w:rsid w:val="000B59BE"/>
    <w:rsid w:val="000B5B53"/>
    <w:rsid w:val="000C04A1"/>
    <w:rsid w:val="000C075B"/>
    <w:rsid w:val="000C134B"/>
    <w:rsid w:val="000C2D02"/>
    <w:rsid w:val="000C4B24"/>
    <w:rsid w:val="000C5EDD"/>
    <w:rsid w:val="000C68AE"/>
    <w:rsid w:val="000D0368"/>
    <w:rsid w:val="000D3D1E"/>
    <w:rsid w:val="000D4507"/>
    <w:rsid w:val="000D4C8B"/>
    <w:rsid w:val="000D5A4B"/>
    <w:rsid w:val="000D62FF"/>
    <w:rsid w:val="000D6F09"/>
    <w:rsid w:val="000D6F0F"/>
    <w:rsid w:val="000D757E"/>
    <w:rsid w:val="000E0526"/>
    <w:rsid w:val="000E5FDB"/>
    <w:rsid w:val="000E64E3"/>
    <w:rsid w:val="000E6A8D"/>
    <w:rsid w:val="000E788C"/>
    <w:rsid w:val="000F0131"/>
    <w:rsid w:val="000F03BB"/>
    <w:rsid w:val="000F1A8A"/>
    <w:rsid w:val="000F39E1"/>
    <w:rsid w:val="000F4844"/>
    <w:rsid w:val="000F54F4"/>
    <w:rsid w:val="000F61FE"/>
    <w:rsid w:val="000F6F2E"/>
    <w:rsid w:val="000F7A2D"/>
    <w:rsid w:val="00102E3C"/>
    <w:rsid w:val="00103899"/>
    <w:rsid w:val="00103BE2"/>
    <w:rsid w:val="00104549"/>
    <w:rsid w:val="001106B5"/>
    <w:rsid w:val="00110E08"/>
    <w:rsid w:val="0011205C"/>
    <w:rsid w:val="00120291"/>
    <w:rsid w:val="0012032E"/>
    <w:rsid w:val="00121772"/>
    <w:rsid w:val="0012212D"/>
    <w:rsid w:val="00123C5B"/>
    <w:rsid w:val="00124158"/>
    <w:rsid w:val="00124986"/>
    <w:rsid w:val="0012528F"/>
    <w:rsid w:val="001264DF"/>
    <w:rsid w:val="001306BF"/>
    <w:rsid w:val="00132860"/>
    <w:rsid w:val="001339F1"/>
    <w:rsid w:val="00133F32"/>
    <w:rsid w:val="00135ABD"/>
    <w:rsid w:val="001364EF"/>
    <w:rsid w:val="00136C92"/>
    <w:rsid w:val="00140C88"/>
    <w:rsid w:val="00146332"/>
    <w:rsid w:val="0014772A"/>
    <w:rsid w:val="0014779D"/>
    <w:rsid w:val="00147984"/>
    <w:rsid w:val="0015056C"/>
    <w:rsid w:val="00151EB7"/>
    <w:rsid w:val="00153516"/>
    <w:rsid w:val="00154252"/>
    <w:rsid w:val="0015465D"/>
    <w:rsid w:val="00155296"/>
    <w:rsid w:val="00156CB1"/>
    <w:rsid w:val="00156E01"/>
    <w:rsid w:val="001578B9"/>
    <w:rsid w:val="001635B8"/>
    <w:rsid w:val="001642A9"/>
    <w:rsid w:val="001652DB"/>
    <w:rsid w:val="00165596"/>
    <w:rsid w:val="00165F10"/>
    <w:rsid w:val="00166819"/>
    <w:rsid w:val="00167FA0"/>
    <w:rsid w:val="001708C1"/>
    <w:rsid w:val="001709C0"/>
    <w:rsid w:val="00172DF7"/>
    <w:rsid w:val="001754AC"/>
    <w:rsid w:val="00175DAF"/>
    <w:rsid w:val="00181478"/>
    <w:rsid w:val="00183498"/>
    <w:rsid w:val="001852A3"/>
    <w:rsid w:val="001864E8"/>
    <w:rsid w:val="001901D5"/>
    <w:rsid w:val="0019048E"/>
    <w:rsid w:val="001919E6"/>
    <w:rsid w:val="00192093"/>
    <w:rsid w:val="00193BD0"/>
    <w:rsid w:val="00195239"/>
    <w:rsid w:val="00195819"/>
    <w:rsid w:val="00195E40"/>
    <w:rsid w:val="0019780A"/>
    <w:rsid w:val="001A1978"/>
    <w:rsid w:val="001A30DD"/>
    <w:rsid w:val="001A3229"/>
    <w:rsid w:val="001A3489"/>
    <w:rsid w:val="001A3673"/>
    <w:rsid w:val="001A3847"/>
    <w:rsid w:val="001A5BDF"/>
    <w:rsid w:val="001A7A24"/>
    <w:rsid w:val="001B0787"/>
    <w:rsid w:val="001B3A3B"/>
    <w:rsid w:val="001B4855"/>
    <w:rsid w:val="001B54A6"/>
    <w:rsid w:val="001B5F3E"/>
    <w:rsid w:val="001B7C39"/>
    <w:rsid w:val="001C3903"/>
    <w:rsid w:val="001C456E"/>
    <w:rsid w:val="001C5C5D"/>
    <w:rsid w:val="001C6FC2"/>
    <w:rsid w:val="001D2917"/>
    <w:rsid w:val="001D3C61"/>
    <w:rsid w:val="001D40B9"/>
    <w:rsid w:val="001D5681"/>
    <w:rsid w:val="001D56F7"/>
    <w:rsid w:val="001D586D"/>
    <w:rsid w:val="001D6047"/>
    <w:rsid w:val="001D6C50"/>
    <w:rsid w:val="001D73FE"/>
    <w:rsid w:val="001E1780"/>
    <w:rsid w:val="001E3C99"/>
    <w:rsid w:val="001E470D"/>
    <w:rsid w:val="001E6020"/>
    <w:rsid w:val="001E68B3"/>
    <w:rsid w:val="001F04CE"/>
    <w:rsid w:val="001F19C6"/>
    <w:rsid w:val="001F3559"/>
    <w:rsid w:val="001F4E80"/>
    <w:rsid w:val="001F4F22"/>
    <w:rsid w:val="001F5077"/>
    <w:rsid w:val="001F50ED"/>
    <w:rsid w:val="001F53C6"/>
    <w:rsid w:val="001F55C1"/>
    <w:rsid w:val="00200DA1"/>
    <w:rsid w:val="00201687"/>
    <w:rsid w:val="00202068"/>
    <w:rsid w:val="002022BD"/>
    <w:rsid w:val="0020627D"/>
    <w:rsid w:val="00211727"/>
    <w:rsid w:val="00212C2C"/>
    <w:rsid w:val="00213751"/>
    <w:rsid w:val="0021492E"/>
    <w:rsid w:val="00216B23"/>
    <w:rsid w:val="0021726D"/>
    <w:rsid w:val="002223A3"/>
    <w:rsid w:val="00224136"/>
    <w:rsid w:val="00224B82"/>
    <w:rsid w:val="00225F57"/>
    <w:rsid w:val="002262BA"/>
    <w:rsid w:val="00227FF0"/>
    <w:rsid w:val="00232704"/>
    <w:rsid w:val="0023347A"/>
    <w:rsid w:val="00234738"/>
    <w:rsid w:val="00234A08"/>
    <w:rsid w:val="002352EA"/>
    <w:rsid w:val="0023669B"/>
    <w:rsid w:val="00236C4D"/>
    <w:rsid w:val="00237CFE"/>
    <w:rsid w:val="00237DB2"/>
    <w:rsid w:val="00240CEE"/>
    <w:rsid w:val="002421A9"/>
    <w:rsid w:val="00243F63"/>
    <w:rsid w:val="0024469D"/>
    <w:rsid w:val="0024640B"/>
    <w:rsid w:val="0024668A"/>
    <w:rsid w:val="00246706"/>
    <w:rsid w:val="00246C3E"/>
    <w:rsid w:val="00247000"/>
    <w:rsid w:val="002519CE"/>
    <w:rsid w:val="0025275F"/>
    <w:rsid w:val="00252DBF"/>
    <w:rsid w:val="00253C98"/>
    <w:rsid w:val="00260058"/>
    <w:rsid w:val="00260CB9"/>
    <w:rsid w:val="00260D61"/>
    <w:rsid w:val="0026144C"/>
    <w:rsid w:val="0026360D"/>
    <w:rsid w:val="00265768"/>
    <w:rsid w:val="00267663"/>
    <w:rsid w:val="00271CD1"/>
    <w:rsid w:val="00273F6C"/>
    <w:rsid w:val="00275831"/>
    <w:rsid w:val="0027621B"/>
    <w:rsid w:val="002804BC"/>
    <w:rsid w:val="00280761"/>
    <w:rsid w:val="00284473"/>
    <w:rsid w:val="00286779"/>
    <w:rsid w:val="002869D6"/>
    <w:rsid w:val="00286EC9"/>
    <w:rsid w:val="00287133"/>
    <w:rsid w:val="0029327F"/>
    <w:rsid w:val="0029544D"/>
    <w:rsid w:val="002A205B"/>
    <w:rsid w:val="002A3F14"/>
    <w:rsid w:val="002A5191"/>
    <w:rsid w:val="002A6E37"/>
    <w:rsid w:val="002B0FCA"/>
    <w:rsid w:val="002B13B4"/>
    <w:rsid w:val="002B1525"/>
    <w:rsid w:val="002B7A90"/>
    <w:rsid w:val="002C74AB"/>
    <w:rsid w:val="002D3210"/>
    <w:rsid w:val="002D3D20"/>
    <w:rsid w:val="002D4360"/>
    <w:rsid w:val="002D4E74"/>
    <w:rsid w:val="002D5B63"/>
    <w:rsid w:val="002D613F"/>
    <w:rsid w:val="002D6163"/>
    <w:rsid w:val="002D713D"/>
    <w:rsid w:val="002D7590"/>
    <w:rsid w:val="002E14C1"/>
    <w:rsid w:val="002E3232"/>
    <w:rsid w:val="002E5139"/>
    <w:rsid w:val="002E6065"/>
    <w:rsid w:val="002F033D"/>
    <w:rsid w:val="002F0542"/>
    <w:rsid w:val="002F07A5"/>
    <w:rsid w:val="002F42C5"/>
    <w:rsid w:val="002F49D2"/>
    <w:rsid w:val="002F5AF4"/>
    <w:rsid w:val="002F6DE9"/>
    <w:rsid w:val="00301A73"/>
    <w:rsid w:val="00304533"/>
    <w:rsid w:val="00305393"/>
    <w:rsid w:val="00307729"/>
    <w:rsid w:val="00307EBD"/>
    <w:rsid w:val="003103DB"/>
    <w:rsid w:val="00312A4B"/>
    <w:rsid w:val="003137B7"/>
    <w:rsid w:val="003141A0"/>
    <w:rsid w:val="0031451E"/>
    <w:rsid w:val="00314D9C"/>
    <w:rsid w:val="00316931"/>
    <w:rsid w:val="003177A3"/>
    <w:rsid w:val="003207FD"/>
    <w:rsid w:val="00321B8B"/>
    <w:rsid w:val="003230AD"/>
    <w:rsid w:val="00323780"/>
    <w:rsid w:val="00325A4C"/>
    <w:rsid w:val="00326AE0"/>
    <w:rsid w:val="003274D9"/>
    <w:rsid w:val="0033044A"/>
    <w:rsid w:val="0033077E"/>
    <w:rsid w:val="003308DB"/>
    <w:rsid w:val="00331499"/>
    <w:rsid w:val="00333608"/>
    <w:rsid w:val="00333693"/>
    <w:rsid w:val="00334F91"/>
    <w:rsid w:val="00335E30"/>
    <w:rsid w:val="003372DF"/>
    <w:rsid w:val="0033742D"/>
    <w:rsid w:val="00340B88"/>
    <w:rsid w:val="00341EAD"/>
    <w:rsid w:val="00343F74"/>
    <w:rsid w:val="00345CE2"/>
    <w:rsid w:val="00347C4E"/>
    <w:rsid w:val="0035160C"/>
    <w:rsid w:val="00355CB9"/>
    <w:rsid w:val="003635A3"/>
    <w:rsid w:val="00363937"/>
    <w:rsid w:val="00364033"/>
    <w:rsid w:val="00367D14"/>
    <w:rsid w:val="003705D9"/>
    <w:rsid w:val="00370832"/>
    <w:rsid w:val="0037373F"/>
    <w:rsid w:val="003748AF"/>
    <w:rsid w:val="003752AA"/>
    <w:rsid w:val="0037685C"/>
    <w:rsid w:val="00376F64"/>
    <w:rsid w:val="00381764"/>
    <w:rsid w:val="00384C37"/>
    <w:rsid w:val="003870E7"/>
    <w:rsid w:val="00387147"/>
    <w:rsid w:val="00387CC3"/>
    <w:rsid w:val="0039032B"/>
    <w:rsid w:val="00390534"/>
    <w:rsid w:val="003909D8"/>
    <w:rsid w:val="0039403B"/>
    <w:rsid w:val="0039539F"/>
    <w:rsid w:val="003964AB"/>
    <w:rsid w:val="003A2F65"/>
    <w:rsid w:val="003A3D72"/>
    <w:rsid w:val="003A3F42"/>
    <w:rsid w:val="003A4703"/>
    <w:rsid w:val="003B1C3D"/>
    <w:rsid w:val="003B30FC"/>
    <w:rsid w:val="003B351A"/>
    <w:rsid w:val="003B3C5E"/>
    <w:rsid w:val="003B4D7B"/>
    <w:rsid w:val="003B6D64"/>
    <w:rsid w:val="003C098C"/>
    <w:rsid w:val="003C1710"/>
    <w:rsid w:val="003C2903"/>
    <w:rsid w:val="003C3369"/>
    <w:rsid w:val="003C36B6"/>
    <w:rsid w:val="003C4F81"/>
    <w:rsid w:val="003C7DCB"/>
    <w:rsid w:val="003D051B"/>
    <w:rsid w:val="003D2D28"/>
    <w:rsid w:val="003D3E9A"/>
    <w:rsid w:val="003D52E0"/>
    <w:rsid w:val="003D57E2"/>
    <w:rsid w:val="003D5D8C"/>
    <w:rsid w:val="003D6ACF"/>
    <w:rsid w:val="003D6E68"/>
    <w:rsid w:val="003D6EC7"/>
    <w:rsid w:val="003D76FE"/>
    <w:rsid w:val="003D7B91"/>
    <w:rsid w:val="003D7FB5"/>
    <w:rsid w:val="003E4556"/>
    <w:rsid w:val="003E6136"/>
    <w:rsid w:val="003E72EC"/>
    <w:rsid w:val="003E75F0"/>
    <w:rsid w:val="003E7894"/>
    <w:rsid w:val="003F064D"/>
    <w:rsid w:val="003F3F03"/>
    <w:rsid w:val="003F464E"/>
    <w:rsid w:val="003F47D7"/>
    <w:rsid w:val="0040093C"/>
    <w:rsid w:val="00401465"/>
    <w:rsid w:val="00402217"/>
    <w:rsid w:val="004057EF"/>
    <w:rsid w:val="00406938"/>
    <w:rsid w:val="004077F6"/>
    <w:rsid w:val="00412342"/>
    <w:rsid w:val="004154EF"/>
    <w:rsid w:val="004210D1"/>
    <w:rsid w:val="00423B0C"/>
    <w:rsid w:val="00423FF7"/>
    <w:rsid w:val="00430C57"/>
    <w:rsid w:val="004329DE"/>
    <w:rsid w:val="00435262"/>
    <w:rsid w:val="00437941"/>
    <w:rsid w:val="0044069C"/>
    <w:rsid w:val="0044167B"/>
    <w:rsid w:val="004424E0"/>
    <w:rsid w:val="00442BD3"/>
    <w:rsid w:val="00442FD4"/>
    <w:rsid w:val="00443C02"/>
    <w:rsid w:val="004441B5"/>
    <w:rsid w:val="00444383"/>
    <w:rsid w:val="00451932"/>
    <w:rsid w:val="004521C9"/>
    <w:rsid w:val="004541E7"/>
    <w:rsid w:val="00454B6A"/>
    <w:rsid w:val="00454FD7"/>
    <w:rsid w:val="00455FFA"/>
    <w:rsid w:val="00456214"/>
    <w:rsid w:val="004604D7"/>
    <w:rsid w:val="004606C1"/>
    <w:rsid w:val="004620D8"/>
    <w:rsid w:val="00462E35"/>
    <w:rsid w:val="00463476"/>
    <w:rsid w:val="004645B0"/>
    <w:rsid w:val="00465053"/>
    <w:rsid w:val="00470BC3"/>
    <w:rsid w:val="0047172B"/>
    <w:rsid w:val="00472836"/>
    <w:rsid w:val="00472D20"/>
    <w:rsid w:val="00473D5D"/>
    <w:rsid w:val="00474FBF"/>
    <w:rsid w:val="00475125"/>
    <w:rsid w:val="004801A1"/>
    <w:rsid w:val="004813E9"/>
    <w:rsid w:val="00483797"/>
    <w:rsid w:val="00483DC5"/>
    <w:rsid w:val="00486397"/>
    <w:rsid w:val="00490963"/>
    <w:rsid w:val="00490BF9"/>
    <w:rsid w:val="0049289B"/>
    <w:rsid w:val="00492A02"/>
    <w:rsid w:val="00495D38"/>
    <w:rsid w:val="004962DA"/>
    <w:rsid w:val="004A033F"/>
    <w:rsid w:val="004A147A"/>
    <w:rsid w:val="004A5D2F"/>
    <w:rsid w:val="004A7E6F"/>
    <w:rsid w:val="004B0A68"/>
    <w:rsid w:val="004B0FB1"/>
    <w:rsid w:val="004B15ED"/>
    <w:rsid w:val="004B29D8"/>
    <w:rsid w:val="004B3731"/>
    <w:rsid w:val="004B65CF"/>
    <w:rsid w:val="004B68BF"/>
    <w:rsid w:val="004B7477"/>
    <w:rsid w:val="004C1A0D"/>
    <w:rsid w:val="004C48EF"/>
    <w:rsid w:val="004C4CFC"/>
    <w:rsid w:val="004C55F2"/>
    <w:rsid w:val="004C5687"/>
    <w:rsid w:val="004D198A"/>
    <w:rsid w:val="004D208E"/>
    <w:rsid w:val="004D260B"/>
    <w:rsid w:val="004D3229"/>
    <w:rsid w:val="004D359A"/>
    <w:rsid w:val="004D63AB"/>
    <w:rsid w:val="004E20B8"/>
    <w:rsid w:val="004E20D4"/>
    <w:rsid w:val="004E2A68"/>
    <w:rsid w:val="004E31D0"/>
    <w:rsid w:val="004E381E"/>
    <w:rsid w:val="004E4118"/>
    <w:rsid w:val="004E7EDC"/>
    <w:rsid w:val="004F31C4"/>
    <w:rsid w:val="004F387C"/>
    <w:rsid w:val="004F4F94"/>
    <w:rsid w:val="004F56B2"/>
    <w:rsid w:val="004F6932"/>
    <w:rsid w:val="004F7223"/>
    <w:rsid w:val="005021B1"/>
    <w:rsid w:val="00504452"/>
    <w:rsid w:val="00505BB5"/>
    <w:rsid w:val="005107A1"/>
    <w:rsid w:val="00511FF4"/>
    <w:rsid w:val="00514477"/>
    <w:rsid w:val="00520062"/>
    <w:rsid w:val="00524FD1"/>
    <w:rsid w:val="005258F2"/>
    <w:rsid w:val="005308F2"/>
    <w:rsid w:val="005354ED"/>
    <w:rsid w:val="00535850"/>
    <w:rsid w:val="00537054"/>
    <w:rsid w:val="00537215"/>
    <w:rsid w:val="005406F8"/>
    <w:rsid w:val="00540DA3"/>
    <w:rsid w:val="005412A7"/>
    <w:rsid w:val="00541950"/>
    <w:rsid w:val="00542369"/>
    <w:rsid w:val="00542B88"/>
    <w:rsid w:val="005438A5"/>
    <w:rsid w:val="00543DCB"/>
    <w:rsid w:val="00544010"/>
    <w:rsid w:val="005442A1"/>
    <w:rsid w:val="00545069"/>
    <w:rsid w:val="0054540C"/>
    <w:rsid w:val="00546F6F"/>
    <w:rsid w:val="0055286F"/>
    <w:rsid w:val="0055385D"/>
    <w:rsid w:val="00553A4E"/>
    <w:rsid w:val="00554CD4"/>
    <w:rsid w:val="005552E3"/>
    <w:rsid w:val="005569A0"/>
    <w:rsid w:val="00563BF0"/>
    <w:rsid w:val="00567404"/>
    <w:rsid w:val="00570E1C"/>
    <w:rsid w:val="00571596"/>
    <w:rsid w:val="00571A40"/>
    <w:rsid w:val="00571A8D"/>
    <w:rsid w:val="00571E0B"/>
    <w:rsid w:val="00572711"/>
    <w:rsid w:val="00573532"/>
    <w:rsid w:val="00574574"/>
    <w:rsid w:val="00574E04"/>
    <w:rsid w:val="00575D73"/>
    <w:rsid w:val="00576706"/>
    <w:rsid w:val="00577992"/>
    <w:rsid w:val="00580AC3"/>
    <w:rsid w:val="00583009"/>
    <w:rsid w:val="00587EED"/>
    <w:rsid w:val="00590BE6"/>
    <w:rsid w:val="00596333"/>
    <w:rsid w:val="005A0DEE"/>
    <w:rsid w:val="005A33AE"/>
    <w:rsid w:val="005A5C31"/>
    <w:rsid w:val="005A6CCE"/>
    <w:rsid w:val="005A6F4F"/>
    <w:rsid w:val="005A7137"/>
    <w:rsid w:val="005A7858"/>
    <w:rsid w:val="005B0ABC"/>
    <w:rsid w:val="005B0BB4"/>
    <w:rsid w:val="005B3B94"/>
    <w:rsid w:val="005B401A"/>
    <w:rsid w:val="005B4A03"/>
    <w:rsid w:val="005B4F39"/>
    <w:rsid w:val="005B5655"/>
    <w:rsid w:val="005B7117"/>
    <w:rsid w:val="005B7402"/>
    <w:rsid w:val="005C2931"/>
    <w:rsid w:val="005C4ECB"/>
    <w:rsid w:val="005C599B"/>
    <w:rsid w:val="005C5D73"/>
    <w:rsid w:val="005C76BD"/>
    <w:rsid w:val="005D2417"/>
    <w:rsid w:val="005D4231"/>
    <w:rsid w:val="005D5BA3"/>
    <w:rsid w:val="005D6D4A"/>
    <w:rsid w:val="005E0F2A"/>
    <w:rsid w:val="005E1F39"/>
    <w:rsid w:val="005E26EA"/>
    <w:rsid w:val="005E3448"/>
    <w:rsid w:val="005F1050"/>
    <w:rsid w:val="005F47B9"/>
    <w:rsid w:val="005F6217"/>
    <w:rsid w:val="005F7767"/>
    <w:rsid w:val="005F7CF9"/>
    <w:rsid w:val="0060360F"/>
    <w:rsid w:val="00603D26"/>
    <w:rsid w:val="00604E2C"/>
    <w:rsid w:val="006050F7"/>
    <w:rsid w:val="00605B04"/>
    <w:rsid w:val="00605D5B"/>
    <w:rsid w:val="00606144"/>
    <w:rsid w:val="00606678"/>
    <w:rsid w:val="00607C8D"/>
    <w:rsid w:val="006111D6"/>
    <w:rsid w:val="00617333"/>
    <w:rsid w:val="00617C06"/>
    <w:rsid w:val="00620968"/>
    <w:rsid w:val="006221AB"/>
    <w:rsid w:val="00622214"/>
    <w:rsid w:val="006277BD"/>
    <w:rsid w:val="00627D5C"/>
    <w:rsid w:val="006308C1"/>
    <w:rsid w:val="00630E4D"/>
    <w:rsid w:val="00633445"/>
    <w:rsid w:val="00634068"/>
    <w:rsid w:val="00634264"/>
    <w:rsid w:val="006342D9"/>
    <w:rsid w:val="00634E63"/>
    <w:rsid w:val="00636758"/>
    <w:rsid w:val="00636991"/>
    <w:rsid w:val="006406A8"/>
    <w:rsid w:val="006408A2"/>
    <w:rsid w:val="00640D86"/>
    <w:rsid w:val="00641710"/>
    <w:rsid w:val="00641CA1"/>
    <w:rsid w:val="006457DC"/>
    <w:rsid w:val="00646A7D"/>
    <w:rsid w:val="00647BB9"/>
    <w:rsid w:val="00655AFE"/>
    <w:rsid w:val="00655E68"/>
    <w:rsid w:val="00656C6B"/>
    <w:rsid w:val="0066030B"/>
    <w:rsid w:val="0066132B"/>
    <w:rsid w:val="00663A29"/>
    <w:rsid w:val="00671325"/>
    <w:rsid w:val="0067146E"/>
    <w:rsid w:val="006737A5"/>
    <w:rsid w:val="00677BBE"/>
    <w:rsid w:val="00680E24"/>
    <w:rsid w:val="00681FC6"/>
    <w:rsid w:val="00682920"/>
    <w:rsid w:val="006829A7"/>
    <w:rsid w:val="006835F9"/>
    <w:rsid w:val="0068484D"/>
    <w:rsid w:val="00684FCD"/>
    <w:rsid w:val="0068518D"/>
    <w:rsid w:val="006864D2"/>
    <w:rsid w:val="0069051C"/>
    <w:rsid w:val="00690668"/>
    <w:rsid w:val="0069149E"/>
    <w:rsid w:val="00691E35"/>
    <w:rsid w:val="006926D8"/>
    <w:rsid w:val="00692A66"/>
    <w:rsid w:val="00692EE6"/>
    <w:rsid w:val="00693AB4"/>
    <w:rsid w:val="0069577C"/>
    <w:rsid w:val="006959B5"/>
    <w:rsid w:val="006968FE"/>
    <w:rsid w:val="00696F7B"/>
    <w:rsid w:val="006A02E1"/>
    <w:rsid w:val="006A08EF"/>
    <w:rsid w:val="006A0E0B"/>
    <w:rsid w:val="006A0F2E"/>
    <w:rsid w:val="006A3ADA"/>
    <w:rsid w:val="006A4137"/>
    <w:rsid w:val="006A524A"/>
    <w:rsid w:val="006A667F"/>
    <w:rsid w:val="006B06D5"/>
    <w:rsid w:val="006B12AD"/>
    <w:rsid w:val="006B316B"/>
    <w:rsid w:val="006B3D8B"/>
    <w:rsid w:val="006B5A9F"/>
    <w:rsid w:val="006B5E67"/>
    <w:rsid w:val="006C1E7F"/>
    <w:rsid w:val="006C375A"/>
    <w:rsid w:val="006C4915"/>
    <w:rsid w:val="006C506B"/>
    <w:rsid w:val="006C63F7"/>
    <w:rsid w:val="006D160F"/>
    <w:rsid w:val="006D1985"/>
    <w:rsid w:val="006D3438"/>
    <w:rsid w:val="006D5B56"/>
    <w:rsid w:val="006D69CA"/>
    <w:rsid w:val="006D7F41"/>
    <w:rsid w:val="006E012C"/>
    <w:rsid w:val="006E4AED"/>
    <w:rsid w:val="006E5A42"/>
    <w:rsid w:val="006E634B"/>
    <w:rsid w:val="006E6992"/>
    <w:rsid w:val="006E6E6F"/>
    <w:rsid w:val="006E71D8"/>
    <w:rsid w:val="006E7E59"/>
    <w:rsid w:val="006F0A6B"/>
    <w:rsid w:val="006F1D4C"/>
    <w:rsid w:val="006F20D7"/>
    <w:rsid w:val="006F5FA4"/>
    <w:rsid w:val="006F5FCA"/>
    <w:rsid w:val="006F6D35"/>
    <w:rsid w:val="006F75C4"/>
    <w:rsid w:val="00705175"/>
    <w:rsid w:val="00705685"/>
    <w:rsid w:val="00706387"/>
    <w:rsid w:val="007078DE"/>
    <w:rsid w:val="00710AD5"/>
    <w:rsid w:val="0071284B"/>
    <w:rsid w:val="00712F98"/>
    <w:rsid w:val="007131EF"/>
    <w:rsid w:val="007134A5"/>
    <w:rsid w:val="007153DC"/>
    <w:rsid w:val="00715AC2"/>
    <w:rsid w:val="00715EB2"/>
    <w:rsid w:val="007163FC"/>
    <w:rsid w:val="00717C8C"/>
    <w:rsid w:val="007201AD"/>
    <w:rsid w:val="00720390"/>
    <w:rsid w:val="00720B8A"/>
    <w:rsid w:val="00720F1E"/>
    <w:rsid w:val="00721C98"/>
    <w:rsid w:val="00722DDA"/>
    <w:rsid w:val="007239C9"/>
    <w:rsid w:val="007241CF"/>
    <w:rsid w:val="00725FEC"/>
    <w:rsid w:val="00730DAB"/>
    <w:rsid w:val="00735122"/>
    <w:rsid w:val="007367F8"/>
    <w:rsid w:val="00736CAD"/>
    <w:rsid w:val="00736D90"/>
    <w:rsid w:val="00736DAA"/>
    <w:rsid w:val="00737267"/>
    <w:rsid w:val="0074136A"/>
    <w:rsid w:val="007429BC"/>
    <w:rsid w:val="00743826"/>
    <w:rsid w:val="0074475D"/>
    <w:rsid w:val="00744FD4"/>
    <w:rsid w:val="0074591C"/>
    <w:rsid w:val="00745E2E"/>
    <w:rsid w:val="007461FD"/>
    <w:rsid w:val="00746E0A"/>
    <w:rsid w:val="007470B1"/>
    <w:rsid w:val="00751C08"/>
    <w:rsid w:val="00752217"/>
    <w:rsid w:val="00752576"/>
    <w:rsid w:val="007532C9"/>
    <w:rsid w:val="007546CE"/>
    <w:rsid w:val="00763086"/>
    <w:rsid w:val="007648AF"/>
    <w:rsid w:val="00764FBC"/>
    <w:rsid w:val="007650AE"/>
    <w:rsid w:val="007665D8"/>
    <w:rsid w:val="00767131"/>
    <w:rsid w:val="00771486"/>
    <w:rsid w:val="007727A9"/>
    <w:rsid w:val="00772B5B"/>
    <w:rsid w:val="007736FC"/>
    <w:rsid w:val="00773796"/>
    <w:rsid w:val="007739E9"/>
    <w:rsid w:val="00774119"/>
    <w:rsid w:val="007744AE"/>
    <w:rsid w:val="00774922"/>
    <w:rsid w:val="00774E22"/>
    <w:rsid w:val="00775BE8"/>
    <w:rsid w:val="00780324"/>
    <w:rsid w:val="007804A2"/>
    <w:rsid w:val="00780E04"/>
    <w:rsid w:val="00783294"/>
    <w:rsid w:val="0078410B"/>
    <w:rsid w:val="00786809"/>
    <w:rsid w:val="00787C8A"/>
    <w:rsid w:val="00791846"/>
    <w:rsid w:val="00791DC6"/>
    <w:rsid w:val="00792B22"/>
    <w:rsid w:val="007940D8"/>
    <w:rsid w:val="007942D6"/>
    <w:rsid w:val="00795A38"/>
    <w:rsid w:val="0079605A"/>
    <w:rsid w:val="007966FE"/>
    <w:rsid w:val="007A0FF1"/>
    <w:rsid w:val="007A178E"/>
    <w:rsid w:val="007A1B06"/>
    <w:rsid w:val="007A220E"/>
    <w:rsid w:val="007A2468"/>
    <w:rsid w:val="007A650A"/>
    <w:rsid w:val="007B1F61"/>
    <w:rsid w:val="007B3C63"/>
    <w:rsid w:val="007B60DD"/>
    <w:rsid w:val="007B6C53"/>
    <w:rsid w:val="007B70D2"/>
    <w:rsid w:val="007C20FF"/>
    <w:rsid w:val="007C457D"/>
    <w:rsid w:val="007C5718"/>
    <w:rsid w:val="007C5A24"/>
    <w:rsid w:val="007C7BD6"/>
    <w:rsid w:val="007D0038"/>
    <w:rsid w:val="007D0332"/>
    <w:rsid w:val="007D04D9"/>
    <w:rsid w:val="007D0C94"/>
    <w:rsid w:val="007D210B"/>
    <w:rsid w:val="007D24E2"/>
    <w:rsid w:val="007D326B"/>
    <w:rsid w:val="007D3F6D"/>
    <w:rsid w:val="007D4587"/>
    <w:rsid w:val="007D5C9D"/>
    <w:rsid w:val="007D64CA"/>
    <w:rsid w:val="007D6B25"/>
    <w:rsid w:val="007D71D0"/>
    <w:rsid w:val="007E0D24"/>
    <w:rsid w:val="007E170F"/>
    <w:rsid w:val="007E1FBF"/>
    <w:rsid w:val="007E218D"/>
    <w:rsid w:val="007E374B"/>
    <w:rsid w:val="007E4813"/>
    <w:rsid w:val="007E512E"/>
    <w:rsid w:val="007E59E7"/>
    <w:rsid w:val="007F046C"/>
    <w:rsid w:val="007F077B"/>
    <w:rsid w:val="007F132A"/>
    <w:rsid w:val="007F1695"/>
    <w:rsid w:val="007F1F30"/>
    <w:rsid w:val="007F2942"/>
    <w:rsid w:val="007F2AB7"/>
    <w:rsid w:val="007F30FD"/>
    <w:rsid w:val="007F4E9E"/>
    <w:rsid w:val="007F69A0"/>
    <w:rsid w:val="007F7D4D"/>
    <w:rsid w:val="007F7E46"/>
    <w:rsid w:val="00800308"/>
    <w:rsid w:val="0080033B"/>
    <w:rsid w:val="00800C95"/>
    <w:rsid w:val="0080107C"/>
    <w:rsid w:val="008013CF"/>
    <w:rsid w:val="00801D0D"/>
    <w:rsid w:val="00802B5E"/>
    <w:rsid w:val="00803B22"/>
    <w:rsid w:val="00803DC7"/>
    <w:rsid w:val="008049E6"/>
    <w:rsid w:val="008057B5"/>
    <w:rsid w:val="00805F5C"/>
    <w:rsid w:val="00807B3C"/>
    <w:rsid w:val="00810104"/>
    <w:rsid w:val="0081294D"/>
    <w:rsid w:val="008139BF"/>
    <w:rsid w:val="00815ABA"/>
    <w:rsid w:val="00820D15"/>
    <w:rsid w:val="00820EF7"/>
    <w:rsid w:val="00821E29"/>
    <w:rsid w:val="008220AF"/>
    <w:rsid w:val="008227E7"/>
    <w:rsid w:val="00824270"/>
    <w:rsid w:val="00824329"/>
    <w:rsid w:val="00824931"/>
    <w:rsid w:val="00825F32"/>
    <w:rsid w:val="0083181D"/>
    <w:rsid w:val="00832902"/>
    <w:rsid w:val="0083367D"/>
    <w:rsid w:val="0083392B"/>
    <w:rsid w:val="00835112"/>
    <w:rsid w:val="008351F1"/>
    <w:rsid w:val="0083710A"/>
    <w:rsid w:val="0083720B"/>
    <w:rsid w:val="00837AFB"/>
    <w:rsid w:val="0084126E"/>
    <w:rsid w:val="008413F5"/>
    <w:rsid w:val="00842B27"/>
    <w:rsid w:val="008444D8"/>
    <w:rsid w:val="008459CC"/>
    <w:rsid w:val="0085076E"/>
    <w:rsid w:val="0085258C"/>
    <w:rsid w:val="00853B50"/>
    <w:rsid w:val="008550C3"/>
    <w:rsid w:val="00855686"/>
    <w:rsid w:val="00860F43"/>
    <w:rsid w:val="00861615"/>
    <w:rsid w:val="00861EFF"/>
    <w:rsid w:val="00863C1E"/>
    <w:rsid w:val="0086669B"/>
    <w:rsid w:val="0086783C"/>
    <w:rsid w:val="008724D4"/>
    <w:rsid w:val="00873CAF"/>
    <w:rsid w:val="00874513"/>
    <w:rsid w:val="008768AD"/>
    <w:rsid w:val="00880753"/>
    <w:rsid w:val="0088190B"/>
    <w:rsid w:val="008839DB"/>
    <w:rsid w:val="00890D3F"/>
    <w:rsid w:val="00890EF0"/>
    <w:rsid w:val="008911D3"/>
    <w:rsid w:val="00892AA2"/>
    <w:rsid w:val="00893F2D"/>
    <w:rsid w:val="00894428"/>
    <w:rsid w:val="0089749D"/>
    <w:rsid w:val="008979A4"/>
    <w:rsid w:val="008A0296"/>
    <w:rsid w:val="008A1735"/>
    <w:rsid w:val="008A26BB"/>
    <w:rsid w:val="008A356A"/>
    <w:rsid w:val="008A43F4"/>
    <w:rsid w:val="008A4E3A"/>
    <w:rsid w:val="008A4F41"/>
    <w:rsid w:val="008B1BB4"/>
    <w:rsid w:val="008B2008"/>
    <w:rsid w:val="008B35A0"/>
    <w:rsid w:val="008B3848"/>
    <w:rsid w:val="008B5B31"/>
    <w:rsid w:val="008B632E"/>
    <w:rsid w:val="008B6459"/>
    <w:rsid w:val="008C05C7"/>
    <w:rsid w:val="008C13F1"/>
    <w:rsid w:val="008C1BE8"/>
    <w:rsid w:val="008C483F"/>
    <w:rsid w:val="008C5512"/>
    <w:rsid w:val="008C6D0D"/>
    <w:rsid w:val="008D064B"/>
    <w:rsid w:val="008D2CAD"/>
    <w:rsid w:val="008D3924"/>
    <w:rsid w:val="008D4DEE"/>
    <w:rsid w:val="008D7508"/>
    <w:rsid w:val="008E0428"/>
    <w:rsid w:val="008E3350"/>
    <w:rsid w:val="008E3821"/>
    <w:rsid w:val="008E3C1C"/>
    <w:rsid w:val="008E4882"/>
    <w:rsid w:val="008E53EA"/>
    <w:rsid w:val="008E6AC5"/>
    <w:rsid w:val="008E6EC1"/>
    <w:rsid w:val="008F139C"/>
    <w:rsid w:val="008F2EA0"/>
    <w:rsid w:val="008F4996"/>
    <w:rsid w:val="008F518B"/>
    <w:rsid w:val="008F5B2E"/>
    <w:rsid w:val="008F700D"/>
    <w:rsid w:val="00900086"/>
    <w:rsid w:val="009003B0"/>
    <w:rsid w:val="009009A4"/>
    <w:rsid w:val="0090112D"/>
    <w:rsid w:val="0090193D"/>
    <w:rsid w:val="00902969"/>
    <w:rsid w:val="00904D7F"/>
    <w:rsid w:val="00905539"/>
    <w:rsid w:val="0090569D"/>
    <w:rsid w:val="0090679E"/>
    <w:rsid w:val="009077EF"/>
    <w:rsid w:val="009105BB"/>
    <w:rsid w:val="00910B4F"/>
    <w:rsid w:val="00910CCC"/>
    <w:rsid w:val="009124AF"/>
    <w:rsid w:val="00913874"/>
    <w:rsid w:val="00915EE6"/>
    <w:rsid w:val="00916405"/>
    <w:rsid w:val="00922F59"/>
    <w:rsid w:val="00925CC2"/>
    <w:rsid w:val="0092698E"/>
    <w:rsid w:val="00927514"/>
    <w:rsid w:val="00931BE2"/>
    <w:rsid w:val="009335E4"/>
    <w:rsid w:val="009358F5"/>
    <w:rsid w:val="009359E4"/>
    <w:rsid w:val="009360EA"/>
    <w:rsid w:val="009402EE"/>
    <w:rsid w:val="00941D96"/>
    <w:rsid w:val="00942D77"/>
    <w:rsid w:val="009431D0"/>
    <w:rsid w:val="00943552"/>
    <w:rsid w:val="009454BF"/>
    <w:rsid w:val="00945AE7"/>
    <w:rsid w:val="00947443"/>
    <w:rsid w:val="00951E26"/>
    <w:rsid w:val="0095210A"/>
    <w:rsid w:val="00952A40"/>
    <w:rsid w:val="009530E4"/>
    <w:rsid w:val="00953885"/>
    <w:rsid w:val="009545A1"/>
    <w:rsid w:val="00955D6E"/>
    <w:rsid w:val="0095657A"/>
    <w:rsid w:val="00956740"/>
    <w:rsid w:val="0095676F"/>
    <w:rsid w:val="00956F22"/>
    <w:rsid w:val="0095718C"/>
    <w:rsid w:val="0096123E"/>
    <w:rsid w:val="00962B30"/>
    <w:rsid w:val="0096485D"/>
    <w:rsid w:val="00964BEF"/>
    <w:rsid w:val="00965451"/>
    <w:rsid w:val="0096550E"/>
    <w:rsid w:val="009657DB"/>
    <w:rsid w:val="00965BBB"/>
    <w:rsid w:val="009660AA"/>
    <w:rsid w:val="00967B4E"/>
    <w:rsid w:val="00972F35"/>
    <w:rsid w:val="00973F6D"/>
    <w:rsid w:val="00974D77"/>
    <w:rsid w:val="0097556C"/>
    <w:rsid w:val="009774AE"/>
    <w:rsid w:val="0097750F"/>
    <w:rsid w:val="00983623"/>
    <w:rsid w:val="00983BFC"/>
    <w:rsid w:val="00983D16"/>
    <w:rsid w:val="00983F8F"/>
    <w:rsid w:val="0098452E"/>
    <w:rsid w:val="00984744"/>
    <w:rsid w:val="0098652D"/>
    <w:rsid w:val="00990B28"/>
    <w:rsid w:val="009914D7"/>
    <w:rsid w:val="00991E44"/>
    <w:rsid w:val="009940CC"/>
    <w:rsid w:val="00994648"/>
    <w:rsid w:val="00994A26"/>
    <w:rsid w:val="00994C73"/>
    <w:rsid w:val="00996B9E"/>
    <w:rsid w:val="00997FC5"/>
    <w:rsid w:val="009A0231"/>
    <w:rsid w:val="009A056F"/>
    <w:rsid w:val="009A10BF"/>
    <w:rsid w:val="009A279D"/>
    <w:rsid w:val="009A4D86"/>
    <w:rsid w:val="009A654A"/>
    <w:rsid w:val="009A65F1"/>
    <w:rsid w:val="009A6B4C"/>
    <w:rsid w:val="009A7323"/>
    <w:rsid w:val="009B01E1"/>
    <w:rsid w:val="009B0790"/>
    <w:rsid w:val="009B183C"/>
    <w:rsid w:val="009B1C6C"/>
    <w:rsid w:val="009B3CAC"/>
    <w:rsid w:val="009B612E"/>
    <w:rsid w:val="009B6C2A"/>
    <w:rsid w:val="009C0414"/>
    <w:rsid w:val="009C19C9"/>
    <w:rsid w:val="009C44B2"/>
    <w:rsid w:val="009C51AD"/>
    <w:rsid w:val="009C5AFF"/>
    <w:rsid w:val="009C6764"/>
    <w:rsid w:val="009D05E1"/>
    <w:rsid w:val="009D38A0"/>
    <w:rsid w:val="009D395F"/>
    <w:rsid w:val="009D3F52"/>
    <w:rsid w:val="009D6719"/>
    <w:rsid w:val="009D6D4D"/>
    <w:rsid w:val="009D7503"/>
    <w:rsid w:val="009E16E8"/>
    <w:rsid w:val="009E5C8A"/>
    <w:rsid w:val="009E683A"/>
    <w:rsid w:val="009F19F8"/>
    <w:rsid w:val="009F1E23"/>
    <w:rsid w:val="009F209A"/>
    <w:rsid w:val="009F3A28"/>
    <w:rsid w:val="009F3C9F"/>
    <w:rsid w:val="009F4A9E"/>
    <w:rsid w:val="00A00D54"/>
    <w:rsid w:val="00A0123E"/>
    <w:rsid w:val="00A022AA"/>
    <w:rsid w:val="00A03E80"/>
    <w:rsid w:val="00A04536"/>
    <w:rsid w:val="00A0484D"/>
    <w:rsid w:val="00A04C62"/>
    <w:rsid w:val="00A06771"/>
    <w:rsid w:val="00A073F0"/>
    <w:rsid w:val="00A07EB6"/>
    <w:rsid w:val="00A10520"/>
    <w:rsid w:val="00A129C0"/>
    <w:rsid w:val="00A1313F"/>
    <w:rsid w:val="00A1336F"/>
    <w:rsid w:val="00A1366E"/>
    <w:rsid w:val="00A15443"/>
    <w:rsid w:val="00A16062"/>
    <w:rsid w:val="00A17A09"/>
    <w:rsid w:val="00A21ECB"/>
    <w:rsid w:val="00A220B4"/>
    <w:rsid w:val="00A22B88"/>
    <w:rsid w:val="00A259BD"/>
    <w:rsid w:val="00A27EBC"/>
    <w:rsid w:val="00A30688"/>
    <w:rsid w:val="00A30784"/>
    <w:rsid w:val="00A315EE"/>
    <w:rsid w:val="00A31880"/>
    <w:rsid w:val="00A324EA"/>
    <w:rsid w:val="00A3380F"/>
    <w:rsid w:val="00A343EC"/>
    <w:rsid w:val="00A35C41"/>
    <w:rsid w:val="00A3766B"/>
    <w:rsid w:val="00A37A20"/>
    <w:rsid w:val="00A401FD"/>
    <w:rsid w:val="00A46473"/>
    <w:rsid w:val="00A467AA"/>
    <w:rsid w:val="00A523CB"/>
    <w:rsid w:val="00A52687"/>
    <w:rsid w:val="00A537B6"/>
    <w:rsid w:val="00A55B33"/>
    <w:rsid w:val="00A608FC"/>
    <w:rsid w:val="00A611DA"/>
    <w:rsid w:val="00A61D85"/>
    <w:rsid w:val="00A64AB8"/>
    <w:rsid w:val="00A6509A"/>
    <w:rsid w:val="00A66263"/>
    <w:rsid w:val="00A67303"/>
    <w:rsid w:val="00A70E0D"/>
    <w:rsid w:val="00A71337"/>
    <w:rsid w:val="00A71426"/>
    <w:rsid w:val="00A72241"/>
    <w:rsid w:val="00A73FAB"/>
    <w:rsid w:val="00A755E5"/>
    <w:rsid w:val="00A77D41"/>
    <w:rsid w:val="00A823A2"/>
    <w:rsid w:val="00A843D8"/>
    <w:rsid w:val="00A84844"/>
    <w:rsid w:val="00A85588"/>
    <w:rsid w:val="00A866C4"/>
    <w:rsid w:val="00A86ABE"/>
    <w:rsid w:val="00A86DA7"/>
    <w:rsid w:val="00A87913"/>
    <w:rsid w:val="00A90604"/>
    <w:rsid w:val="00A90784"/>
    <w:rsid w:val="00A93B44"/>
    <w:rsid w:val="00A93D32"/>
    <w:rsid w:val="00A94417"/>
    <w:rsid w:val="00A94750"/>
    <w:rsid w:val="00A96556"/>
    <w:rsid w:val="00AA0483"/>
    <w:rsid w:val="00AA1F83"/>
    <w:rsid w:val="00AA322E"/>
    <w:rsid w:val="00AA3C03"/>
    <w:rsid w:val="00AA3E50"/>
    <w:rsid w:val="00AA4DB1"/>
    <w:rsid w:val="00AA66B3"/>
    <w:rsid w:val="00AA7ADB"/>
    <w:rsid w:val="00AA7B6E"/>
    <w:rsid w:val="00AB02BC"/>
    <w:rsid w:val="00AB10A7"/>
    <w:rsid w:val="00AB161B"/>
    <w:rsid w:val="00AB1BBF"/>
    <w:rsid w:val="00AB2E89"/>
    <w:rsid w:val="00AB457E"/>
    <w:rsid w:val="00AB702F"/>
    <w:rsid w:val="00AC16D0"/>
    <w:rsid w:val="00AC1A90"/>
    <w:rsid w:val="00AC4E56"/>
    <w:rsid w:val="00AD1B80"/>
    <w:rsid w:val="00AD1FB5"/>
    <w:rsid w:val="00AD2582"/>
    <w:rsid w:val="00AD2797"/>
    <w:rsid w:val="00AD3A59"/>
    <w:rsid w:val="00AD5F7C"/>
    <w:rsid w:val="00AD69E7"/>
    <w:rsid w:val="00AD7B33"/>
    <w:rsid w:val="00AD7E76"/>
    <w:rsid w:val="00AE0380"/>
    <w:rsid w:val="00AE178B"/>
    <w:rsid w:val="00AE1CD2"/>
    <w:rsid w:val="00AE32E0"/>
    <w:rsid w:val="00AE39DC"/>
    <w:rsid w:val="00AE5ABC"/>
    <w:rsid w:val="00AE6625"/>
    <w:rsid w:val="00AE69BC"/>
    <w:rsid w:val="00AE76EE"/>
    <w:rsid w:val="00AE7DF2"/>
    <w:rsid w:val="00AF0A71"/>
    <w:rsid w:val="00AF1207"/>
    <w:rsid w:val="00AF3F4F"/>
    <w:rsid w:val="00AF51BC"/>
    <w:rsid w:val="00AF59D7"/>
    <w:rsid w:val="00AF5CBC"/>
    <w:rsid w:val="00AF6F0A"/>
    <w:rsid w:val="00B00965"/>
    <w:rsid w:val="00B01FA5"/>
    <w:rsid w:val="00B0202B"/>
    <w:rsid w:val="00B041D8"/>
    <w:rsid w:val="00B04861"/>
    <w:rsid w:val="00B0525E"/>
    <w:rsid w:val="00B05325"/>
    <w:rsid w:val="00B06582"/>
    <w:rsid w:val="00B0743F"/>
    <w:rsid w:val="00B1032C"/>
    <w:rsid w:val="00B108E2"/>
    <w:rsid w:val="00B11C58"/>
    <w:rsid w:val="00B169AE"/>
    <w:rsid w:val="00B213D2"/>
    <w:rsid w:val="00B22AC9"/>
    <w:rsid w:val="00B24EBD"/>
    <w:rsid w:val="00B25732"/>
    <w:rsid w:val="00B25B63"/>
    <w:rsid w:val="00B27E8A"/>
    <w:rsid w:val="00B30E37"/>
    <w:rsid w:val="00B31A1E"/>
    <w:rsid w:val="00B320AD"/>
    <w:rsid w:val="00B3279A"/>
    <w:rsid w:val="00B3536A"/>
    <w:rsid w:val="00B35746"/>
    <w:rsid w:val="00B35B57"/>
    <w:rsid w:val="00B35C69"/>
    <w:rsid w:val="00B3673D"/>
    <w:rsid w:val="00B42271"/>
    <w:rsid w:val="00B43B5A"/>
    <w:rsid w:val="00B43EE6"/>
    <w:rsid w:val="00B44EE4"/>
    <w:rsid w:val="00B50764"/>
    <w:rsid w:val="00B507B0"/>
    <w:rsid w:val="00B51D83"/>
    <w:rsid w:val="00B51D88"/>
    <w:rsid w:val="00B5314F"/>
    <w:rsid w:val="00B54B32"/>
    <w:rsid w:val="00B57685"/>
    <w:rsid w:val="00B60A16"/>
    <w:rsid w:val="00B632DF"/>
    <w:rsid w:val="00B63BFA"/>
    <w:rsid w:val="00B63E9E"/>
    <w:rsid w:val="00B6432F"/>
    <w:rsid w:val="00B65B44"/>
    <w:rsid w:val="00B67391"/>
    <w:rsid w:val="00B7136C"/>
    <w:rsid w:val="00B729D6"/>
    <w:rsid w:val="00B72B29"/>
    <w:rsid w:val="00B7363E"/>
    <w:rsid w:val="00B74AF3"/>
    <w:rsid w:val="00B75049"/>
    <w:rsid w:val="00B766F7"/>
    <w:rsid w:val="00B8002D"/>
    <w:rsid w:val="00B81D1E"/>
    <w:rsid w:val="00B86687"/>
    <w:rsid w:val="00B90471"/>
    <w:rsid w:val="00B9164F"/>
    <w:rsid w:val="00B919A9"/>
    <w:rsid w:val="00BA031B"/>
    <w:rsid w:val="00BA09C7"/>
    <w:rsid w:val="00BA1BA9"/>
    <w:rsid w:val="00BA3B1C"/>
    <w:rsid w:val="00BA615B"/>
    <w:rsid w:val="00BB0745"/>
    <w:rsid w:val="00BB144E"/>
    <w:rsid w:val="00BB2C7D"/>
    <w:rsid w:val="00BB36FA"/>
    <w:rsid w:val="00BB3A79"/>
    <w:rsid w:val="00BB4EB1"/>
    <w:rsid w:val="00BB4EF8"/>
    <w:rsid w:val="00BB5C1E"/>
    <w:rsid w:val="00BB7E0A"/>
    <w:rsid w:val="00BC0E59"/>
    <w:rsid w:val="00BC140C"/>
    <w:rsid w:val="00BC4906"/>
    <w:rsid w:val="00BC6E60"/>
    <w:rsid w:val="00BD05E5"/>
    <w:rsid w:val="00BD0F70"/>
    <w:rsid w:val="00BD11F3"/>
    <w:rsid w:val="00BD12EB"/>
    <w:rsid w:val="00BD2933"/>
    <w:rsid w:val="00BD3FF9"/>
    <w:rsid w:val="00BD4250"/>
    <w:rsid w:val="00BD5A2E"/>
    <w:rsid w:val="00BD5CCF"/>
    <w:rsid w:val="00BE08A8"/>
    <w:rsid w:val="00BE0E33"/>
    <w:rsid w:val="00BE16F1"/>
    <w:rsid w:val="00BE580A"/>
    <w:rsid w:val="00BF08C3"/>
    <w:rsid w:val="00BF44A7"/>
    <w:rsid w:val="00BF5AF3"/>
    <w:rsid w:val="00C021CD"/>
    <w:rsid w:val="00C028AE"/>
    <w:rsid w:val="00C05A00"/>
    <w:rsid w:val="00C05E13"/>
    <w:rsid w:val="00C06413"/>
    <w:rsid w:val="00C06F21"/>
    <w:rsid w:val="00C12621"/>
    <w:rsid w:val="00C13F61"/>
    <w:rsid w:val="00C14C14"/>
    <w:rsid w:val="00C168EC"/>
    <w:rsid w:val="00C1697B"/>
    <w:rsid w:val="00C17080"/>
    <w:rsid w:val="00C172BD"/>
    <w:rsid w:val="00C214FA"/>
    <w:rsid w:val="00C2181E"/>
    <w:rsid w:val="00C21961"/>
    <w:rsid w:val="00C227FE"/>
    <w:rsid w:val="00C22911"/>
    <w:rsid w:val="00C26C63"/>
    <w:rsid w:val="00C301C3"/>
    <w:rsid w:val="00C31496"/>
    <w:rsid w:val="00C32259"/>
    <w:rsid w:val="00C33A6C"/>
    <w:rsid w:val="00C33F9E"/>
    <w:rsid w:val="00C344F1"/>
    <w:rsid w:val="00C34B06"/>
    <w:rsid w:val="00C35E6A"/>
    <w:rsid w:val="00C36015"/>
    <w:rsid w:val="00C366E7"/>
    <w:rsid w:val="00C36898"/>
    <w:rsid w:val="00C36987"/>
    <w:rsid w:val="00C40914"/>
    <w:rsid w:val="00C41B2C"/>
    <w:rsid w:val="00C42186"/>
    <w:rsid w:val="00C42220"/>
    <w:rsid w:val="00C4438C"/>
    <w:rsid w:val="00C50E8F"/>
    <w:rsid w:val="00C51292"/>
    <w:rsid w:val="00C513C6"/>
    <w:rsid w:val="00C52592"/>
    <w:rsid w:val="00C52EA7"/>
    <w:rsid w:val="00C55604"/>
    <w:rsid w:val="00C55910"/>
    <w:rsid w:val="00C5639A"/>
    <w:rsid w:val="00C56B9C"/>
    <w:rsid w:val="00C56DA1"/>
    <w:rsid w:val="00C578EE"/>
    <w:rsid w:val="00C579F6"/>
    <w:rsid w:val="00C60110"/>
    <w:rsid w:val="00C60C85"/>
    <w:rsid w:val="00C61E36"/>
    <w:rsid w:val="00C63180"/>
    <w:rsid w:val="00C645D9"/>
    <w:rsid w:val="00C64FDD"/>
    <w:rsid w:val="00C652E6"/>
    <w:rsid w:val="00C654A3"/>
    <w:rsid w:val="00C6599B"/>
    <w:rsid w:val="00C6734F"/>
    <w:rsid w:val="00C70B62"/>
    <w:rsid w:val="00C7105B"/>
    <w:rsid w:val="00C72B1A"/>
    <w:rsid w:val="00C74552"/>
    <w:rsid w:val="00C75C38"/>
    <w:rsid w:val="00C75F12"/>
    <w:rsid w:val="00C77E0F"/>
    <w:rsid w:val="00C80912"/>
    <w:rsid w:val="00C83B9D"/>
    <w:rsid w:val="00C84044"/>
    <w:rsid w:val="00C84451"/>
    <w:rsid w:val="00C85212"/>
    <w:rsid w:val="00C861E2"/>
    <w:rsid w:val="00C872C2"/>
    <w:rsid w:val="00C87C3A"/>
    <w:rsid w:val="00C925FE"/>
    <w:rsid w:val="00C94279"/>
    <w:rsid w:val="00CA25E3"/>
    <w:rsid w:val="00CA520D"/>
    <w:rsid w:val="00CA7723"/>
    <w:rsid w:val="00CB0CC2"/>
    <w:rsid w:val="00CB0D92"/>
    <w:rsid w:val="00CB167D"/>
    <w:rsid w:val="00CB2CC2"/>
    <w:rsid w:val="00CB35F9"/>
    <w:rsid w:val="00CB3E35"/>
    <w:rsid w:val="00CB4780"/>
    <w:rsid w:val="00CB51B0"/>
    <w:rsid w:val="00CC0C86"/>
    <w:rsid w:val="00CC0F23"/>
    <w:rsid w:val="00CC1B5E"/>
    <w:rsid w:val="00CC1D51"/>
    <w:rsid w:val="00CC1E3A"/>
    <w:rsid w:val="00CC3CDB"/>
    <w:rsid w:val="00CC40F8"/>
    <w:rsid w:val="00CC4AF5"/>
    <w:rsid w:val="00CC54C5"/>
    <w:rsid w:val="00CC585E"/>
    <w:rsid w:val="00CC60BC"/>
    <w:rsid w:val="00CC6642"/>
    <w:rsid w:val="00CC6D54"/>
    <w:rsid w:val="00CC74CB"/>
    <w:rsid w:val="00CC7CA1"/>
    <w:rsid w:val="00CD064F"/>
    <w:rsid w:val="00CD10EB"/>
    <w:rsid w:val="00CD11FF"/>
    <w:rsid w:val="00CD21AD"/>
    <w:rsid w:val="00CD344C"/>
    <w:rsid w:val="00CD52E8"/>
    <w:rsid w:val="00CD5CAD"/>
    <w:rsid w:val="00CD71D3"/>
    <w:rsid w:val="00CD778B"/>
    <w:rsid w:val="00CE02CE"/>
    <w:rsid w:val="00CE04A3"/>
    <w:rsid w:val="00CE176B"/>
    <w:rsid w:val="00CE1FF2"/>
    <w:rsid w:val="00CE4305"/>
    <w:rsid w:val="00CE4949"/>
    <w:rsid w:val="00CE50DB"/>
    <w:rsid w:val="00CE57CB"/>
    <w:rsid w:val="00CE5AFA"/>
    <w:rsid w:val="00CE6C6A"/>
    <w:rsid w:val="00CE6CE7"/>
    <w:rsid w:val="00CE6F83"/>
    <w:rsid w:val="00CE7EDA"/>
    <w:rsid w:val="00CF0BE8"/>
    <w:rsid w:val="00CF2AB3"/>
    <w:rsid w:val="00CF2D2B"/>
    <w:rsid w:val="00CF3790"/>
    <w:rsid w:val="00CF448E"/>
    <w:rsid w:val="00CF4D8F"/>
    <w:rsid w:val="00CF5B8A"/>
    <w:rsid w:val="00CF7344"/>
    <w:rsid w:val="00D00470"/>
    <w:rsid w:val="00D005E7"/>
    <w:rsid w:val="00D0335D"/>
    <w:rsid w:val="00D06DA3"/>
    <w:rsid w:val="00D07120"/>
    <w:rsid w:val="00D07C2B"/>
    <w:rsid w:val="00D07F27"/>
    <w:rsid w:val="00D122AC"/>
    <w:rsid w:val="00D136BA"/>
    <w:rsid w:val="00D13A84"/>
    <w:rsid w:val="00D21983"/>
    <w:rsid w:val="00D22265"/>
    <w:rsid w:val="00D24FEF"/>
    <w:rsid w:val="00D274FC"/>
    <w:rsid w:val="00D277B3"/>
    <w:rsid w:val="00D31D33"/>
    <w:rsid w:val="00D357C3"/>
    <w:rsid w:val="00D369AC"/>
    <w:rsid w:val="00D372BD"/>
    <w:rsid w:val="00D37367"/>
    <w:rsid w:val="00D4318B"/>
    <w:rsid w:val="00D43946"/>
    <w:rsid w:val="00D43C17"/>
    <w:rsid w:val="00D45766"/>
    <w:rsid w:val="00D50A88"/>
    <w:rsid w:val="00D54C48"/>
    <w:rsid w:val="00D554F0"/>
    <w:rsid w:val="00D55C41"/>
    <w:rsid w:val="00D56539"/>
    <w:rsid w:val="00D56A10"/>
    <w:rsid w:val="00D5712D"/>
    <w:rsid w:val="00D61530"/>
    <w:rsid w:val="00D62857"/>
    <w:rsid w:val="00D63F88"/>
    <w:rsid w:val="00D65F1C"/>
    <w:rsid w:val="00D662D5"/>
    <w:rsid w:val="00D7011F"/>
    <w:rsid w:val="00D74D34"/>
    <w:rsid w:val="00D75D98"/>
    <w:rsid w:val="00D77032"/>
    <w:rsid w:val="00D771F3"/>
    <w:rsid w:val="00D778E8"/>
    <w:rsid w:val="00D80C2F"/>
    <w:rsid w:val="00D8283D"/>
    <w:rsid w:val="00D84C13"/>
    <w:rsid w:val="00D86840"/>
    <w:rsid w:val="00D868EE"/>
    <w:rsid w:val="00D87FD9"/>
    <w:rsid w:val="00D90038"/>
    <w:rsid w:val="00D9489E"/>
    <w:rsid w:val="00D96102"/>
    <w:rsid w:val="00D97869"/>
    <w:rsid w:val="00DA0874"/>
    <w:rsid w:val="00DA0D62"/>
    <w:rsid w:val="00DA136F"/>
    <w:rsid w:val="00DA1ACD"/>
    <w:rsid w:val="00DA1B90"/>
    <w:rsid w:val="00DA7B68"/>
    <w:rsid w:val="00DB07E3"/>
    <w:rsid w:val="00DB29C7"/>
    <w:rsid w:val="00DB30B9"/>
    <w:rsid w:val="00DB31CC"/>
    <w:rsid w:val="00DB5F8D"/>
    <w:rsid w:val="00DB6ABE"/>
    <w:rsid w:val="00DB7A93"/>
    <w:rsid w:val="00DC2460"/>
    <w:rsid w:val="00DC2546"/>
    <w:rsid w:val="00DC2C34"/>
    <w:rsid w:val="00DC4B31"/>
    <w:rsid w:val="00DC58BB"/>
    <w:rsid w:val="00DC7C1F"/>
    <w:rsid w:val="00DD0335"/>
    <w:rsid w:val="00DD0563"/>
    <w:rsid w:val="00DD143A"/>
    <w:rsid w:val="00DD1705"/>
    <w:rsid w:val="00DD2EB9"/>
    <w:rsid w:val="00DD38A5"/>
    <w:rsid w:val="00DD3E61"/>
    <w:rsid w:val="00DD43D5"/>
    <w:rsid w:val="00DD43F2"/>
    <w:rsid w:val="00DD4552"/>
    <w:rsid w:val="00DD50FB"/>
    <w:rsid w:val="00DD5DDF"/>
    <w:rsid w:val="00DD5FFA"/>
    <w:rsid w:val="00DD6170"/>
    <w:rsid w:val="00DD7BE4"/>
    <w:rsid w:val="00DE0B6D"/>
    <w:rsid w:val="00DE17E3"/>
    <w:rsid w:val="00DE3697"/>
    <w:rsid w:val="00DE50DF"/>
    <w:rsid w:val="00DE5EC3"/>
    <w:rsid w:val="00DE6746"/>
    <w:rsid w:val="00DE7E06"/>
    <w:rsid w:val="00DE7E08"/>
    <w:rsid w:val="00DF05CD"/>
    <w:rsid w:val="00DF1370"/>
    <w:rsid w:val="00DF15EB"/>
    <w:rsid w:val="00DF28D5"/>
    <w:rsid w:val="00DF3190"/>
    <w:rsid w:val="00DF36BB"/>
    <w:rsid w:val="00DF42E8"/>
    <w:rsid w:val="00E00F13"/>
    <w:rsid w:val="00E02DD3"/>
    <w:rsid w:val="00E0592A"/>
    <w:rsid w:val="00E05C0E"/>
    <w:rsid w:val="00E07AC9"/>
    <w:rsid w:val="00E118FE"/>
    <w:rsid w:val="00E11A46"/>
    <w:rsid w:val="00E12BB2"/>
    <w:rsid w:val="00E13A1B"/>
    <w:rsid w:val="00E14387"/>
    <w:rsid w:val="00E1705A"/>
    <w:rsid w:val="00E177D5"/>
    <w:rsid w:val="00E179F0"/>
    <w:rsid w:val="00E20A45"/>
    <w:rsid w:val="00E21C6E"/>
    <w:rsid w:val="00E23186"/>
    <w:rsid w:val="00E25B9C"/>
    <w:rsid w:val="00E25C68"/>
    <w:rsid w:val="00E27D4E"/>
    <w:rsid w:val="00E30A34"/>
    <w:rsid w:val="00E331DE"/>
    <w:rsid w:val="00E3460F"/>
    <w:rsid w:val="00E416E8"/>
    <w:rsid w:val="00E42CE3"/>
    <w:rsid w:val="00E44256"/>
    <w:rsid w:val="00E455FB"/>
    <w:rsid w:val="00E501CF"/>
    <w:rsid w:val="00E5080E"/>
    <w:rsid w:val="00E5086F"/>
    <w:rsid w:val="00E523BF"/>
    <w:rsid w:val="00E525A8"/>
    <w:rsid w:val="00E52AA5"/>
    <w:rsid w:val="00E536CA"/>
    <w:rsid w:val="00E54FD0"/>
    <w:rsid w:val="00E55077"/>
    <w:rsid w:val="00E563E9"/>
    <w:rsid w:val="00E63403"/>
    <w:rsid w:val="00E67899"/>
    <w:rsid w:val="00E679FC"/>
    <w:rsid w:val="00E70BF5"/>
    <w:rsid w:val="00E71343"/>
    <w:rsid w:val="00E718E9"/>
    <w:rsid w:val="00E72EB4"/>
    <w:rsid w:val="00E73BCE"/>
    <w:rsid w:val="00E74E50"/>
    <w:rsid w:val="00E75096"/>
    <w:rsid w:val="00E75523"/>
    <w:rsid w:val="00E7662F"/>
    <w:rsid w:val="00E809C9"/>
    <w:rsid w:val="00E81084"/>
    <w:rsid w:val="00E8152C"/>
    <w:rsid w:val="00E82447"/>
    <w:rsid w:val="00E8298D"/>
    <w:rsid w:val="00E83105"/>
    <w:rsid w:val="00E8386B"/>
    <w:rsid w:val="00E854C8"/>
    <w:rsid w:val="00E855A4"/>
    <w:rsid w:val="00E855B3"/>
    <w:rsid w:val="00E85BDF"/>
    <w:rsid w:val="00E86118"/>
    <w:rsid w:val="00E90676"/>
    <w:rsid w:val="00E91676"/>
    <w:rsid w:val="00E93905"/>
    <w:rsid w:val="00E93C2B"/>
    <w:rsid w:val="00E94965"/>
    <w:rsid w:val="00E95881"/>
    <w:rsid w:val="00EA0C15"/>
    <w:rsid w:val="00EA2ECE"/>
    <w:rsid w:val="00EA3029"/>
    <w:rsid w:val="00EA30AD"/>
    <w:rsid w:val="00EA35C5"/>
    <w:rsid w:val="00EA7CEE"/>
    <w:rsid w:val="00EB28EE"/>
    <w:rsid w:val="00EB45CA"/>
    <w:rsid w:val="00EB6474"/>
    <w:rsid w:val="00EB65A4"/>
    <w:rsid w:val="00EC0A7D"/>
    <w:rsid w:val="00EC23D7"/>
    <w:rsid w:val="00EC2C93"/>
    <w:rsid w:val="00EC4FF9"/>
    <w:rsid w:val="00EC68B4"/>
    <w:rsid w:val="00ED0599"/>
    <w:rsid w:val="00ED1043"/>
    <w:rsid w:val="00ED12AE"/>
    <w:rsid w:val="00ED1A57"/>
    <w:rsid w:val="00ED1A68"/>
    <w:rsid w:val="00ED2FD4"/>
    <w:rsid w:val="00ED479A"/>
    <w:rsid w:val="00ED4E46"/>
    <w:rsid w:val="00EE0869"/>
    <w:rsid w:val="00EE1AE6"/>
    <w:rsid w:val="00EE2ED9"/>
    <w:rsid w:val="00EE4C56"/>
    <w:rsid w:val="00EE7C46"/>
    <w:rsid w:val="00EF0C09"/>
    <w:rsid w:val="00EF2E79"/>
    <w:rsid w:val="00EF383C"/>
    <w:rsid w:val="00EF5743"/>
    <w:rsid w:val="00EF6474"/>
    <w:rsid w:val="00EF6F07"/>
    <w:rsid w:val="00EF7D65"/>
    <w:rsid w:val="00F00491"/>
    <w:rsid w:val="00F008FE"/>
    <w:rsid w:val="00F02EB5"/>
    <w:rsid w:val="00F048EB"/>
    <w:rsid w:val="00F04C16"/>
    <w:rsid w:val="00F14309"/>
    <w:rsid w:val="00F149B6"/>
    <w:rsid w:val="00F1700D"/>
    <w:rsid w:val="00F17F35"/>
    <w:rsid w:val="00F20CB2"/>
    <w:rsid w:val="00F2265F"/>
    <w:rsid w:val="00F229AB"/>
    <w:rsid w:val="00F23092"/>
    <w:rsid w:val="00F23B0F"/>
    <w:rsid w:val="00F24040"/>
    <w:rsid w:val="00F25343"/>
    <w:rsid w:val="00F25B9C"/>
    <w:rsid w:val="00F2617D"/>
    <w:rsid w:val="00F26504"/>
    <w:rsid w:val="00F305A1"/>
    <w:rsid w:val="00F30B2E"/>
    <w:rsid w:val="00F31024"/>
    <w:rsid w:val="00F31C39"/>
    <w:rsid w:val="00F33A3A"/>
    <w:rsid w:val="00F345F7"/>
    <w:rsid w:val="00F35601"/>
    <w:rsid w:val="00F359A1"/>
    <w:rsid w:val="00F3621F"/>
    <w:rsid w:val="00F37D9D"/>
    <w:rsid w:val="00F42FDE"/>
    <w:rsid w:val="00F43A23"/>
    <w:rsid w:val="00F46963"/>
    <w:rsid w:val="00F46AF5"/>
    <w:rsid w:val="00F47F6D"/>
    <w:rsid w:val="00F504C8"/>
    <w:rsid w:val="00F5268A"/>
    <w:rsid w:val="00F533D4"/>
    <w:rsid w:val="00F55768"/>
    <w:rsid w:val="00F55C93"/>
    <w:rsid w:val="00F560F4"/>
    <w:rsid w:val="00F56D89"/>
    <w:rsid w:val="00F579B0"/>
    <w:rsid w:val="00F57DAE"/>
    <w:rsid w:val="00F6114E"/>
    <w:rsid w:val="00F6468A"/>
    <w:rsid w:val="00F661CA"/>
    <w:rsid w:val="00F66B33"/>
    <w:rsid w:val="00F70043"/>
    <w:rsid w:val="00F72316"/>
    <w:rsid w:val="00F73381"/>
    <w:rsid w:val="00F7509D"/>
    <w:rsid w:val="00F76DE6"/>
    <w:rsid w:val="00F778C8"/>
    <w:rsid w:val="00F84C97"/>
    <w:rsid w:val="00F8554E"/>
    <w:rsid w:val="00F8570E"/>
    <w:rsid w:val="00F87A5C"/>
    <w:rsid w:val="00F925E3"/>
    <w:rsid w:val="00F9300B"/>
    <w:rsid w:val="00F9514C"/>
    <w:rsid w:val="00F956B4"/>
    <w:rsid w:val="00F95C56"/>
    <w:rsid w:val="00F9609D"/>
    <w:rsid w:val="00F97926"/>
    <w:rsid w:val="00F97BAB"/>
    <w:rsid w:val="00FA180B"/>
    <w:rsid w:val="00FA23C7"/>
    <w:rsid w:val="00FA52BC"/>
    <w:rsid w:val="00FA59B4"/>
    <w:rsid w:val="00FA6BEC"/>
    <w:rsid w:val="00FA72ED"/>
    <w:rsid w:val="00FB11A0"/>
    <w:rsid w:val="00FB16D3"/>
    <w:rsid w:val="00FB1A77"/>
    <w:rsid w:val="00FB2AF2"/>
    <w:rsid w:val="00FB2D18"/>
    <w:rsid w:val="00FB4875"/>
    <w:rsid w:val="00FC3F8C"/>
    <w:rsid w:val="00FC68AC"/>
    <w:rsid w:val="00FC7075"/>
    <w:rsid w:val="00FC749C"/>
    <w:rsid w:val="00FD04F2"/>
    <w:rsid w:val="00FD05E1"/>
    <w:rsid w:val="00FD2DBB"/>
    <w:rsid w:val="00FD2EFA"/>
    <w:rsid w:val="00FD3B36"/>
    <w:rsid w:val="00FD4FA7"/>
    <w:rsid w:val="00FD5F57"/>
    <w:rsid w:val="00FD70AB"/>
    <w:rsid w:val="00FD73EF"/>
    <w:rsid w:val="00FE16BC"/>
    <w:rsid w:val="00FE1A7D"/>
    <w:rsid w:val="00FE1DCC"/>
    <w:rsid w:val="00FE2351"/>
    <w:rsid w:val="00FE2E30"/>
    <w:rsid w:val="00FE3179"/>
    <w:rsid w:val="00FE35FB"/>
    <w:rsid w:val="00FE5231"/>
    <w:rsid w:val="00FE5421"/>
    <w:rsid w:val="00FE769D"/>
    <w:rsid w:val="00FF0CA8"/>
    <w:rsid w:val="00FF1341"/>
    <w:rsid w:val="00FF1626"/>
    <w:rsid w:val="00FF1B02"/>
    <w:rsid w:val="00FF2246"/>
    <w:rsid w:val="00FF2712"/>
    <w:rsid w:val="00FF511F"/>
    <w:rsid w:val="00FF59F6"/>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06B5"/>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542B88"/>
    <w:pPr>
      <w:tabs>
        <w:tab w:val="left" w:pos="960"/>
        <w:tab w:val="left" w:pos="993"/>
        <w:tab w:val="right" w:leader="dot" w:pos="9062"/>
      </w:tabs>
      <w:spacing w:after="0"/>
      <w:ind w:left="992" w:right="567" w:hanging="567"/>
    </w:p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link w:val="BodyTextIndent3Char"/>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UnresolvedMention1">
    <w:name w:val="Unresolved Mention1"/>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semiHidden/>
    <w:unhideWhenUsed/>
    <w:rsid w:val="003207FD"/>
    <w:pPr>
      <w:spacing w:line="240" w:lineRule="auto"/>
    </w:pPr>
    <w:rPr>
      <w:sz w:val="20"/>
      <w:szCs w:val="20"/>
    </w:rPr>
  </w:style>
  <w:style w:type="character" w:customStyle="1" w:styleId="CommentTextChar">
    <w:name w:val="Comment Text Char"/>
    <w:basedOn w:val="DefaultParagraphFont"/>
    <w:link w:val="CommentText"/>
    <w:semiHidden/>
    <w:rsid w:val="003207FD"/>
    <w:rPr>
      <w:rFonts w:ascii="Arial" w:hAnsi="Arial"/>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7E512E"/>
    <w:rPr>
      <w:rFonts w:ascii="Arial" w:hAnsi="Arial"/>
      <w:b/>
      <w:color w:val="000000"/>
      <w:sz w:val="28"/>
      <w:szCs w:val="22"/>
      <w:lang w:eastAsia="en-US"/>
    </w:rPr>
  </w:style>
  <w:style w:type="character" w:customStyle="1" w:styleId="BodyTextIndent3Char">
    <w:name w:val="Body Text Indent 3 Char"/>
    <w:basedOn w:val="DefaultParagraphFont"/>
    <w:link w:val="BodyTextIndent3"/>
    <w:rsid w:val="00E455FB"/>
    <w:rPr>
      <w:sz w:val="16"/>
      <w:szCs w:val="16"/>
    </w:rPr>
  </w:style>
  <w:style w:type="character" w:styleId="UnresolvedMention">
    <w:name w:val="Unresolved Mention"/>
    <w:basedOn w:val="DefaultParagraphFont"/>
    <w:uiPriority w:val="99"/>
    <w:semiHidden/>
    <w:unhideWhenUsed/>
    <w:rsid w:val="00EB45CA"/>
    <w:rPr>
      <w:color w:val="605E5C"/>
      <w:shd w:val="clear" w:color="auto" w:fill="E1DFDD"/>
    </w:rPr>
  </w:style>
  <w:style w:type="paragraph" w:styleId="CommentSubject">
    <w:name w:val="annotation subject"/>
    <w:basedOn w:val="CommentText"/>
    <w:next w:val="CommentText"/>
    <w:link w:val="CommentSubjectChar"/>
    <w:semiHidden/>
    <w:unhideWhenUsed/>
    <w:rsid w:val="00774922"/>
    <w:rPr>
      <w:b/>
      <w:bCs/>
    </w:rPr>
  </w:style>
  <w:style w:type="character" w:customStyle="1" w:styleId="CommentSubjectChar">
    <w:name w:val="Comment Subject Char"/>
    <w:basedOn w:val="CommentTextChar"/>
    <w:link w:val="CommentSubject"/>
    <w:semiHidden/>
    <w:rsid w:val="0077492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3024757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534271562">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88696905">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homeoffice.gov.uk/dbs" TargetMode="External"/><Relationship Id="rId2" Type="http://schemas.openxmlformats.org/officeDocument/2006/relationships/numbering" Target="numbering.xml"/><Relationship Id="rId16" Type="http://schemas.openxmlformats.org/officeDocument/2006/relationships/hyperlink" Target="http://www.ico.gov.uk/for_organisations/guidance_index/freedom_of_information_and_environmental_informatio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justice.gov.uk/legislation/bribery"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A7FFC-C198-4AE4-84D9-A50C6B87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8631</Words>
  <Characters>49202</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57718</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dc:description/>
  <cp:lastModifiedBy>Ruth Thomas</cp:lastModifiedBy>
  <cp:revision>2</cp:revision>
  <cp:lastPrinted>2010-01-27T10:13:00Z</cp:lastPrinted>
  <dcterms:created xsi:type="dcterms:W3CDTF">2018-12-19T10:38:00Z</dcterms:created>
  <dcterms:modified xsi:type="dcterms:W3CDTF">2018-12-19T10:38:00Z</dcterms:modified>
</cp:coreProperties>
</file>