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Rule="auto"/>
        <w:jc w:val="center"/>
        <w:rPr>
          <w:b w:val="1"/>
          <w:highlight w:val="white"/>
        </w:rPr>
      </w:pPr>
      <w:r w:rsidDel="00000000" w:rsidR="00000000" w:rsidRPr="00000000">
        <w:rPr>
          <w:rtl w:val="0"/>
        </w:rPr>
      </w:r>
    </w:p>
    <w:p w:rsidR="00000000" w:rsidDel="00000000" w:rsidP="00000000" w:rsidRDefault="00000000" w:rsidRPr="00000000" w14:paraId="00000002">
      <w:pPr>
        <w:spacing w:after="120" w:before="120" w:lineRule="auto"/>
        <w:jc w:val="center"/>
        <w:rPr>
          <w:b w:val="1"/>
        </w:rPr>
      </w:pPr>
      <w:r w:rsidDel="00000000" w:rsidR="00000000" w:rsidRPr="00000000">
        <w:rPr>
          <w:b w:val="1"/>
          <w:highlight w:val="white"/>
          <w:rtl w:val="0"/>
        </w:rPr>
        <w:t xml:space="preserve">FRAMEWORK SCHEDULE 1</w:t>
      </w:r>
      <w:r w:rsidDel="00000000" w:rsidR="00000000" w:rsidRPr="00000000">
        <w:rPr>
          <w:highlight w:val="white"/>
          <w:rtl w:val="0"/>
        </w:rPr>
        <w:t xml:space="preserve">: </w:t>
      </w:r>
      <w:r w:rsidDel="00000000" w:rsidR="00000000" w:rsidRPr="00000000">
        <w:rPr>
          <w:b w:val="1"/>
          <w:rtl w:val="0"/>
        </w:rPr>
        <w:t xml:space="preserve">SPECIFICATION</w:t>
      </w:r>
    </w:p>
    <w:p w:rsidR="00000000" w:rsidDel="00000000" w:rsidP="00000000" w:rsidRDefault="00000000" w:rsidRPr="00000000" w14:paraId="00000003">
      <w:pPr>
        <w:spacing w:after="120" w:before="120" w:lineRule="auto"/>
        <w:jc w:val="center"/>
        <w:rPr/>
      </w:pPr>
      <w:r w:rsidDel="00000000" w:rsidR="00000000" w:rsidRPr="00000000">
        <w:rPr>
          <w:rtl w:val="0"/>
        </w:rPr>
        <w:t xml:space="preserve"> </w:t>
      </w:r>
    </w:p>
    <w:p w:rsidR="00000000" w:rsidDel="00000000" w:rsidP="00000000" w:rsidRDefault="00000000" w:rsidRPr="00000000" w14:paraId="00000004">
      <w:pPr>
        <w:spacing w:after="120" w:before="120" w:lineRule="auto"/>
        <w:jc w:val="center"/>
        <w:rPr>
          <w:b w:val="1"/>
          <w:color w:val="222222"/>
          <w:highlight w:val="white"/>
        </w:rPr>
      </w:pPr>
      <w:r w:rsidDel="00000000" w:rsidR="00000000" w:rsidRPr="00000000">
        <w:rPr>
          <w:b w:val="1"/>
          <w:color w:val="222222"/>
          <w:highlight w:val="white"/>
          <w:rtl w:val="0"/>
        </w:rPr>
        <w:t xml:space="preserve">RESTRUCTURING &amp; INSOLVENCY (R&amp;I)</w:t>
      </w:r>
    </w:p>
    <w:p w:rsidR="00000000" w:rsidDel="00000000" w:rsidP="00000000" w:rsidRDefault="00000000" w:rsidRPr="00000000" w14:paraId="00000005">
      <w:pPr>
        <w:spacing w:after="120" w:before="120" w:lineRule="auto"/>
        <w:jc w:val="center"/>
        <w:rPr/>
      </w:pPr>
      <w:r w:rsidDel="00000000" w:rsidR="00000000" w:rsidRPr="00000000">
        <w:rPr>
          <w:rtl w:val="0"/>
        </w:rPr>
        <w:t xml:space="preserve"> </w:t>
      </w:r>
    </w:p>
    <w:p w:rsidR="00000000" w:rsidDel="00000000" w:rsidP="00000000" w:rsidRDefault="00000000" w:rsidRPr="00000000" w14:paraId="00000006">
      <w:pPr>
        <w:spacing w:after="120" w:before="120" w:lineRule="auto"/>
        <w:jc w:val="center"/>
        <w:rPr>
          <w:b w:val="1"/>
        </w:rPr>
      </w:pPr>
      <w:r w:rsidDel="00000000" w:rsidR="00000000" w:rsidRPr="00000000">
        <w:rPr>
          <w:b w:val="1"/>
          <w:rtl w:val="0"/>
        </w:rPr>
        <w:t xml:space="preserve">REFERENCE NUMBER</w:t>
      </w:r>
    </w:p>
    <w:p w:rsidR="00000000" w:rsidDel="00000000" w:rsidP="00000000" w:rsidRDefault="00000000" w:rsidRPr="00000000" w14:paraId="00000007">
      <w:pPr>
        <w:spacing w:after="120" w:before="120" w:lineRule="auto"/>
        <w:jc w:val="center"/>
        <w:rPr/>
      </w:pPr>
      <w:r w:rsidDel="00000000" w:rsidR="00000000" w:rsidRPr="00000000">
        <w:rPr>
          <w:rtl w:val="0"/>
        </w:rPr>
        <w:t xml:space="preserve"> </w:t>
      </w:r>
    </w:p>
    <w:p w:rsidR="00000000" w:rsidDel="00000000" w:rsidP="00000000" w:rsidRDefault="00000000" w:rsidRPr="00000000" w14:paraId="00000008">
      <w:pPr>
        <w:spacing w:after="120" w:before="120" w:lineRule="auto"/>
        <w:jc w:val="center"/>
        <w:rPr>
          <w:b w:val="1"/>
        </w:rPr>
      </w:pPr>
      <w:r w:rsidDel="00000000" w:rsidR="00000000" w:rsidRPr="00000000">
        <w:rPr>
          <w:b w:val="1"/>
          <w:rtl w:val="0"/>
        </w:rPr>
        <w:t xml:space="preserve">RM6269</w:t>
      </w:r>
    </w:p>
    <w:p w:rsidR="00000000" w:rsidDel="00000000" w:rsidP="00000000" w:rsidRDefault="00000000" w:rsidRPr="00000000" w14:paraId="00000009">
      <w:pPr>
        <w:spacing w:after="120" w:before="120" w:lineRule="auto"/>
        <w:jc w:val="center"/>
        <w:rPr>
          <w:b w:val="1"/>
        </w:rPr>
      </w:pPr>
      <w:r w:rsidDel="00000000" w:rsidR="00000000" w:rsidRPr="00000000">
        <w:rPr>
          <w:rtl w:val="0"/>
        </w:rPr>
      </w:r>
    </w:p>
    <w:p w:rsidR="00000000" w:rsidDel="00000000" w:rsidP="00000000" w:rsidRDefault="00000000" w:rsidRPr="00000000" w14:paraId="0000000A">
      <w:pPr>
        <w:spacing w:after="120" w:before="120" w:lineRule="auto"/>
        <w:jc w:val="center"/>
        <w:rPr>
          <w:b w:val="1"/>
        </w:rPr>
      </w:pPr>
      <w:r w:rsidDel="00000000" w:rsidR="00000000" w:rsidRPr="00000000">
        <w:rPr>
          <w:rtl w:val="0"/>
        </w:rPr>
      </w:r>
    </w:p>
    <w:p w:rsidR="00000000" w:rsidDel="00000000" w:rsidP="00000000" w:rsidRDefault="00000000" w:rsidRPr="00000000" w14:paraId="0000000B">
      <w:pPr>
        <w:spacing w:after="120" w:before="120" w:lineRule="auto"/>
        <w:jc w:val="center"/>
        <w:rPr>
          <w:b w:val="1"/>
        </w:rPr>
      </w:pPr>
      <w:r w:rsidDel="00000000" w:rsidR="00000000" w:rsidRPr="00000000">
        <w:rPr>
          <w:rtl w:val="0"/>
        </w:rPr>
      </w:r>
    </w:p>
    <w:p w:rsidR="00000000" w:rsidDel="00000000" w:rsidP="00000000" w:rsidRDefault="00000000" w:rsidRPr="00000000" w14:paraId="0000000C">
      <w:pPr>
        <w:spacing w:after="120" w:before="120" w:lineRule="auto"/>
        <w:jc w:val="center"/>
        <w:rPr>
          <w:b w:val="1"/>
        </w:rPr>
      </w:pPr>
      <w:r w:rsidDel="00000000" w:rsidR="00000000" w:rsidRPr="00000000">
        <w:rPr>
          <w:rtl w:val="0"/>
        </w:rPr>
      </w:r>
    </w:p>
    <w:p w:rsidR="00000000" w:rsidDel="00000000" w:rsidP="00000000" w:rsidRDefault="00000000" w:rsidRPr="00000000" w14:paraId="0000000D">
      <w:pPr>
        <w:spacing w:after="120" w:before="120" w:lineRule="auto"/>
        <w:jc w:val="center"/>
        <w:rPr>
          <w:b w:val="1"/>
        </w:rPr>
      </w:pPr>
      <w:r w:rsidDel="00000000" w:rsidR="00000000" w:rsidRPr="00000000">
        <w:rPr>
          <w:rtl w:val="0"/>
        </w:rPr>
      </w:r>
    </w:p>
    <w:p w:rsidR="00000000" w:rsidDel="00000000" w:rsidP="00000000" w:rsidRDefault="00000000" w:rsidRPr="00000000" w14:paraId="0000000E">
      <w:pPr>
        <w:spacing w:after="120" w:before="120" w:lineRule="auto"/>
        <w:jc w:val="center"/>
        <w:rPr>
          <w:b w:val="1"/>
        </w:rPr>
      </w:pPr>
      <w:r w:rsidDel="00000000" w:rsidR="00000000" w:rsidRPr="00000000">
        <w:rPr>
          <w:rtl w:val="0"/>
        </w:rPr>
      </w:r>
    </w:p>
    <w:p w:rsidR="00000000" w:rsidDel="00000000" w:rsidP="00000000" w:rsidRDefault="00000000" w:rsidRPr="00000000" w14:paraId="0000000F">
      <w:pPr>
        <w:spacing w:after="120" w:before="120" w:lineRule="auto"/>
        <w:jc w:val="center"/>
        <w:rPr>
          <w:b w:val="1"/>
        </w:rPr>
      </w:pPr>
      <w:r w:rsidDel="00000000" w:rsidR="00000000" w:rsidRPr="00000000">
        <w:rPr>
          <w:rtl w:val="0"/>
        </w:rPr>
      </w:r>
    </w:p>
    <w:p w:rsidR="00000000" w:rsidDel="00000000" w:rsidP="00000000" w:rsidRDefault="00000000" w:rsidRPr="00000000" w14:paraId="00000010">
      <w:pPr>
        <w:spacing w:after="120" w:before="120" w:lineRule="auto"/>
        <w:jc w:val="center"/>
        <w:rPr>
          <w:b w:val="1"/>
        </w:rPr>
      </w:pPr>
      <w:r w:rsidDel="00000000" w:rsidR="00000000" w:rsidRPr="00000000">
        <w:rPr>
          <w:rtl w:val="0"/>
        </w:rPr>
      </w:r>
    </w:p>
    <w:p w:rsidR="00000000" w:rsidDel="00000000" w:rsidP="00000000" w:rsidRDefault="00000000" w:rsidRPr="00000000" w14:paraId="00000011">
      <w:pPr>
        <w:spacing w:after="120" w:before="120" w:lineRule="auto"/>
        <w:jc w:val="center"/>
        <w:rPr>
          <w:b w:val="1"/>
        </w:rPr>
      </w:pPr>
      <w:r w:rsidDel="00000000" w:rsidR="00000000" w:rsidRPr="00000000">
        <w:rPr>
          <w:rtl w:val="0"/>
        </w:rPr>
      </w:r>
    </w:p>
    <w:p w:rsidR="00000000" w:rsidDel="00000000" w:rsidP="00000000" w:rsidRDefault="00000000" w:rsidRPr="00000000" w14:paraId="00000012">
      <w:pPr>
        <w:spacing w:after="120" w:before="120" w:lineRule="auto"/>
        <w:jc w:val="center"/>
        <w:rPr>
          <w:b w:val="1"/>
        </w:rPr>
      </w:pPr>
      <w:r w:rsidDel="00000000" w:rsidR="00000000" w:rsidRPr="00000000">
        <w:rPr>
          <w:rtl w:val="0"/>
        </w:rPr>
      </w:r>
    </w:p>
    <w:p w:rsidR="00000000" w:rsidDel="00000000" w:rsidP="00000000" w:rsidRDefault="00000000" w:rsidRPr="00000000" w14:paraId="00000013">
      <w:pPr>
        <w:spacing w:after="120" w:before="120" w:lineRule="auto"/>
        <w:jc w:val="center"/>
        <w:rPr>
          <w:b w:val="1"/>
        </w:rPr>
      </w:pPr>
      <w:r w:rsidDel="00000000" w:rsidR="00000000" w:rsidRPr="00000000">
        <w:rPr>
          <w:rtl w:val="0"/>
        </w:rPr>
      </w:r>
    </w:p>
    <w:p w:rsidR="00000000" w:rsidDel="00000000" w:rsidP="00000000" w:rsidRDefault="00000000" w:rsidRPr="00000000" w14:paraId="00000014">
      <w:pPr>
        <w:spacing w:after="120" w:before="120" w:lineRule="auto"/>
        <w:jc w:val="center"/>
        <w:rPr>
          <w:b w:val="1"/>
        </w:rPr>
      </w:pPr>
      <w:r w:rsidDel="00000000" w:rsidR="00000000" w:rsidRPr="00000000">
        <w:rPr>
          <w:rtl w:val="0"/>
        </w:rPr>
      </w:r>
    </w:p>
    <w:p w:rsidR="00000000" w:rsidDel="00000000" w:rsidP="00000000" w:rsidRDefault="00000000" w:rsidRPr="00000000" w14:paraId="00000015">
      <w:pPr>
        <w:spacing w:after="120" w:before="120" w:lineRule="auto"/>
        <w:jc w:val="center"/>
        <w:rPr>
          <w:b w:val="1"/>
        </w:rPr>
      </w:pPr>
      <w:r w:rsidDel="00000000" w:rsidR="00000000" w:rsidRPr="00000000">
        <w:rPr>
          <w:rtl w:val="0"/>
        </w:rPr>
      </w:r>
    </w:p>
    <w:p w:rsidR="00000000" w:rsidDel="00000000" w:rsidP="00000000" w:rsidRDefault="00000000" w:rsidRPr="00000000" w14:paraId="00000016">
      <w:pPr>
        <w:spacing w:after="120" w:before="120" w:lineRule="auto"/>
        <w:jc w:val="center"/>
        <w:rPr>
          <w:b w:val="1"/>
        </w:rPr>
      </w:pPr>
      <w:r w:rsidDel="00000000" w:rsidR="00000000" w:rsidRPr="00000000">
        <w:rPr>
          <w:rtl w:val="0"/>
        </w:rPr>
      </w:r>
    </w:p>
    <w:p w:rsidR="00000000" w:rsidDel="00000000" w:rsidP="00000000" w:rsidRDefault="00000000" w:rsidRPr="00000000" w14:paraId="00000017">
      <w:pPr>
        <w:spacing w:after="120" w:before="120" w:lineRule="auto"/>
        <w:jc w:val="center"/>
        <w:rPr>
          <w:b w:val="1"/>
        </w:rPr>
      </w:pPr>
      <w:r w:rsidDel="00000000" w:rsidR="00000000" w:rsidRPr="00000000">
        <w:rPr>
          <w:rtl w:val="0"/>
        </w:rPr>
      </w:r>
    </w:p>
    <w:p w:rsidR="00000000" w:rsidDel="00000000" w:rsidP="00000000" w:rsidRDefault="00000000" w:rsidRPr="00000000" w14:paraId="00000018">
      <w:pPr>
        <w:spacing w:after="120" w:before="120" w:lineRule="auto"/>
        <w:jc w:val="center"/>
        <w:rPr>
          <w:b w:val="1"/>
        </w:rPr>
      </w:pPr>
      <w:r w:rsidDel="00000000" w:rsidR="00000000" w:rsidRPr="00000000">
        <w:rPr>
          <w:rtl w:val="0"/>
        </w:rPr>
      </w:r>
    </w:p>
    <w:p w:rsidR="00000000" w:rsidDel="00000000" w:rsidP="00000000" w:rsidRDefault="00000000" w:rsidRPr="00000000" w14:paraId="00000019">
      <w:pPr>
        <w:spacing w:after="120" w:before="120" w:lineRule="auto"/>
        <w:jc w:val="center"/>
        <w:rPr>
          <w:b w:val="1"/>
        </w:rPr>
      </w:pPr>
      <w:r w:rsidDel="00000000" w:rsidR="00000000" w:rsidRPr="00000000">
        <w:rPr>
          <w:rtl w:val="0"/>
        </w:rPr>
      </w:r>
    </w:p>
    <w:p w:rsidR="00000000" w:rsidDel="00000000" w:rsidP="00000000" w:rsidRDefault="00000000" w:rsidRPr="00000000" w14:paraId="0000001A">
      <w:pPr>
        <w:spacing w:after="120" w:before="120" w:lineRule="auto"/>
        <w:jc w:val="center"/>
        <w:rPr>
          <w:b w:val="1"/>
        </w:rPr>
      </w:pPr>
      <w:r w:rsidDel="00000000" w:rsidR="00000000" w:rsidRPr="00000000">
        <w:rPr>
          <w:rtl w:val="0"/>
        </w:rPr>
      </w:r>
    </w:p>
    <w:p w:rsidR="00000000" w:rsidDel="00000000" w:rsidP="00000000" w:rsidRDefault="00000000" w:rsidRPr="00000000" w14:paraId="0000001B">
      <w:pPr>
        <w:spacing w:after="120" w:before="120" w:lineRule="auto"/>
        <w:jc w:val="center"/>
        <w:rPr>
          <w:b w:val="1"/>
        </w:rPr>
      </w:pPr>
      <w:r w:rsidDel="00000000" w:rsidR="00000000" w:rsidRPr="00000000">
        <w:rPr>
          <w:rtl w:val="0"/>
        </w:rPr>
      </w:r>
    </w:p>
    <w:p w:rsidR="00000000" w:rsidDel="00000000" w:rsidP="00000000" w:rsidRDefault="00000000" w:rsidRPr="00000000" w14:paraId="0000001C">
      <w:pPr>
        <w:spacing w:after="120" w:before="120" w:lineRule="auto"/>
        <w:jc w:val="center"/>
        <w:rPr>
          <w:b w:val="1"/>
        </w:rPr>
      </w:pPr>
      <w:r w:rsidDel="00000000" w:rsidR="00000000" w:rsidRPr="00000000">
        <w:rPr>
          <w:rtl w:val="0"/>
        </w:rPr>
      </w:r>
    </w:p>
    <w:p w:rsidR="00000000" w:rsidDel="00000000" w:rsidP="00000000" w:rsidRDefault="00000000" w:rsidRPr="00000000" w14:paraId="0000001D">
      <w:pPr>
        <w:spacing w:after="120" w:before="120" w:lineRule="auto"/>
        <w:jc w:val="center"/>
        <w:rPr>
          <w:b w:val="1"/>
        </w:rPr>
      </w:pPr>
      <w:r w:rsidDel="00000000" w:rsidR="00000000" w:rsidRPr="00000000">
        <w:rPr>
          <w:rtl w:val="0"/>
        </w:rPr>
      </w:r>
    </w:p>
    <w:p w:rsidR="00000000" w:rsidDel="00000000" w:rsidP="00000000" w:rsidRDefault="00000000" w:rsidRPr="00000000" w14:paraId="0000001E">
      <w:pPr>
        <w:spacing w:after="120" w:before="120" w:lineRule="auto"/>
        <w:jc w:val="center"/>
        <w:rPr>
          <w:b w:val="1"/>
        </w:rPr>
      </w:pPr>
      <w:r w:rsidDel="00000000" w:rsidR="00000000" w:rsidRPr="00000000">
        <w:rPr>
          <w:rtl w:val="0"/>
        </w:rPr>
      </w:r>
    </w:p>
    <w:p w:rsidR="00000000" w:rsidDel="00000000" w:rsidP="00000000" w:rsidRDefault="00000000" w:rsidRPr="00000000" w14:paraId="0000001F">
      <w:pPr>
        <w:spacing w:after="120" w:before="120" w:lineRule="auto"/>
        <w:jc w:val="center"/>
        <w:rPr>
          <w:b w:val="1"/>
        </w:rPr>
      </w:pPr>
      <w:r w:rsidDel="00000000" w:rsidR="00000000" w:rsidRPr="00000000">
        <w:rPr>
          <w:rtl w:val="0"/>
        </w:rPr>
      </w:r>
    </w:p>
    <w:p w:rsidR="00000000" w:rsidDel="00000000" w:rsidP="00000000" w:rsidRDefault="00000000" w:rsidRPr="00000000" w14:paraId="00000020">
      <w:pPr>
        <w:spacing w:after="120" w:before="120" w:lineRule="auto"/>
        <w:jc w:val="center"/>
        <w:rPr>
          <w:b w:val="1"/>
        </w:rPr>
      </w:pPr>
      <w:r w:rsidDel="00000000" w:rsidR="00000000" w:rsidRPr="00000000">
        <w:rPr>
          <w:rtl w:val="0"/>
        </w:rPr>
      </w:r>
    </w:p>
    <w:p w:rsidR="00000000" w:rsidDel="00000000" w:rsidP="00000000" w:rsidRDefault="00000000" w:rsidRPr="00000000" w14:paraId="00000021">
      <w:pPr>
        <w:spacing w:after="120" w:before="120" w:lineRule="auto"/>
        <w:jc w:val="center"/>
        <w:rPr>
          <w:b w:val="1"/>
        </w:rPr>
      </w:pPr>
      <w:r w:rsidDel="00000000" w:rsidR="00000000" w:rsidRPr="00000000">
        <w:rPr>
          <w:rtl w:val="0"/>
        </w:rPr>
      </w:r>
    </w:p>
    <w:p w:rsidR="00000000" w:rsidDel="00000000" w:rsidP="00000000" w:rsidRDefault="00000000" w:rsidRPr="00000000" w14:paraId="00000022">
      <w:pPr>
        <w:spacing w:after="120" w:before="120" w:lineRule="auto"/>
        <w:jc w:val="center"/>
        <w:rPr>
          <w:b w:val="1"/>
        </w:rPr>
      </w:pPr>
      <w:r w:rsidDel="00000000" w:rsidR="00000000" w:rsidRPr="00000000">
        <w:rPr>
          <w:rtl w:val="0"/>
        </w:rPr>
      </w:r>
    </w:p>
    <w:p w:rsidR="00000000" w:rsidDel="00000000" w:rsidP="00000000" w:rsidRDefault="00000000" w:rsidRPr="00000000" w14:paraId="00000023">
      <w:pPr>
        <w:spacing w:after="120" w:before="120" w:lineRule="auto"/>
        <w:jc w:val="center"/>
        <w:rPr>
          <w:b w:val="1"/>
        </w:rPr>
      </w:pPr>
      <w:r w:rsidDel="00000000" w:rsidR="00000000" w:rsidRPr="00000000">
        <w:rPr>
          <w:rtl w:val="0"/>
        </w:rPr>
      </w:r>
    </w:p>
    <w:p w:rsidR="00000000" w:rsidDel="00000000" w:rsidP="00000000" w:rsidRDefault="00000000" w:rsidRPr="00000000" w14:paraId="00000024">
      <w:pPr>
        <w:spacing w:after="120" w:before="120" w:lineRule="auto"/>
        <w:jc w:val="center"/>
        <w:rPr>
          <w:b w:val="1"/>
        </w:rPr>
      </w:pPr>
      <w:r w:rsidDel="00000000" w:rsidR="00000000" w:rsidRPr="00000000">
        <w:rPr>
          <w:b w:val="1"/>
          <w:rtl w:val="0"/>
        </w:rPr>
        <w:t xml:space="preserve">CONTENTS</w:t>
      </w:r>
    </w:p>
    <w:sdt>
      <w:sdtPr>
        <w:docPartObj>
          <w:docPartGallery w:val="Table of Contents"/>
          <w:docPartUnique w:val="1"/>
        </w:docPartObj>
      </w:sdtPr>
      <w:sdtContent>
        <w:p w:rsidR="00000000" w:rsidDel="00000000" w:rsidP="00000000" w:rsidRDefault="00000000" w:rsidRPr="00000000" w14:paraId="00000025">
          <w:pPr>
            <w:tabs>
              <w:tab w:val="right" w:pos="9025"/>
            </w:tabs>
            <w:spacing w:before="80" w:line="240" w:lineRule="auto"/>
            <w:rPr>
              <w:b w:val="1"/>
              <w:color w:val="000000"/>
            </w:rPr>
          </w:pPr>
          <w:r w:rsidDel="00000000" w:rsidR="00000000" w:rsidRPr="00000000">
            <w:fldChar w:fldCharType="begin"/>
            <w:instrText xml:space="preserve"> TOC \h \u \z </w:instrText>
            <w:fldChar w:fldCharType="separate"/>
          </w:r>
          <w:hyperlink w:anchor="_heading=h.gjdgxs">
            <w:r w:rsidDel="00000000" w:rsidR="00000000" w:rsidRPr="00000000">
              <w:rPr>
                <w:b w:val="1"/>
                <w:color w:val="000000"/>
                <w:rtl w:val="0"/>
              </w:rPr>
              <w:t xml:space="preserve">INTRODUCTION</w:t>
            </w:r>
          </w:hyperlink>
          <w:r w:rsidDel="00000000" w:rsidR="00000000" w:rsidRPr="00000000">
            <w:rPr>
              <w:b w:val="1"/>
              <w:color w:val="000000"/>
              <w:rtl w:val="0"/>
            </w:rPr>
            <w:tab/>
          </w:r>
          <w:r w:rsidDel="00000000" w:rsidR="00000000" w:rsidRPr="00000000">
            <w:fldChar w:fldCharType="begin"/>
            <w:instrText xml:space="preserve"> HYPERLINK \l "_heading=h.gjdgxs" </w:instrText>
            <w:fldChar w:fldCharType="separate"/>
          </w:r>
          <w:r w:rsidDel="00000000" w:rsidR="00000000" w:rsidRPr="00000000">
            <w:rPr>
              <w:b w:val="1"/>
              <w:color w:val="000000"/>
              <w:rtl w:val="0"/>
            </w:rPr>
            <w:t xml:space="preserve">3</w:t>
          </w:r>
        </w:p>
        <w:p w:rsidR="00000000" w:rsidDel="00000000" w:rsidP="00000000" w:rsidRDefault="00000000" w:rsidRPr="00000000" w14:paraId="00000026">
          <w:pPr>
            <w:tabs>
              <w:tab w:val="right" w:pos="9025"/>
            </w:tabs>
            <w:spacing w:before="60" w:line="240" w:lineRule="auto"/>
            <w:rPr>
              <w:b w:val="1"/>
              <w:color w:val="000000"/>
            </w:rPr>
          </w:pPr>
          <w:r w:rsidDel="00000000" w:rsidR="00000000" w:rsidRPr="00000000">
            <w:fldChar w:fldCharType="end"/>
          </w:r>
          <w:hyperlink w:anchor="_heading=h.30j0zll">
            <w:r w:rsidDel="00000000" w:rsidR="00000000" w:rsidRPr="00000000">
              <w:rPr>
                <w:b w:val="1"/>
                <w:color w:val="000000"/>
                <w:rtl w:val="0"/>
              </w:rPr>
              <w:t xml:space="preserve">THE FRAMEWORK</w:t>
            </w:r>
          </w:hyperlink>
          <w:r w:rsidDel="00000000" w:rsidR="00000000" w:rsidRPr="00000000">
            <w:rPr>
              <w:b w:val="1"/>
              <w:color w:val="000000"/>
              <w:rtl w:val="0"/>
            </w:rPr>
            <w:tab/>
          </w:r>
          <w:r w:rsidDel="00000000" w:rsidR="00000000" w:rsidRPr="00000000">
            <w:fldChar w:fldCharType="begin"/>
            <w:instrText xml:space="preserve"> HYPERLINK \l "_heading=h.30j0zll" </w:instrText>
            <w:fldChar w:fldCharType="separate"/>
          </w:r>
          <w:r w:rsidDel="00000000" w:rsidR="00000000" w:rsidRPr="00000000">
            <w:rPr>
              <w:b w:val="1"/>
              <w:color w:val="000000"/>
              <w:rtl w:val="0"/>
            </w:rPr>
            <w:t xml:space="preserve">3</w:t>
          </w:r>
        </w:p>
        <w:p w:rsidR="00000000" w:rsidDel="00000000" w:rsidP="00000000" w:rsidRDefault="00000000" w:rsidRPr="00000000" w14:paraId="00000027">
          <w:pPr>
            <w:tabs>
              <w:tab w:val="right" w:pos="9025"/>
            </w:tabs>
            <w:spacing w:before="60" w:line="240" w:lineRule="auto"/>
            <w:ind w:left="1080" w:hanging="1080"/>
            <w:rPr>
              <w:b w:val="1"/>
            </w:rPr>
          </w:pPr>
          <w:r w:rsidDel="00000000" w:rsidR="00000000" w:rsidRPr="00000000">
            <w:fldChar w:fldCharType="end"/>
          </w:r>
          <w:hyperlink w:anchor="_heading=h.1fob9te">
            <w:r w:rsidDel="00000000" w:rsidR="00000000" w:rsidRPr="00000000">
              <w:rPr>
                <w:b w:val="1"/>
                <w:rtl w:val="0"/>
              </w:rPr>
              <w:t xml:space="preserve">RESTRUCTURING &amp; INSOLVENCY SERVICES</w:t>
            </w:r>
          </w:hyperlink>
          <w:r w:rsidDel="00000000" w:rsidR="00000000" w:rsidRPr="00000000">
            <w:rPr>
              <w:b w:val="1"/>
              <w:rtl w:val="0"/>
            </w:rPr>
            <w:tab/>
          </w:r>
          <w:r w:rsidDel="00000000" w:rsidR="00000000" w:rsidRPr="00000000">
            <w:fldChar w:fldCharType="begin"/>
            <w:instrText xml:space="preserve"> HYPERLINK \l "_heading=h.1fob9te" </w:instrText>
            <w:fldChar w:fldCharType="separate"/>
          </w:r>
          <w:r w:rsidDel="00000000" w:rsidR="00000000" w:rsidRPr="00000000">
            <w:rPr>
              <w:b w:val="1"/>
              <w:rtl w:val="0"/>
            </w:rPr>
            <w:t xml:space="preserve">3</w:t>
          </w:r>
        </w:p>
        <w:p w:rsidR="00000000" w:rsidDel="00000000" w:rsidP="00000000" w:rsidRDefault="00000000" w:rsidRPr="00000000" w14:paraId="00000028">
          <w:pPr>
            <w:tabs>
              <w:tab w:val="right" w:pos="9025"/>
            </w:tabs>
            <w:spacing w:before="60" w:line="240" w:lineRule="auto"/>
            <w:rPr>
              <w:b w:val="1"/>
              <w:color w:val="000000"/>
            </w:rPr>
          </w:pPr>
          <w:r w:rsidDel="00000000" w:rsidR="00000000" w:rsidRPr="00000000">
            <w:fldChar w:fldCharType="end"/>
          </w:r>
          <w:hyperlink w:anchor="_heading=h.3znysh7">
            <w:r w:rsidDel="00000000" w:rsidR="00000000" w:rsidRPr="00000000">
              <w:rPr>
                <w:b w:val="1"/>
                <w:color w:val="000000"/>
                <w:rtl w:val="0"/>
              </w:rPr>
              <w:t xml:space="preserve">MANDATORY SERVICE REQUIREMENTS</w:t>
            </w:r>
          </w:hyperlink>
          <w:r w:rsidDel="00000000" w:rsidR="00000000" w:rsidRPr="00000000">
            <w:rPr>
              <w:b w:val="1"/>
              <w:color w:val="000000"/>
              <w:rtl w:val="0"/>
            </w:rPr>
            <w:tab/>
            <w:t xml:space="preserve">5</w:t>
          </w:r>
        </w:p>
        <w:p w:rsidR="00000000" w:rsidDel="00000000" w:rsidP="00000000" w:rsidRDefault="00000000" w:rsidRPr="00000000" w14:paraId="00000029">
          <w:pPr>
            <w:tabs>
              <w:tab w:val="right" w:pos="9025"/>
            </w:tabs>
            <w:spacing w:after="80" w:before="60" w:line="240" w:lineRule="auto"/>
            <w:rPr>
              <w:b w:val="1"/>
            </w:rPr>
          </w:pPr>
          <w:hyperlink w:anchor="_heading=h.2et92p0">
            <w:r w:rsidDel="00000000" w:rsidR="00000000" w:rsidRPr="00000000">
              <w:rPr>
                <w:b w:val="1"/>
                <w:rtl w:val="0"/>
              </w:rPr>
              <w:t xml:space="preserve">RATE CARDS</w:t>
            </w:r>
          </w:hyperlink>
          <w:r w:rsidDel="00000000" w:rsidR="00000000" w:rsidRPr="00000000">
            <w:rPr>
              <w:b w:val="1"/>
              <w:rtl w:val="0"/>
            </w:rPr>
            <w:tab/>
          </w:r>
          <w:r w:rsidDel="00000000" w:rsidR="00000000" w:rsidRPr="00000000">
            <w:fldChar w:fldCharType="begin"/>
            <w:instrText xml:space="preserve"> PAGEREF _heading=h.2et92p0 \h </w:instrText>
            <w:fldChar w:fldCharType="separate"/>
          </w:r>
          <w:r w:rsidDel="00000000" w:rsidR="00000000" w:rsidRPr="00000000">
            <w:rPr>
              <w:b w:val="1"/>
              <w:rtl w:val="0"/>
            </w:rPr>
            <w:t xml:space="preserve">7</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A">
      <w:pPr>
        <w:rPr>
          <w:b w:val="1"/>
        </w:rPr>
      </w:pPr>
      <w:r w:rsidDel="00000000" w:rsidR="00000000" w:rsidRPr="00000000">
        <w:rPr>
          <w:rtl w:val="0"/>
        </w:rPr>
      </w:r>
    </w:p>
    <w:p w:rsidR="00000000" w:rsidDel="00000000" w:rsidP="00000000" w:rsidRDefault="00000000" w:rsidRPr="00000000" w14:paraId="0000002B">
      <w:pPr>
        <w:spacing w:after="120" w:before="120" w:lineRule="auto"/>
        <w:jc w:val="center"/>
        <w:rPr>
          <w:b w:val="1"/>
        </w:rPr>
      </w:pPr>
      <w:r w:rsidDel="00000000" w:rsidR="00000000" w:rsidRPr="00000000">
        <w:rPr>
          <w:rtl w:val="0"/>
        </w:rPr>
      </w:r>
    </w:p>
    <w:p w:rsidR="00000000" w:rsidDel="00000000" w:rsidP="00000000" w:rsidRDefault="00000000" w:rsidRPr="00000000" w14:paraId="0000002C">
      <w:pPr>
        <w:spacing w:after="120" w:before="120" w:lineRule="auto"/>
        <w:rPr>
          <w:b w:val="1"/>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pStyle w:val="Heading1"/>
        <w:numPr>
          <w:ilvl w:val="0"/>
          <w:numId w:val="1"/>
        </w:numPr>
        <w:spacing w:after="0" w:lineRule="auto"/>
        <w:ind w:left="720" w:hanging="360"/>
        <w:rPr>
          <w:b w:val="1"/>
          <w:sz w:val="24"/>
          <w:szCs w:val="24"/>
        </w:rPr>
      </w:pPr>
      <w:bookmarkStart w:colFirst="0" w:colLast="0" w:name="_heading=h.gjdgxs" w:id="0"/>
      <w:bookmarkEnd w:id="0"/>
      <w:r w:rsidDel="00000000" w:rsidR="00000000" w:rsidRPr="00000000">
        <w:rPr>
          <w:b w:val="1"/>
          <w:sz w:val="24"/>
          <w:szCs w:val="24"/>
          <w:rtl w:val="0"/>
        </w:rPr>
        <w:t xml:space="preserve">INTRODUCTION</w:t>
      </w:r>
    </w:p>
    <w:p w:rsidR="00000000" w:rsidDel="00000000" w:rsidP="00000000" w:rsidRDefault="00000000" w:rsidRPr="00000000" w14:paraId="00000051">
      <w:pPr>
        <w:numPr>
          <w:ilvl w:val="1"/>
          <w:numId w:val="1"/>
        </w:numPr>
        <w:spacing w:after="200" w:line="360" w:lineRule="auto"/>
        <w:ind w:left="1440" w:hanging="360"/>
        <w:jc w:val="both"/>
        <w:rPr/>
      </w:pPr>
      <w:r w:rsidDel="00000000" w:rsidR="00000000" w:rsidRPr="00000000">
        <w:rPr>
          <w:rtl w:val="0"/>
        </w:rPr>
        <w:t xml:space="preserve">The purpose of this document is to provide a description of the Services that the Supplier shall be required to deliver to the Buyer under the Call-Off Contract.</w:t>
      </w:r>
    </w:p>
    <w:p w:rsidR="00000000" w:rsidDel="00000000" w:rsidP="00000000" w:rsidRDefault="00000000" w:rsidRPr="00000000" w14:paraId="00000052">
      <w:pPr>
        <w:pStyle w:val="Heading2"/>
        <w:numPr>
          <w:ilvl w:val="0"/>
          <w:numId w:val="1"/>
        </w:numPr>
        <w:spacing w:after="0" w:before="200" w:line="360" w:lineRule="auto"/>
        <w:ind w:left="720" w:hanging="360"/>
        <w:rPr>
          <w:b w:val="1"/>
          <w:sz w:val="24"/>
          <w:szCs w:val="24"/>
        </w:rPr>
      </w:pPr>
      <w:bookmarkStart w:colFirst="0" w:colLast="0" w:name="_heading=h.30j0zll" w:id="1"/>
      <w:bookmarkEnd w:id="1"/>
      <w:r w:rsidDel="00000000" w:rsidR="00000000" w:rsidRPr="00000000">
        <w:rPr>
          <w:b w:val="1"/>
          <w:sz w:val="24"/>
          <w:szCs w:val="24"/>
          <w:rtl w:val="0"/>
        </w:rPr>
        <w:t xml:space="preserve">THE FRAMEWORK</w:t>
      </w:r>
    </w:p>
    <w:p w:rsidR="00000000" w:rsidDel="00000000" w:rsidP="00000000" w:rsidRDefault="00000000" w:rsidRPr="00000000" w14:paraId="00000053">
      <w:pPr>
        <w:numPr>
          <w:ilvl w:val="1"/>
          <w:numId w:val="1"/>
        </w:numPr>
        <w:spacing w:line="360" w:lineRule="auto"/>
        <w:ind w:left="1440" w:hanging="360"/>
        <w:jc w:val="both"/>
        <w:rPr/>
      </w:pPr>
      <w:r w:rsidDel="00000000" w:rsidR="00000000" w:rsidRPr="00000000">
        <w:rPr>
          <w:rtl w:val="0"/>
        </w:rPr>
        <w:t xml:space="preserve">The Services within this Framework are contained in paragra</w:t>
      </w:r>
      <w:r w:rsidDel="00000000" w:rsidR="00000000" w:rsidRPr="00000000">
        <w:rPr>
          <w:highlight w:val="white"/>
          <w:rtl w:val="0"/>
        </w:rPr>
        <w:t xml:space="preserve">phs 3 to 5 of </w:t>
      </w:r>
      <w:r w:rsidDel="00000000" w:rsidR="00000000" w:rsidRPr="00000000">
        <w:rPr>
          <w:rtl w:val="0"/>
        </w:rPr>
        <w:t xml:space="preserve">this Specification and are not an exhaustive list. Buyers may require other similar Services, which will be detailed in the Call-Off Procedure. The scope of the Services for this Framework shall remain as described in this Specification and the contract notice placed in the Find-A-Tender Service.</w:t>
      </w:r>
    </w:p>
    <w:p w:rsidR="00000000" w:rsidDel="00000000" w:rsidP="00000000" w:rsidRDefault="00000000" w:rsidRPr="00000000" w14:paraId="00000054">
      <w:pPr>
        <w:numPr>
          <w:ilvl w:val="1"/>
          <w:numId w:val="1"/>
        </w:numPr>
        <w:spacing w:line="360" w:lineRule="auto"/>
        <w:ind w:left="1440" w:hanging="360"/>
        <w:rPr/>
      </w:pPr>
      <w:r w:rsidDel="00000000" w:rsidR="00000000" w:rsidRPr="00000000">
        <w:rPr>
          <w:rtl w:val="0"/>
        </w:rPr>
        <w:t xml:space="preserve">The Buyer will set Key Performance Indicators (KPIs) as appropriate in the Call-Off Procedure</w:t>
      </w:r>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55">
      <w:pPr>
        <w:spacing w:line="360" w:lineRule="auto"/>
        <w:ind w:left="1440" w:firstLine="0"/>
        <w:rPr>
          <w:highlight w:val="white"/>
        </w:rPr>
      </w:pPr>
      <w:r w:rsidDel="00000000" w:rsidR="00000000" w:rsidRPr="00000000">
        <w:rPr>
          <w:rtl w:val="0"/>
        </w:rPr>
      </w:r>
    </w:p>
    <w:p w:rsidR="00000000" w:rsidDel="00000000" w:rsidP="00000000" w:rsidRDefault="00000000" w:rsidRPr="00000000" w14:paraId="00000056">
      <w:pPr>
        <w:pStyle w:val="Heading4"/>
        <w:numPr>
          <w:ilvl w:val="0"/>
          <w:numId w:val="1"/>
        </w:numPr>
        <w:spacing w:after="0" w:before="120" w:lineRule="auto"/>
        <w:ind w:left="720" w:hanging="360"/>
        <w:rPr/>
      </w:pPr>
      <w:bookmarkStart w:colFirst="0" w:colLast="0" w:name="_heading=h.1fob9te" w:id="2"/>
      <w:bookmarkEnd w:id="2"/>
      <w:r w:rsidDel="00000000" w:rsidR="00000000" w:rsidRPr="00000000">
        <w:rPr>
          <w:rtl w:val="0"/>
        </w:rPr>
        <w:t xml:space="preserve">RESTRUCTURING &amp; INSOLVENCY SERVICES</w:t>
      </w:r>
    </w:p>
    <w:p w:rsidR="00000000" w:rsidDel="00000000" w:rsidP="00000000" w:rsidRDefault="00000000" w:rsidRPr="00000000" w14:paraId="00000057">
      <w:pPr>
        <w:numPr>
          <w:ilvl w:val="1"/>
          <w:numId w:val="1"/>
        </w:numPr>
        <w:spacing w:line="360" w:lineRule="auto"/>
        <w:ind w:left="1440" w:hanging="360"/>
        <w:jc w:val="both"/>
        <w:rPr/>
      </w:pPr>
      <w:r w:rsidDel="00000000" w:rsidR="00000000" w:rsidRPr="00000000">
        <w:rPr>
          <w:rtl w:val="0"/>
        </w:rPr>
        <w:t xml:space="preserve">Provision of objective advice in relation to corporate restructuring and insolvency. Although the exact nature of this advice will vary by case, suppliers must be able to demonstrate the required expertise in relation to distressed corporate situations.</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8">
      <w:pPr>
        <w:spacing w:line="360" w:lineRule="auto"/>
        <w:ind w:left="1440" w:firstLine="0"/>
        <w:jc w:val="both"/>
        <w:rPr>
          <w:b w:val="1"/>
        </w:rPr>
      </w:pPr>
      <w:r w:rsidDel="00000000" w:rsidR="00000000" w:rsidRPr="00000000">
        <w:rPr>
          <w:rtl w:val="0"/>
        </w:rPr>
      </w:r>
    </w:p>
    <w:p w:rsidR="00000000" w:rsidDel="00000000" w:rsidP="00000000" w:rsidRDefault="00000000" w:rsidRPr="00000000" w14:paraId="00000059">
      <w:pPr>
        <w:spacing w:line="360" w:lineRule="auto"/>
        <w:jc w:val="both"/>
        <w:rPr>
          <w:b w:val="1"/>
        </w:rPr>
      </w:pPr>
      <w:r w:rsidDel="00000000" w:rsidR="00000000" w:rsidRPr="00000000">
        <w:rPr>
          <w:b w:val="1"/>
          <w:rtl w:val="0"/>
        </w:rPr>
        <w:t xml:space="preserve">           Primary capabilities</w:t>
      </w:r>
    </w:p>
    <w:p w:rsidR="00000000" w:rsidDel="00000000" w:rsidP="00000000" w:rsidRDefault="00000000" w:rsidRPr="00000000" w14:paraId="0000005A">
      <w:pPr>
        <w:numPr>
          <w:ilvl w:val="1"/>
          <w:numId w:val="1"/>
        </w:numPr>
        <w:spacing w:line="360" w:lineRule="auto"/>
        <w:ind w:left="1440" w:hanging="360"/>
        <w:jc w:val="both"/>
        <w:rPr/>
      </w:pPr>
      <w:r w:rsidDel="00000000" w:rsidR="00000000" w:rsidRPr="00000000">
        <w:rPr>
          <w:rtl w:val="0"/>
        </w:rPr>
        <w:t xml:space="preserve">For Restructuring &amp; Insolvency services the supplier must be able to offer </w:t>
      </w:r>
      <w:r w:rsidDel="00000000" w:rsidR="00000000" w:rsidRPr="00000000">
        <w:rPr>
          <w:b w:val="1"/>
          <w:rtl w:val="0"/>
        </w:rPr>
        <w:t xml:space="preserve">all </w:t>
      </w:r>
      <w:r w:rsidDel="00000000" w:rsidR="00000000" w:rsidRPr="00000000">
        <w:rPr>
          <w:rtl w:val="0"/>
        </w:rPr>
        <w:t xml:space="preserve">seven primary capabilities in clauses 3.2.1 - 3.2.7 to the required Standards.</w:t>
      </w:r>
    </w:p>
    <w:p w:rsidR="00000000" w:rsidDel="00000000" w:rsidP="00000000" w:rsidRDefault="00000000" w:rsidRPr="00000000" w14:paraId="0000005B">
      <w:pPr>
        <w:numPr>
          <w:ilvl w:val="2"/>
          <w:numId w:val="1"/>
        </w:numPr>
        <w:spacing w:line="360" w:lineRule="auto"/>
        <w:ind w:left="2409" w:hanging="360"/>
        <w:jc w:val="both"/>
        <w:rPr/>
      </w:pPr>
      <w:r w:rsidDel="00000000" w:rsidR="00000000" w:rsidRPr="00000000">
        <w:rPr>
          <w:rtl w:val="0"/>
        </w:rPr>
        <w:t xml:space="preserve">Accelerated Mergers &amp; Acquisitions</w:t>
      </w:r>
    </w:p>
    <w:p w:rsidR="00000000" w:rsidDel="00000000" w:rsidP="00000000" w:rsidRDefault="00000000" w:rsidRPr="00000000" w14:paraId="0000005C">
      <w:pPr>
        <w:numPr>
          <w:ilvl w:val="2"/>
          <w:numId w:val="1"/>
        </w:numPr>
        <w:spacing w:line="360" w:lineRule="auto"/>
        <w:ind w:left="2409" w:hanging="360"/>
        <w:jc w:val="both"/>
        <w:rPr/>
      </w:pPr>
      <w:r w:rsidDel="00000000" w:rsidR="00000000" w:rsidRPr="00000000">
        <w:rPr>
          <w:rtl w:val="0"/>
        </w:rPr>
        <w:t xml:space="preserve">Business review</w:t>
      </w:r>
    </w:p>
    <w:p w:rsidR="00000000" w:rsidDel="00000000" w:rsidP="00000000" w:rsidRDefault="00000000" w:rsidRPr="00000000" w14:paraId="0000005D">
      <w:pPr>
        <w:numPr>
          <w:ilvl w:val="2"/>
          <w:numId w:val="1"/>
        </w:numPr>
        <w:spacing w:line="360" w:lineRule="auto"/>
        <w:ind w:left="2409" w:hanging="360"/>
        <w:jc w:val="both"/>
        <w:rPr/>
      </w:pPr>
      <w:r w:rsidDel="00000000" w:rsidR="00000000" w:rsidRPr="00000000">
        <w:rPr>
          <w:rtl w:val="0"/>
        </w:rPr>
        <w:t xml:space="preserve">Cash-flow review</w:t>
      </w:r>
    </w:p>
    <w:p w:rsidR="00000000" w:rsidDel="00000000" w:rsidP="00000000" w:rsidRDefault="00000000" w:rsidRPr="00000000" w14:paraId="0000005E">
      <w:pPr>
        <w:numPr>
          <w:ilvl w:val="2"/>
          <w:numId w:val="1"/>
        </w:numPr>
        <w:spacing w:line="360" w:lineRule="auto"/>
        <w:ind w:left="2409" w:hanging="360"/>
        <w:jc w:val="both"/>
        <w:rPr/>
      </w:pPr>
      <w:r w:rsidDel="00000000" w:rsidR="00000000" w:rsidRPr="00000000">
        <w:rPr>
          <w:rtl w:val="0"/>
        </w:rPr>
        <w:t xml:space="preserve">Distressed debt restructuring</w:t>
      </w:r>
    </w:p>
    <w:p w:rsidR="00000000" w:rsidDel="00000000" w:rsidP="00000000" w:rsidRDefault="00000000" w:rsidRPr="00000000" w14:paraId="0000005F">
      <w:pPr>
        <w:numPr>
          <w:ilvl w:val="2"/>
          <w:numId w:val="1"/>
        </w:numPr>
        <w:spacing w:line="360" w:lineRule="auto"/>
        <w:ind w:left="2409" w:hanging="360"/>
        <w:jc w:val="both"/>
        <w:rPr/>
      </w:pPr>
      <w:r w:rsidDel="00000000" w:rsidR="00000000" w:rsidRPr="00000000">
        <w:rPr>
          <w:rtl w:val="0"/>
        </w:rPr>
        <w:t xml:space="preserve">General restructuring advice</w:t>
      </w:r>
    </w:p>
    <w:p w:rsidR="00000000" w:rsidDel="00000000" w:rsidP="00000000" w:rsidRDefault="00000000" w:rsidRPr="00000000" w14:paraId="00000060">
      <w:pPr>
        <w:numPr>
          <w:ilvl w:val="2"/>
          <w:numId w:val="1"/>
        </w:numPr>
        <w:spacing w:line="360" w:lineRule="auto"/>
        <w:ind w:left="2409" w:hanging="360"/>
        <w:jc w:val="both"/>
        <w:rPr/>
      </w:pPr>
      <w:r w:rsidDel="00000000" w:rsidR="00000000" w:rsidRPr="00000000">
        <w:rPr>
          <w:rtl w:val="0"/>
        </w:rPr>
        <w:t xml:space="preserve">Insolvency contingency planning</w:t>
      </w:r>
    </w:p>
    <w:p w:rsidR="00000000" w:rsidDel="00000000" w:rsidP="00000000" w:rsidRDefault="00000000" w:rsidRPr="00000000" w14:paraId="00000061">
      <w:pPr>
        <w:numPr>
          <w:ilvl w:val="2"/>
          <w:numId w:val="1"/>
        </w:numPr>
        <w:spacing w:line="360" w:lineRule="auto"/>
        <w:ind w:left="2409" w:hanging="360"/>
        <w:jc w:val="both"/>
        <w:rPr/>
      </w:pPr>
      <w:r w:rsidDel="00000000" w:rsidR="00000000" w:rsidRPr="00000000">
        <w:rPr>
          <w:rtl w:val="0"/>
        </w:rPr>
        <w:t xml:space="preserve">Options analysis</w:t>
      </w:r>
    </w:p>
    <w:p w:rsidR="00000000" w:rsidDel="00000000" w:rsidP="00000000" w:rsidRDefault="00000000" w:rsidRPr="00000000" w14:paraId="00000062">
      <w:pPr>
        <w:spacing w:line="360" w:lineRule="auto"/>
        <w:jc w:val="both"/>
        <w:rPr/>
      </w:pPr>
      <w:r w:rsidDel="00000000" w:rsidR="00000000" w:rsidRPr="00000000">
        <w:rPr>
          <w:rtl w:val="0"/>
        </w:rPr>
      </w:r>
    </w:p>
    <w:p w:rsidR="00000000" w:rsidDel="00000000" w:rsidP="00000000" w:rsidRDefault="00000000" w:rsidRPr="00000000" w14:paraId="00000063">
      <w:pPr>
        <w:spacing w:line="360" w:lineRule="auto"/>
        <w:jc w:val="both"/>
        <w:rPr>
          <w:b w:val="1"/>
        </w:rPr>
      </w:pPr>
      <w:r w:rsidDel="00000000" w:rsidR="00000000" w:rsidRPr="00000000">
        <w:rPr>
          <w:rtl w:val="0"/>
        </w:rPr>
        <w:t xml:space="preserve">            </w:t>
      </w:r>
      <w:r w:rsidDel="00000000" w:rsidR="00000000" w:rsidRPr="00000000">
        <w:rPr>
          <w:b w:val="1"/>
          <w:rtl w:val="0"/>
        </w:rPr>
        <w:t xml:space="preserve">Additional capabilities</w:t>
      </w:r>
    </w:p>
    <w:p w:rsidR="00000000" w:rsidDel="00000000" w:rsidP="00000000" w:rsidRDefault="00000000" w:rsidRPr="00000000" w14:paraId="00000064">
      <w:pPr>
        <w:numPr>
          <w:ilvl w:val="1"/>
          <w:numId w:val="1"/>
        </w:numPr>
        <w:spacing w:line="360" w:lineRule="auto"/>
        <w:ind w:left="1440" w:hanging="360"/>
        <w:jc w:val="both"/>
        <w:rPr/>
      </w:pPr>
      <w:r w:rsidDel="00000000" w:rsidR="00000000" w:rsidRPr="00000000">
        <w:rPr>
          <w:rtl w:val="0"/>
        </w:rPr>
        <w:t xml:space="preserve">The supplier may be able to offer </w:t>
      </w:r>
      <w:r w:rsidDel="00000000" w:rsidR="00000000" w:rsidRPr="00000000">
        <w:rPr>
          <w:b w:val="1"/>
          <w:rtl w:val="0"/>
        </w:rPr>
        <w:t xml:space="preserve">any</w:t>
      </w:r>
      <w:r w:rsidDel="00000000" w:rsidR="00000000" w:rsidRPr="00000000">
        <w:rPr>
          <w:rtl w:val="0"/>
        </w:rPr>
        <w:t xml:space="preserve"> of the six additional capabilities listed in clauses 3.3.1 - 3.3.6 providing that they can evidence ability to deliver these service lines to the required standard. These additional capabilities require specialist expertise not covered by the primary capabilities in clauses 3.2.1 - 3.2.7. The Supplier and the Buyer will agree and set out in the Call-Off Contract which Services fall under primary versus additional services.</w:t>
      </w:r>
    </w:p>
    <w:p w:rsidR="00000000" w:rsidDel="00000000" w:rsidP="00000000" w:rsidRDefault="00000000" w:rsidRPr="00000000" w14:paraId="00000065">
      <w:pPr>
        <w:numPr>
          <w:ilvl w:val="2"/>
          <w:numId w:val="1"/>
        </w:numPr>
        <w:spacing w:line="360" w:lineRule="auto"/>
        <w:ind w:left="2409" w:hanging="360"/>
        <w:jc w:val="both"/>
        <w:rPr/>
      </w:pPr>
      <w:r w:rsidDel="00000000" w:rsidR="00000000" w:rsidRPr="00000000">
        <w:rPr>
          <w:rtl w:val="0"/>
        </w:rPr>
        <w:t xml:space="preserve">Capital markets advice</w:t>
      </w:r>
    </w:p>
    <w:p w:rsidR="00000000" w:rsidDel="00000000" w:rsidP="00000000" w:rsidRDefault="00000000" w:rsidRPr="00000000" w14:paraId="00000066">
      <w:pPr>
        <w:numPr>
          <w:ilvl w:val="2"/>
          <w:numId w:val="1"/>
        </w:numPr>
        <w:spacing w:line="360" w:lineRule="auto"/>
        <w:ind w:left="2409" w:hanging="360"/>
        <w:jc w:val="both"/>
        <w:rPr/>
      </w:pPr>
      <w:r w:rsidDel="00000000" w:rsidR="00000000" w:rsidRPr="00000000">
        <w:rPr>
          <w:rtl w:val="0"/>
        </w:rPr>
        <w:t xml:space="preserve">Economic consulting (Market Economy Operator Principle - “MEOP”)</w:t>
      </w:r>
    </w:p>
    <w:p w:rsidR="00000000" w:rsidDel="00000000" w:rsidP="00000000" w:rsidRDefault="00000000" w:rsidRPr="00000000" w14:paraId="00000067">
      <w:pPr>
        <w:numPr>
          <w:ilvl w:val="2"/>
          <w:numId w:val="1"/>
        </w:numPr>
        <w:spacing w:line="360" w:lineRule="auto"/>
        <w:ind w:left="2409" w:hanging="360"/>
        <w:jc w:val="both"/>
        <w:rPr/>
      </w:pPr>
      <w:r w:rsidDel="00000000" w:rsidR="00000000" w:rsidRPr="00000000">
        <w:rPr>
          <w:rtl w:val="0"/>
        </w:rPr>
        <w:t xml:space="preserve">International insolvency advice</w:t>
      </w:r>
    </w:p>
    <w:p w:rsidR="00000000" w:rsidDel="00000000" w:rsidP="00000000" w:rsidRDefault="00000000" w:rsidRPr="00000000" w14:paraId="00000068">
      <w:pPr>
        <w:numPr>
          <w:ilvl w:val="2"/>
          <w:numId w:val="1"/>
        </w:numPr>
        <w:spacing w:line="360" w:lineRule="auto"/>
        <w:ind w:left="2409" w:hanging="360"/>
        <w:jc w:val="both"/>
        <w:rPr/>
      </w:pPr>
      <w:r w:rsidDel="00000000" w:rsidR="00000000" w:rsidRPr="00000000">
        <w:rPr>
          <w:rtl w:val="0"/>
        </w:rPr>
        <w:t xml:space="preserve">Pensions advisory</w:t>
      </w:r>
    </w:p>
    <w:p w:rsidR="00000000" w:rsidDel="00000000" w:rsidP="00000000" w:rsidRDefault="00000000" w:rsidRPr="00000000" w14:paraId="00000069">
      <w:pPr>
        <w:numPr>
          <w:ilvl w:val="2"/>
          <w:numId w:val="1"/>
        </w:numPr>
        <w:spacing w:line="360" w:lineRule="auto"/>
        <w:ind w:left="2409" w:hanging="360"/>
        <w:jc w:val="both"/>
        <w:rPr/>
      </w:pPr>
      <w:r w:rsidDel="00000000" w:rsidR="00000000" w:rsidRPr="00000000">
        <w:rPr>
          <w:rtl w:val="0"/>
        </w:rPr>
        <w:t xml:space="preserve">Restructuring tax advice</w:t>
      </w:r>
    </w:p>
    <w:p w:rsidR="00000000" w:rsidDel="00000000" w:rsidP="00000000" w:rsidRDefault="00000000" w:rsidRPr="00000000" w14:paraId="0000006A">
      <w:pPr>
        <w:numPr>
          <w:ilvl w:val="2"/>
          <w:numId w:val="1"/>
        </w:numPr>
        <w:spacing w:line="360" w:lineRule="auto"/>
        <w:ind w:left="2409" w:hanging="360"/>
        <w:jc w:val="both"/>
        <w:rPr/>
      </w:pPr>
      <w:r w:rsidDel="00000000" w:rsidR="00000000" w:rsidRPr="00000000">
        <w:rPr>
          <w:rtl w:val="0"/>
        </w:rPr>
        <w:t xml:space="preserve">Special administration regimes</w:t>
      </w:r>
    </w:p>
    <w:p w:rsidR="00000000" w:rsidDel="00000000" w:rsidP="00000000" w:rsidRDefault="00000000" w:rsidRPr="00000000" w14:paraId="0000006B">
      <w:pPr>
        <w:spacing w:line="360" w:lineRule="auto"/>
        <w:jc w:val="both"/>
        <w:rPr>
          <w:b w:val="1"/>
        </w:rPr>
      </w:pPr>
      <w:r w:rsidDel="00000000" w:rsidR="00000000" w:rsidRPr="00000000">
        <w:rPr>
          <w:b w:val="1"/>
          <w:rtl w:val="0"/>
        </w:rPr>
        <w:t xml:space="preserve">          </w:t>
      </w:r>
    </w:p>
    <w:p w:rsidR="00000000" w:rsidDel="00000000" w:rsidP="00000000" w:rsidRDefault="00000000" w:rsidRPr="00000000" w14:paraId="0000006C">
      <w:pPr>
        <w:spacing w:line="360" w:lineRule="auto"/>
        <w:jc w:val="both"/>
        <w:rPr>
          <w:b w:val="1"/>
        </w:rPr>
      </w:pPr>
      <w:r w:rsidDel="00000000" w:rsidR="00000000" w:rsidRPr="00000000">
        <w:rPr>
          <w:b w:val="1"/>
          <w:rtl w:val="0"/>
        </w:rPr>
        <w:t xml:space="preserve">  Sector specialisms</w:t>
      </w:r>
    </w:p>
    <w:p w:rsidR="00000000" w:rsidDel="00000000" w:rsidP="00000000" w:rsidRDefault="00000000" w:rsidRPr="00000000" w14:paraId="0000006D">
      <w:pPr>
        <w:numPr>
          <w:ilvl w:val="1"/>
          <w:numId w:val="1"/>
        </w:numPr>
        <w:spacing w:line="360" w:lineRule="auto"/>
        <w:ind w:left="1440" w:hanging="360"/>
        <w:jc w:val="both"/>
        <w:rPr/>
      </w:pPr>
      <w:r w:rsidDel="00000000" w:rsidR="00000000" w:rsidRPr="00000000">
        <w:rPr>
          <w:rtl w:val="0"/>
        </w:rPr>
        <w:t xml:space="preserve">The supplier may be able to offer </w:t>
      </w:r>
      <w:r w:rsidDel="00000000" w:rsidR="00000000" w:rsidRPr="00000000">
        <w:rPr>
          <w:b w:val="1"/>
          <w:rtl w:val="0"/>
        </w:rPr>
        <w:t xml:space="preserve">any</w:t>
      </w:r>
      <w:r w:rsidDel="00000000" w:rsidR="00000000" w:rsidRPr="00000000">
        <w:rPr>
          <w:rtl w:val="0"/>
        </w:rPr>
        <w:t xml:space="preserve"> of the above primary and additional capabilities against </w:t>
      </w:r>
      <w:r w:rsidDel="00000000" w:rsidR="00000000" w:rsidRPr="00000000">
        <w:rPr>
          <w:b w:val="1"/>
          <w:rtl w:val="0"/>
        </w:rPr>
        <w:t xml:space="preserve">any</w:t>
      </w:r>
      <w:r w:rsidDel="00000000" w:rsidR="00000000" w:rsidRPr="00000000">
        <w:rPr>
          <w:rtl w:val="0"/>
        </w:rPr>
        <w:t xml:space="preserve"> of the 12 sector specialisms in clauses 3.4.1 - 3.4.12 providing that they can evidence capability in these sectors to the required standard. The Supplier and the Buyer will agree and set out in the Call-Off Contract which Sector specialism will apply to their engagement.</w:t>
      </w:r>
    </w:p>
    <w:p w:rsidR="00000000" w:rsidDel="00000000" w:rsidP="00000000" w:rsidRDefault="00000000" w:rsidRPr="00000000" w14:paraId="0000006E">
      <w:pPr>
        <w:numPr>
          <w:ilvl w:val="2"/>
          <w:numId w:val="1"/>
        </w:numPr>
        <w:spacing w:line="360" w:lineRule="auto"/>
        <w:ind w:left="2409" w:hanging="360"/>
        <w:rPr/>
      </w:pPr>
      <w:r w:rsidDel="00000000" w:rsidR="00000000" w:rsidRPr="00000000">
        <w:rPr>
          <w:rtl w:val="0"/>
        </w:rPr>
        <w:t xml:space="preserve">Advanced manufacturing, </w:t>
      </w:r>
      <w:r w:rsidDel="00000000" w:rsidR="00000000" w:rsidRPr="00000000">
        <w:rPr>
          <w:highlight w:val="white"/>
          <w:rtl w:val="0"/>
        </w:rPr>
        <w:t xml:space="preserve">which</w:t>
      </w:r>
      <w:r w:rsidDel="00000000" w:rsidR="00000000" w:rsidRPr="00000000">
        <w:rPr>
          <w:b w:val="1"/>
          <w:highlight w:val="white"/>
          <w:rtl w:val="0"/>
        </w:rPr>
        <w:t xml:space="preserve"> </w:t>
      </w:r>
      <w:r w:rsidDel="00000000" w:rsidR="00000000" w:rsidRPr="00000000">
        <w:rPr>
          <w:sz w:val="23"/>
          <w:szCs w:val="23"/>
          <w:highlight w:val="white"/>
          <w:rtl w:val="0"/>
        </w:rPr>
        <w:t xml:space="preserve">includes aerospace manufacturing, automotive manufacturing, computers &amp; electrical equipment manufacturing, machinery &amp; equipment manufacturing, shipbuilding, chemicals manufacturing, and space</w:t>
      </w:r>
      <w:r w:rsidDel="00000000" w:rsidR="00000000" w:rsidRPr="00000000">
        <w:rPr>
          <w:rtl w:val="0"/>
        </w:rPr>
      </w:r>
    </w:p>
    <w:p w:rsidR="00000000" w:rsidDel="00000000" w:rsidP="00000000" w:rsidRDefault="00000000" w:rsidRPr="00000000" w14:paraId="0000006F">
      <w:pPr>
        <w:numPr>
          <w:ilvl w:val="2"/>
          <w:numId w:val="1"/>
        </w:numPr>
        <w:spacing w:line="360" w:lineRule="auto"/>
        <w:ind w:left="2409" w:hanging="360"/>
        <w:rPr/>
      </w:pPr>
      <w:r w:rsidDel="00000000" w:rsidR="00000000" w:rsidRPr="00000000">
        <w:rPr>
          <w:rtl w:val="0"/>
        </w:rPr>
        <w:t xml:space="preserve">Aviation</w:t>
      </w:r>
    </w:p>
    <w:p w:rsidR="00000000" w:rsidDel="00000000" w:rsidP="00000000" w:rsidRDefault="00000000" w:rsidRPr="00000000" w14:paraId="00000070">
      <w:pPr>
        <w:numPr>
          <w:ilvl w:val="2"/>
          <w:numId w:val="1"/>
        </w:numPr>
        <w:spacing w:line="360" w:lineRule="auto"/>
        <w:ind w:left="2409" w:hanging="360"/>
        <w:rPr/>
      </w:pPr>
      <w:r w:rsidDel="00000000" w:rsidR="00000000" w:rsidRPr="00000000">
        <w:rPr>
          <w:rtl w:val="0"/>
        </w:rPr>
        <w:t xml:space="preserve">Business services, </w:t>
      </w:r>
      <w:r w:rsidDel="00000000" w:rsidR="00000000" w:rsidRPr="00000000">
        <w:rPr>
          <w:highlight w:val="white"/>
          <w:rtl w:val="0"/>
        </w:rPr>
        <w:t xml:space="preserve">which includes </w:t>
      </w:r>
      <w:r w:rsidDel="00000000" w:rsidR="00000000" w:rsidRPr="00000000">
        <w:rPr>
          <w:sz w:val="23"/>
          <w:szCs w:val="23"/>
          <w:highlight w:val="white"/>
          <w:rtl w:val="0"/>
        </w:rPr>
        <w:t xml:space="preserve">outsourcing, professional services, recruitment services and facilities management</w:t>
      </w:r>
      <w:r w:rsidDel="00000000" w:rsidR="00000000" w:rsidRPr="00000000">
        <w:rPr>
          <w:rtl w:val="0"/>
        </w:rPr>
      </w:r>
    </w:p>
    <w:p w:rsidR="00000000" w:rsidDel="00000000" w:rsidP="00000000" w:rsidRDefault="00000000" w:rsidRPr="00000000" w14:paraId="00000071">
      <w:pPr>
        <w:numPr>
          <w:ilvl w:val="2"/>
          <w:numId w:val="1"/>
        </w:numPr>
        <w:spacing w:line="360" w:lineRule="auto"/>
        <w:ind w:left="2409" w:hanging="360"/>
        <w:rPr/>
      </w:pPr>
      <w:r w:rsidDel="00000000" w:rsidR="00000000" w:rsidRPr="00000000">
        <w:rPr>
          <w:rtl w:val="0"/>
        </w:rPr>
        <w:t xml:space="preserve">Construction </w:t>
      </w:r>
    </w:p>
    <w:p w:rsidR="00000000" w:rsidDel="00000000" w:rsidP="00000000" w:rsidRDefault="00000000" w:rsidRPr="00000000" w14:paraId="00000072">
      <w:pPr>
        <w:numPr>
          <w:ilvl w:val="2"/>
          <w:numId w:val="1"/>
        </w:numPr>
        <w:spacing w:line="360" w:lineRule="auto"/>
        <w:ind w:left="2409" w:hanging="360"/>
        <w:rPr/>
      </w:pPr>
      <w:r w:rsidDel="00000000" w:rsidR="00000000" w:rsidRPr="00000000">
        <w:rPr>
          <w:rtl w:val="0"/>
        </w:rPr>
        <w:t xml:space="preserve">Consumer, </w:t>
      </w:r>
      <w:r w:rsidDel="00000000" w:rsidR="00000000" w:rsidRPr="00000000">
        <w:rPr>
          <w:highlight w:val="white"/>
          <w:rtl w:val="0"/>
        </w:rPr>
        <w:t xml:space="preserve">which includes </w:t>
      </w:r>
      <w:r w:rsidDel="00000000" w:rsidR="00000000" w:rsidRPr="00000000">
        <w:rPr>
          <w:sz w:val="23"/>
          <w:szCs w:val="23"/>
          <w:highlight w:val="white"/>
          <w:rtl w:val="0"/>
        </w:rPr>
        <w:t xml:space="preserve">retail, consumer goods, tourism, hospitality and leisure</w:t>
      </w:r>
      <w:r w:rsidDel="00000000" w:rsidR="00000000" w:rsidRPr="00000000">
        <w:rPr>
          <w:rtl w:val="0"/>
        </w:rPr>
      </w:r>
    </w:p>
    <w:p w:rsidR="00000000" w:rsidDel="00000000" w:rsidP="00000000" w:rsidRDefault="00000000" w:rsidRPr="00000000" w14:paraId="00000073">
      <w:pPr>
        <w:numPr>
          <w:ilvl w:val="2"/>
          <w:numId w:val="1"/>
        </w:numPr>
        <w:spacing w:line="360" w:lineRule="auto"/>
        <w:ind w:left="2409" w:hanging="360"/>
        <w:rPr/>
      </w:pPr>
      <w:r w:rsidDel="00000000" w:rsidR="00000000" w:rsidRPr="00000000">
        <w:rPr>
          <w:rtl w:val="0"/>
        </w:rPr>
        <w:t xml:space="preserve">Defence</w:t>
      </w:r>
    </w:p>
    <w:p w:rsidR="00000000" w:rsidDel="00000000" w:rsidP="00000000" w:rsidRDefault="00000000" w:rsidRPr="00000000" w14:paraId="00000074">
      <w:pPr>
        <w:numPr>
          <w:ilvl w:val="2"/>
          <w:numId w:val="1"/>
        </w:numPr>
        <w:spacing w:line="360" w:lineRule="auto"/>
        <w:ind w:left="2409" w:hanging="360"/>
        <w:rPr/>
      </w:pPr>
      <w:r w:rsidDel="00000000" w:rsidR="00000000" w:rsidRPr="00000000">
        <w:rPr>
          <w:rtl w:val="0"/>
        </w:rPr>
        <w:t xml:space="preserve">Energy, </w:t>
      </w:r>
      <w:r w:rsidDel="00000000" w:rsidR="00000000" w:rsidRPr="00000000">
        <w:rPr>
          <w:highlight w:val="white"/>
          <w:rtl w:val="0"/>
        </w:rPr>
        <w:t xml:space="preserve">which includes </w:t>
      </w:r>
      <w:r w:rsidDel="00000000" w:rsidR="00000000" w:rsidRPr="00000000">
        <w:rPr>
          <w:sz w:val="23"/>
          <w:szCs w:val="23"/>
          <w:highlight w:val="white"/>
          <w:rtl w:val="0"/>
        </w:rPr>
        <w:t xml:space="preserve">electricity, gas markets, civil nuclear, oil &amp; gas and refined petroleum products manufacturing</w:t>
      </w:r>
      <w:r w:rsidDel="00000000" w:rsidR="00000000" w:rsidRPr="00000000">
        <w:rPr>
          <w:rtl w:val="0"/>
        </w:rPr>
      </w:r>
    </w:p>
    <w:p w:rsidR="00000000" w:rsidDel="00000000" w:rsidP="00000000" w:rsidRDefault="00000000" w:rsidRPr="00000000" w14:paraId="00000075">
      <w:pPr>
        <w:numPr>
          <w:ilvl w:val="2"/>
          <w:numId w:val="1"/>
        </w:numPr>
        <w:spacing w:line="360" w:lineRule="auto"/>
        <w:ind w:left="2409" w:hanging="360"/>
        <w:rPr/>
      </w:pPr>
      <w:r w:rsidDel="00000000" w:rsidR="00000000" w:rsidRPr="00000000">
        <w:rPr>
          <w:rtl w:val="0"/>
        </w:rPr>
        <w:t xml:space="preserve">Financial services</w:t>
      </w:r>
    </w:p>
    <w:p w:rsidR="00000000" w:rsidDel="00000000" w:rsidP="00000000" w:rsidRDefault="00000000" w:rsidRPr="00000000" w14:paraId="00000076">
      <w:pPr>
        <w:numPr>
          <w:ilvl w:val="2"/>
          <w:numId w:val="1"/>
        </w:numPr>
        <w:spacing w:line="360" w:lineRule="auto"/>
        <w:ind w:left="2409" w:hanging="360"/>
        <w:rPr/>
      </w:pPr>
      <w:r w:rsidDel="00000000" w:rsidR="00000000" w:rsidRPr="00000000">
        <w:rPr>
          <w:rtl w:val="0"/>
        </w:rPr>
        <w:t xml:space="preserve">Health and social care</w:t>
      </w:r>
    </w:p>
    <w:p w:rsidR="00000000" w:rsidDel="00000000" w:rsidP="00000000" w:rsidRDefault="00000000" w:rsidRPr="00000000" w14:paraId="00000077">
      <w:pPr>
        <w:numPr>
          <w:ilvl w:val="2"/>
          <w:numId w:val="1"/>
        </w:numPr>
        <w:spacing w:line="360" w:lineRule="auto"/>
        <w:ind w:left="2409" w:hanging="360"/>
        <w:rPr/>
      </w:pPr>
      <w:r w:rsidDel="00000000" w:rsidR="00000000" w:rsidRPr="00000000">
        <w:rPr>
          <w:rtl w:val="0"/>
        </w:rPr>
        <w:t xml:space="preserve">Heavy industry, </w:t>
      </w:r>
      <w:r w:rsidDel="00000000" w:rsidR="00000000" w:rsidRPr="00000000">
        <w:rPr>
          <w:highlight w:val="white"/>
          <w:rtl w:val="0"/>
        </w:rPr>
        <w:t xml:space="preserve">which includes</w:t>
      </w:r>
      <w:r w:rsidDel="00000000" w:rsidR="00000000" w:rsidRPr="00000000">
        <w:rPr>
          <w:b w:val="1"/>
          <w:highlight w:val="white"/>
          <w:rtl w:val="0"/>
        </w:rPr>
        <w:t xml:space="preserve"> </w:t>
      </w:r>
      <w:r w:rsidDel="00000000" w:rsidR="00000000" w:rsidRPr="00000000">
        <w:rPr>
          <w:sz w:val="23"/>
          <w:szCs w:val="23"/>
          <w:highlight w:val="white"/>
          <w:rtl w:val="0"/>
        </w:rPr>
        <w:t xml:space="preserve">agri-tech, cement manufacturing, composites, construction material, ceramics, plastics manufacturing, rail manufacturing, paper manufacturing, mining, steel manufacturing, fabricated metal products manufacturing and other energy intensive industries</w:t>
      </w:r>
      <w:r w:rsidDel="00000000" w:rsidR="00000000" w:rsidRPr="00000000">
        <w:rPr>
          <w:rtl w:val="0"/>
        </w:rPr>
      </w:r>
    </w:p>
    <w:p w:rsidR="00000000" w:rsidDel="00000000" w:rsidP="00000000" w:rsidRDefault="00000000" w:rsidRPr="00000000" w14:paraId="00000078">
      <w:pPr>
        <w:numPr>
          <w:ilvl w:val="2"/>
          <w:numId w:val="1"/>
        </w:numPr>
        <w:spacing w:line="360" w:lineRule="auto"/>
        <w:ind w:left="2409" w:hanging="360"/>
        <w:rPr/>
      </w:pPr>
      <w:r w:rsidDel="00000000" w:rsidR="00000000" w:rsidRPr="00000000">
        <w:rPr>
          <w:rtl w:val="0"/>
        </w:rPr>
        <w:t xml:space="preserve">Technology, media and telecoms </w:t>
      </w:r>
    </w:p>
    <w:p w:rsidR="00000000" w:rsidDel="00000000" w:rsidP="00000000" w:rsidRDefault="00000000" w:rsidRPr="00000000" w14:paraId="00000079">
      <w:pPr>
        <w:numPr>
          <w:ilvl w:val="2"/>
          <w:numId w:val="1"/>
        </w:numPr>
        <w:spacing w:line="360" w:lineRule="auto"/>
        <w:ind w:left="2409" w:hanging="360"/>
        <w:rPr/>
      </w:pPr>
      <w:r w:rsidDel="00000000" w:rsidR="00000000" w:rsidRPr="00000000">
        <w:rPr>
          <w:rtl w:val="0"/>
        </w:rPr>
        <w:t xml:space="preserve">Transport (excluding aviation) </w:t>
      </w:r>
      <w:r w:rsidDel="00000000" w:rsidR="00000000" w:rsidRPr="00000000">
        <w:rPr>
          <w:highlight w:val="white"/>
          <w:rtl w:val="0"/>
        </w:rPr>
        <w:t xml:space="preserve">which includes</w:t>
      </w:r>
      <w:r w:rsidDel="00000000" w:rsidR="00000000" w:rsidRPr="00000000">
        <w:rPr>
          <w:sz w:val="23"/>
          <w:szCs w:val="23"/>
          <w:highlight w:val="white"/>
          <w:rtl w:val="0"/>
        </w:rPr>
        <w:t xml:space="preserve"> maritime &amp; ports, road haulage &amp; logistics, rail, warehousing &amp; storage, and postal &amp; courier services</w:t>
      </w:r>
      <w:r w:rsidDel="00000000" w:rsidR="00000000" w:rsidRPr="00000000">
        <w:rPr>
          <w:rtl w:val="0"/>
        </w:rPr>
      </w:r>
    </w:p>
    <w:p w:rsidR="00000000" w:rsidDel="00000000" w:rsidP="00000000" w:rsidRDefault="00000000" w:rsidRPr="00000000" w14:paraId="0000007A">
      <w:pPr>
        <w:spacing w:line="360" w:lineRule="auto"/>
        <w:ind w:left="2160" w:firstLine="0"/>
        <w:rPr/>
      </w:pPr>
      <w:r w:rsidDel="00000000" w:rsidR="00000000" w:rsidRPr="00000000">
        <w:rPr>
          <w:rtl w:val="0"/>
        </w:rPr>
      </w:r>
    </w:p>
    <w:p w:rsidR="00000000" w:rsidDel="00000000" w:rsidP="00000000" w:rsidRDefault="00000000" w:rsidRPr="00000000" w14:paraId="0000007B">
      <w:pPr>
        <w:pStyle w:val="Heading3"/>
        <w:numPr>
          <w:ilvl w:val="0"/>
          <w:numId w:val="1"/>
        </w:numPr>
        <w:spacing w:after="0" w:before="120" w:line="360" w:lineRule="auto"/>
        <w:ind w:left="720" w:hanging="360"/>
        <w:jc w:val="both"/>
        <w:rPr>
          <w:b w:val="1"/>
          <w:sz w:val="24"/>
          <w:szCs w:val="24"/>
        </w:rPr>
      </w:pPr>
      <w:bookmarkStart w:colFirst="0" w:colLast="0" w:name="_heading=h.3znysh7" w:id="3"/>
      <w:bookmarkEnd w:id="3"/>
      <w:r w:rsidDel="00000000" w:rsidR="00000000" w:rsidRPr="00000000">
        <w:rPr>
          <w:sz w:val="24"/>
          <w:szCs w:val="24"/>
          <w:rtl w:val="0"/>
        </w:rPr>
        <w:t xml:space="preserve"> </w:t>
      </w: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MANDATORY SERVICE REQUIREMENTS</w:t>
      </w:r>
      <w:r w:rsidDel="00000000" w:rsidR="00000000" w:rsidRPr="00000000">
        <w:rPr>
          <w:rtl w:val="0"/>
        </w:rPr>
      </w:r>
    </w:p>
    <w:p w:rsidR="00000000" w:rsidDel="00000000" w:rsidP="00000000" w:rsidRDefault="00000000" w:rsidRPr="00000000" w14:paraId="0000007C">
      <w:pPr>
        <w:numPr>
          <w:ilvl w:val="1"/>
          <w:numId w:val="1"/>
        </w:numPr>
        <w:spacing w:line="360" w:lineRule="auto"/>
        <w:ind w:left="1440" w:hanging="360"/>
        <w:jc w:val="both"/>
        <w:rPr/>
      </w:pPr>
      <w:bookmarkStart w:colFirst="0" w:colLast="0" w:name="_heading=h.tyjcwt" w:id="4"/>
      <w:bookmarkEnd w:id="4"/>
      <w:r w:rsidDel="00000000" w:rsidR="00000000" w:rsidRPr="00000000">
        <w:rPr>
          <w:rtl w:val="0"/>
        </w:rPr>
        <w:t xml:space="preserve">The Supplier shall meet the mandatory requirements listed below in paragraphs 4.2 to 4.24, under t</w:t>
      </w:r>
      <w:r w:rsidDel="00000000" w:rsidR="00000000" w:rsidRPr="00000000">
        <w:rPr>
          <w:highlight w:val="white"/>
          <w:rtl w:val="0"/>
        </w:rPr>
        <w:t xml:space="preserve">his Framework Schedule 1 (Specification).</w:t>
      </w:r>
      <w:r w:rsidDel="00000000" w:rsidR="00000000" w:rsidRPr="00000000">
        <w:rPr>
          <w:rtl w:val="0"/>
        </w:rPr>
      </w:r>
    </w:p>
    <w:p w:rsidR="00000000" w:rsidDel="00000000" w:rsidP="00000000" w:rsidRDefault="00000000" w:rsidRPr="00000000" w14:paraId="0000007D">
      <w:pPr>
        <w:numPr>
          <w:ilvl w:val="1"/>
          <w:numId w:val="1"/>
        </w:numPr>
        <w:spacing w:line="360" w:lineRule="auto"/>
        <w:ind w:left="1440" w:hanging="360"/>
        <w:jc w:val="both"/>
        <w:rPr/>
      </w:pPr>
      <w:r w:rsidDel="00000000" w:rsidR="00000000" w:rsidRPr="00000000">
        <w:rPr>
          <w:rtl w:val="0"/>
        </w:rPr>
        <w:t xml:space="preserve">The Supplier shall create a relevant generic email address which shall be used for all Buyers' queries.</w:t>
      </w:r>
    </w:p>
    <w:p w:rsidR="00000000" w:rsidDel="00000000" w:rsidP="00000000" w:rsidRDefault="00000000" w:rsidRPr="00000000" w14:paraId="0000007E">
      <w:pPr>
        <w:numPr>
          <w:ilvl w:val="1"/>
          <w:numId w:val="1"/>
        </w:numPr>
        <w:spacing w:line="360" w:lineRule="auto"/>
        <w:ind w:left="1440" w:hanging="360"/>
        <w:jc w:val="both"/>
        <w:rPr/>
      </w:pPr>
      <w:r w:rsidDel="00000000" w:rsidR="00000000" w:rsidRPr="00000000">
        <w:rPr>
          <w:rtl w:val="0"/>
        </w:rPr>
        <w:t xml:space="preserve">The Supplier shall ensure that knowledge acquired during the Call-Off Contract term is transferred to the Buyer, which allows for the Buyer to improve awareness of strategic approaches and market intelligence and to share the learnings to internal and external stakeholders in the future.</w:t>
      </w:r>
    </w:p>
    <w:p w:rsidR="00000000" w:rsidDel="00000000" w:rsidP="00000000" w:rsidRDefault="00000000" w:rsidRPr="00000000" w14:paraId="0000007F">
      <w:pPr>
        <w:numPr>
          <w:ilvl w:val="1"/>
          <w:numId w:val="1"/>
        </w:numPr>
        <w:spacing w:line="360" w:lineRule="auto"/>
        <w:ind w:left="1440" w:hanging="360"/>
        <w:jc w:val="both"/>
        <w:rPr/>
      </w:pPr>
      <w:r w:rsidDel="00000000" w:rsidR="00000000" w:rsidRPr="00000000">
        <w:rPr>
          <w:rtl w:val="0"/>
        </w:rPr>
        <w:t xml:space="preserve">The Supplier shall agree with the Buyer a detailed scope of work for each Call-Off which includes outputs and milestones where appropriate. The Supplier shall agree with the Buyer the frequency of updates on milestone delivery, risks, issues and any other metrics required.</w:t>
      </w:r>
    </w:p>
    <w:p w:rsidR="00000000" w:rsidDel="00000000" w:rsidP="00000000" w:rsidRDefault="00000000" w:rsidRPr="00000000" w14:paraId="00000080">
      <w:pPr>
        <w:numPr>
          <w:ilvl w:val="1"/>
          <w:numId w:val="1"/>
        </w:numPr>
        <w:spacing w:line="360" w:lineRule="auto"/>
        <w:ind w:left="1440" w:hanging="360"/>
        <w:jc w:val="both"/>
        <w:rPr/>
      </w:pPr>
      <w:r w:rsidDel="00000000" w:rsidR="00000000" w:rsidRPr="00000000">
        <w:rPr>
          <w:highlight w:val="white"/>
          <w:rtl w:val="0"/>
        </w:rPr>
        <w:t xml:space="preserve">The Supplier shall have processes and systems in place for ensuring costs and pricing are managed appropriately. This shall include ensuring the grade mix of the team assigned will be adapted to provide the right balance in terms of quality and cost effectiveness.</w:t>
      </w:r>
      <w:r w:rsidDel="00000000" w:rsidR="00000000" w:rsidRPr="00000000">
        <w:rPr>
          <w:rtl w:val="0"/>
        </w:rPr>
      </w:r>
    </w:p>
    <w:p w:rsidR="00000000" w:rsidDel="00000000" w:rsidP="00000000" w:rsidRDefault="00000000" w:rsidRPr="00000000" w14:paraId="00000081">
      <w:pPr>
        <w:numPr>
          <w:ilvl w:val="1"/>
          <w:numId w:val="1"/>
        </w:numPr>
        <w:spacing w:line="360" w:lineRule="auto"/>
        <w:ind w:left="1440" w:hanging="360"/>
        <w:jc w:val="both"/>
        <w:rPr/>
      </w:pPr>
      <w:r w:rsidDel="00000000" w:rsidR="00000000" w:rsidRPr="00000000">
        <w:rPr>
          <w:highlight w:val="white"/>
          <w:rtl w:val="0"/>
        </w:rPr>
        <w:t xml:space="preserve">The Supplier shall consult the Buyer as to how they will manage and communicate with the stakeholders.</w:t>
      </w:r>
      <w:r w:rsidDel="00000000" w:rsidR="00000000" w:rsidRPr="00000000">
        <w:rPr>
          <w:rtl w:val="0"/>
        </w:rPr>
      </w:r>
    </w:p>
    <w:p w:rsidR="00000000" w:rsidDel="00000000" w:rsidP="00000000" w:rsidRDefault="00000000" w:rsidRPr="00000000" w14:paraId="00000082">
      <w:pPr>
        <w:numPr>
          <w:ilvl w:val="1"/>
          <w:numId w:val="1"/>
        </w:numPr>
        <w:spacing w:line="360" w:lineRule="auto"/>
        <w:ind w:left="1440" w:hanging="360"/>
        <w:jc w:val="both"/>
        <w:rPr/>
      </w:pPr>
      <w:r w:rsidDel="00000000" w:rsidR="00000000" w:rsidRPr="00000000">
        <w:rPr>
          <w:highlight w:val="white"/>
          <w:rtl w:val="0"/>
        </w:rPr>
        <w:t xml:space="preserve">If applicable, the Supplier will identify and map the stakeholders relevant to the Call-Off Contract, including their interest and level of impact. </w:t>
      </w:r>
      <w:r w:rsidDel="00000000" w:rsidR="00000000" w:rsidRPr="00000000">
        <w:rPr>
          <w:rtl w:val="0"/>
        </w:rPr>
      </w:r>
    </w:p>
    <w:p w:rsidR="00000000" w:rsidDel="00000000" w:rsidP="00000000" w:rsidRDefault="00000000" w:rsidRPr="00000000" w14:paraId="00000083">
      <w:pPr>
        <w:numPr>
          <w:ilvl w:val="1"/>
          <w:numId w:val="1"/>
        </w:numPr>
        <w:spacing w:line="360" w:lineRule="auto"/>
        <w:ind w:left="1440" w:hanging="360"/>
        <w:jc w:val="both"/>
        <w:rPr/>
      </w:pPr>
      <w:r w:rsidDel="00000000" w:rsidR="00000000" w:rsidRPr="00000000">
        <w:rPr>
          <w:highlight w:val="white"/>
          <w:rtl w:val="0"/>
        </w:rPr>
        <w:t xml:space="preserve">The Supplier shall ensure that all Services meet all of the policies and </w:t>
      </w:r>
      <w:r w:rsidDel="00000000" w:rsidR="00000000" w:rsidRPr="00000000">
        <w:rPr>
          <w:rtl w:val="0"/>
        </w:rPr>
        <w:t xml:space="preserve">procedures detailed by the Buyer.</w:t>
      </w:r>
    </w:p>
    <w:p w:rsidR="00000000" w:rsidDel="00000000" w:rsidP="00000000" w:rsidRDefault="00000000" w:rsidRPr="00000000" w14:paraId="00000084">
      <w:pPr>
        <w:numPr>
          <w:ilvl w:val="1"/>
          <w:numId w:val="1"/>
        </w:numPr>
        <w:spacing w:line="360" w:lineRule="auto"/>
        <w:ind w:left="1440" w:hanging="360"/>
        <w:jc w:val="both"/>
        <w:rPr/>
      </w:pPr>
      <w:r w:rsidDel="00000000" w:rsidR="00000000" w:rsidRPr="00000000">
        <w:rPr>
          <w:rtl w:val="0"/>
        </w:rPr>
        <w:t xml:space="preserve">Security Clearance (SC) and/or Developed Vetting (DV) may be required of </w:t>
      </w:r>
      <w:r w:rsidDel="00000000" w:rsidR="00000000" w:rsidRPr="00000000">
        <w:rPr>
          <w:highlight w:val="white"/>
          <w:rtl w:val="0"/>
        </w:rPr>
        <w:t xml:space="preserve">the Supplier staff for some Call-Off Contracts. If this is required the Buyer will detail their requirements in the Call-Off Procedure.</w:t>
      </w:r>
      <w:r w:rsidDel="00000000" w:rsidR="00000000" w:rsidRPr="00000000">
        <w:rPr>
          <w:rtl w:val="0"/>
        </w:rPr>
      </w:r>
    </w:p>
    <w:p w:rsidR="00000000" w:rsidDel="00000000" w:rsidP="00000000" w:rsidRDefault="00000000" w:rsidRPr="00000000" w14:paraId="00000085">
      <w:pPr>
        <w:numPr>
          <w:ilvl w:val="1"/>
          <w:numId w:val="1"/>
        </w:numPr>
        <w:spacing w:line="360" w:lineRule="auto"/>
        <w:ind w:left="1440" w:hanging="360"/>
        <w:jc w:val="both"/>
        <w:rPr/>
      </w:pPr>
      <w:r w:rsidDel="00000000" w:rsidR="00000000" w:rsidRPr="00000000">
        <w:rPr>
          <w:highlight w:val="white"/>
          <w:rtl w:val="0"/>
        </w:rPr>
        <w:t xml:space="preserve">All Suppliers will need to have a current and valid Cyber Essentials certificate. If a Buyer requires Cyber Essentials Plus accreditation, this will be confirmed in the Call-Off Procedure.</w:t>
      </w:r>
      <w:r w:rsidDel="00000000" w:rsidR="00000000" w:rsidRPr="00000000">
        <w:rPr>
          <w:rtl w:val="0"/>
        </w:rPr>
      </w:r>
    </w:p>
    <w:p w:rsidR="00000000" w:rsidDel="00000000" w:rsidP="00000000" w:rsidRDefault="00000000" w:rsidRPr="00000000" w14:paraId="00000086">
      <w:pPr>
        <w:numPr>
          <w:ilvl w:val="1"/>
          <w:numId w:val="1"/>
        </w:numPr>
        <w:spacing w:line="360" w:lineRule="auto"/>
        <w:ind w:left="1440" w:hanging="360"/>
        <w:jc w:val="both"/>
        <w:rPr/>
      </w:pPr>
      <w:r w:rsidDel="00000000" w:rsidR="00000000" w:rsidRPr="00000000">
        <w:rPr>
          <w:highlight w:val="white"/>
          <w:rtl w:val="0"/>
        </w:rPr>
        <w:t xml:space="preserve">The Supplier shall work with the Buyer and its stakeholders (if applicable) to identify and rank the risks identified and agree a risk management strategy. The Supplier shall proactively manage project risks and value management, to deliver mutual benefits and the most successful outcome for the Buyer.</w:t>
      </w:r>
      <w:r w:rsidDel="00000000" w:rsidR="00000000" w:rsidRPr="00000000">
        <w:rPr>
          <w:rtl w:val="0"/>
        </w:rPr>
      </w:r>
    </w:p>
    <w:p w:rsidR="00000000" w:rsidDel="00000000" w:rsidP="00000000" w:rsidRDefault="00000000" w:rsidRPr="00000000" w14:paraId="00000087">
      <w:pPr>
        <w:numPr>
          <w:ilvl w:val="1"/>
          <w:numId w:val="1"/>
        </w:numPr>
        <w:spacing w:line="360" w:lineRule="auto"/>
        <w:ind w:left="1440" w:hanging="360"/>
        <w:jc w:val="both"/>
        <w:rPr/>
      </w:pPr>
      <w:r w:rsidDel="00000000" w:rsidR="00000000" w:rsidRPr="00000000">
        <w:rPr>
          <w:highlight w:val="white"/>
          <w:rtl w:val="0"/>
        </w:rPr>
        <w:t xml:space="preserve">The Supplier shall cooperate with all appropriate parties at all times in accordance with the terms of the Framework Contract and Call-Off Contract.</w:t>
      </w:r>
      <w:r w:rsidDel="00000000" w:rsidR="00000000" w:rsidRPr="00000000">
        <w:rPr>
          <w:rtl w:val="0"/>
        </w:rPr>
      </w:r>
    </w:p>
    <w:p w:rsidR="00000000" w:rsidDel="00000000" w:rsidP="00000000" w:rsidRDefault="00000000" w:rsidRPr="00000000" w14:paraId="00000088">
      <w:pPr>
        <w:numPr>
          <w:ilvl w:val="1"/>
          <w:numId w:val="1"/>
        </w:numPr>
        <w:spacing w:line="360" w:lineRule="auto"/>
        <w:ind w:left="1440" w:hanging="360"/>
        <w:jc w:val="both"/>
        <w:rPr>
          <w:highlight w:val="white"/>
        </w:rPr>
      </w:pPr>
      <w:r w:rsidDel="00000000" w:rsidR="00000000" w:rsidRPr="00000000">
        <w:rPr>
          <w:highlight w:val="white"/>
          <w:rtl w:val="0"/>
        </w:rPr>
        <w:t xml:space="preserve">The Supplier shall perform all Services under this Framework Contract and any Call-Off Contract to a professional standard using reasonable skill and care and in accordance with Good Industry Practice.</w:t>
      </w:r>
    </w:p>
    <w:p w:rsidR="00000000" w:rsidDel="00000000" w:rsidP="00000000" w:rsidRDefault="00000000" w:rsidRPr="00000000" w14:paraId="00000089">
      <w:pPr>
        <w:widowControl w:val="0"/>
        <w:numPr>
          <w:ilvl w:val="1"/>
          <w:numId w:val="1"/>
        </w:numPr>
        <w:spacing w:line="240" w:lineRule="auto"/>
        <w:ind w:left="1440" w:hanging="360"/>
        <w:rPr>
          <w:highlight w:val="white"/>
        </w:rPr>
      </w:pPr>
      <w:r w:rsidDel="00000000" w:rsidR="00000000" w:rsidRPr="00000000">
        <w:rPr>
          <w:highlight w:val="white"/>
          <w:rtl w:val="0"/>
        </w:rPr>
        <w:t xml:space="preserve">The Supplier shall allocate sufficient resources and appropriate expertise to each Call-Off Contract</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8A">
      <w:pPr>
        <w:spacing w:after="200" w:line="360" w:lineRule="auto"/>
        <w:jc w:val="both"/>
        <w:rPr>
          <w:b w:val="1"/>
          <w:sz w:val="24"/>
          <w:szCs w:val="24"/>
          <w:highlight w:val="white"/>
        </w:rPr>
      </w:pPr>
      <w:r w:rsidDel="00000000" w:rsidR="00000000" w:rsidRPr="00000000">
        <w:rPr>
          <w:b w:val="1"/>
          <w:sz w:val="24"/>
          <w:szCs w:val="24"/>
          <w:highlight w:val="white"/>
          <w:rtl w:val="0"/>
        </w:rPr>
        <w:t xml:space="preserve">          </w:t>
      </w:r>
    </w:p>
    <w:p w:rsidR="00000000" w:rsidDel="00000000" w:rsidP="00000000" w:rsidRDefault="00000000" w:rsidRPr="00000000" w14:paraId="0000008B">
      <w:pPr>
        <w:spacing w:after="200" w:line="360" w:lineRule="auto"/>
        <w:jc w:val="both"/>
        <w:rPr>
          <w:b w:val="1"/>
          <w:highlight w:val="white"/>
        </w:rPr>
      </w:pPr>
      <w:r w:rsidDel="00000000" w:rsidR="00000000" w:rsidRPr="00000000">
        <w:rPr>
          <w:b w:val="1"/>
          <w:highlight w:val="white"/>
          <w:rtl w:val="0"/>
        </w:rPr>
        <w:t xml:space="preserve">Complaints Procedure</w:t>
      </w:r>
    </w:p>
    <w:p w:rsidR="00000000" w:rsidDel="00000000" w:rsidP="00000000" w:rsidRDefault="00000000" w:rsidRPr="00000000" w14:paraId="0000008C">
      <w:pPr>
        <w:numPr>
          <w:ilvl w:val="1"/>
          <w:numId w:val="1"/>
        </w:numPr>
        <w:spacing w:before="120" w:line="360" w:lineRule="auto"/>
        <w:ind w:left="1440" w:hanging="360"/>
        <w:jc w:val="both"/>
        <w:rPr/>
      </w:pPr>
      <w:r w:rsidDel="00000000" w:rsidR="00000000" w:rsidRPr="00000000">
        <w:rPr>
          <w:highlight w:val="white"/>
          <w:rtl w:val="0"/>
        </w:rPr>
        <w:t xml:space="preserve">The Supplier shall have a robust and auditable complaints procedure for logging, investigating, managing, escalating and resolving complaints initiated by the Buyer.</w:t>
      </w:r>
      <w:r w:rsidDel="00000000" w:rsidR="00000000" w:rsidRPr="00000000">
        <w:rPr>
          <w:rtl w:val="0"/>
        </w:rPr>
      </w:r>
    </w:p>
    <w:p w:rsidR="00000000" w:rsidDel="00000000" w:rsidP="00000000" w:rsidRDefault="00000000" w:rsidRPr="00000000" w14:paraId="0000008D">
      <w:pPr>
        <w:numPr>
          <w:ilvl w:val="1"/>
          <w:numId w:val="1"/>
        </w:numPr>
        <w:spacing w:line="360" w:lineRule="auto"/>
        <w:ind w:left="1440" w:hanging="360"/>
        <w:jc w:val="both"/>
        <w:rPr/>
      </w:pPr>
      <w:r w:rsidDel="00000000" w:rsidR="00000000" w:rsidRPr="00000000">
        <w:rPr>
          <w:highlight w:val="white"/>
          <w:rtl w:val="0"/>
        </w:rPr>
        <w:t xml:space="preserve">The complaints procedure shall comply with the following:</w:t>
      </w:r>
      <w:r w:rsidDel="00000000" w:rsidR="00000000" w:rsidRPr="00000000">
        <w:rPr>
          <w:rtl w:val="0"/>
        </w:rPr>
      </w:r>
    </w:p>
    <w:p w:rsidR="00000000" w:rsidDel="00000000" w:rsidP="00000000" w:rsidRDefault="00000000" w:rsidRPr="00000000" w14:paraId="0000008E">
      <w:pPr>
        <w:numPr>
          <w:ilvl w:val="2"/>
          <w:numId w:val="1"/>
        </w:numPr>
        <w:spacing w:line="360" w:lineRule="auto"/>
        <w:ind w:left="2551" w:hanging="360"/>
        <w:jc w:val="both"/>
        <w:rPr/>
      </w:pPr>
      <w:r w:rsidDel="00000000" w:rsidR="00000000" w:rsidRPr="00000000">
        <w:rPr>
          <w:highlight w:val="white"/>
          <w:rtl w:val="0"/>
        </w:rPr>
        <w:t xml:space="preserve">All complaints shall be logged and acknowledged within twenty-four (24) hours of receipt by the Supplier;</w:t>
      </w:r>
      <w:r w:rsidDel="00000000" w:rsidR="00000000" w:rsidRPr="00000000">
        <w:rPr>
          <w:rtl w:val="0"/>
        </w:rPr>
      </w:r>
    </w:p>
    <w:p w:rsidR="00000000" w:rsidDel="00000000" w:rsidP="00000000" w:rsidRDefault="00000000" w:rsidRPr="00000000" w14:paraId="0000008F">
      <w:pPr>
        <w:numPr>
          <w:ilvl w:val="2"/>
          <w:numId w:val="1"/>
        </w:numPr>
        <w:spacing w:line="360" w:lineRule="auto"/>
        <w:ind w:left="2551" w:hanging="360"/>
        <w:jc w:val="both"/>
        <w:rPr/>
      </w:pPr>
      <w:r w:rsidDel="00000000" w:rsidR="00000000" w:rsidRPr="00000000">
        <w:rPr>
          <w:highlight w:val="white"/>
          <w:rtl w:val="0"/>
        </w:rPr>
        <w:t xml:space="preserve">All complaints shall be resolved within ten (10) working days of the original complaint being made, unless otherwise agreed with the Buyer; and</w:t>
      </w:r>
      <w:r w:rsidDel="00000000" w:rsidR="00000000" w:rsidRPr="00000000">
        <w:rPr>
          <w:rtl w:val="0"/>
        </w:rPr>
      </w:r>
    </w:p>
    <w:p w:rsidR="00000000" w:rsidDel="00000000" w:rsidP="00000000" w:rsidRDefault="00000000" w:rsidRPr="00000000" w14:paraId="00000090">
      <w:pPr>
        <w:numPr>
          <w:ilvl w:val="2"/>
          <w:numId w:val="1"/>
        </w:numPr>
        <w:spacing w:line="360" w:lineRule="auto"/>
        <w:ind w:left="2551" w:hanging="360"/>
        <w:jc w:val="both"/>
        <w:rPr/>
      </w:pPr>
      <w:r w:rsidDel="00000000" w:rsidR="00000000" w:rsidRPr="00000000">
        <w:rPr>
          <w:highlight w:val="white"/>
          <w:rtl w:val="0"/>
        </w:rPr>
        <w:t xml:space="preserve">All complaints shall be recorded, including: the date the complaint was received, complainant contact details, nature of the complaint, and the actions and timescales taken to resolve the complaint.</w:t>
      </w:r>
      <w:r w:rsidDel="00000000" w:rsidR="00000000" w:rsidRPr="00000000">
        <w:rPr>
          <w:rtl w:val="0"/>
        </w:rPr>
      </w:r>
    </w:p>
    <w:p w:rsidR="00000000" w:rsidDel="00000000" w:rsidP="00000000" w:rsidRDefault="00000000" w:rsidRPr="00000000" w14:paraId="00000091">
      <w:pPr>
        <w:numPr>
          <w:ilvl w:val="1"/>
          <w:numId w:val="1"/>
        </w:numPr>
        <w:spacing w:after="120" w:line="360" w:lineRule="auto"/>
        <w:ind w:left="1440" w:hanging="360"/>
        <w:jc w:val="both"/>
        <w:rPr/>
      </w:pPr>
      <w:r w:rsidDel="00000000" w:rsidR="00000000" w:rsidRPr="00000000">
        <w:rPr>
          <w:highlight w:val="white"/>
          <w:rtl w:val="0"/>
        </w:rPr>
        <w:t xml:space="preserve">CCS may request a consolidated complaints report as and when from the Supplier, relating to all Buyer complaints. The report shall be provided to CCS by the Supplier within ten (10) working days from the request. </w:t>
      </w:r>
      <w:r w:rsidDel="00000000" w:rsidR="00000000" w:rsidRPr="00000000">
        <w:rPr>
          <w:rtl w:val="0"/>
        </w:rPr>
      </w:r>
    </w:p>
    <w:p w:rsidR="00000000" w:rsidDel="00000000" w:rsidP="00000000" w:rsidRDefault="00000000" w:rsidRPr="00000000" w14:paraId="00000092">
      <w:pPr>
        <w:spacing w:after="120" w:line="360" w:lineRule="auto"/>
        <w:jc w:val="both"/>
        <w:rPr>
          <w:b w:val="1"/>
          <w:highlight w:val="white"/>
        </w:rPr>
      </w:pPr>
      <w:r w:rsidDel="00000000" w:rsidR="00000000" w:rsidRPr="00000000">
        <w:rPr>
          <w:b w:val="1"/>
          <w:sz w:val="24"/>
          <w:szCs w:val="24"/>
          <w:highlight w:val="white"/>
          <w:rtl w:val="0"/>
        </w:rPr>
        <w:t xml:space="preserve">        </w:t>
      </w:r>
      <w:r w:rsidDel="00000000" w:rsidR="00000000" w:rsidRPr="00000000">
        <w:rPr>
          <w:b w:val="1"/>
          <w:highlight w:val="white"/>
          <w:rtl w:val="0"/>
        </w:rPr>
        <w:t xml:space="preserve">Social Value</w:t>
      </w:r>
    </w:p>
    <w:p w:rsidR="00000000" w:rsidDel="00000000" w:rsidP="00000000" w:rsidRDefault="00000000" w:rsidRPr="00000000" w14:paraId="00000093">
      <w:pPr>
        <w:numPr>
          <w:ilvl w:val="1"/>
          <w:numId w:val="1"/>
        </w:numPr>
        <w:spacing w:before="120" w:line="360" w:lineRule="auto"/>
        <w:ind w:left="1440" w:hanging="360"/>
        <w:jc w:val="both"/>
        <w:rPr>
          <w:highlight w:val="white"/>
        </w:rPr>
      </w:pPr>
      <w:r w:rsidDel="00000000" w:rsidR="00000000" w:rsidRPr="00000000">
        <w:rPr>
          <w:highlight w:val="white"/>
          <w:rtl w:val="0"/>
        </w:rPr>
        <w:t xml:space="preserve">This Framework Contract requires the Supplier to embed social value into all Call-Off Contracts, in line with the Social Value Act 2012 or subsequent government initiatives to enable the effective implementation of the Act.</w:t>
      </w:r>
    </w:p>
    <w:p w:rsidR="00000000" w:rsidDel="00000000" w:rsidP="00000000" w:rsidRDefault="00000000" w:rsidRPr="00000000" w14:paraId="00000094">
      <w:pPr>
        <w:numPr>
          <w:ilvl w:val="1"/>
          <w:numId w:val="1"/>
        </w:numPr>
        <w:spacing w:line="360" w:lineRule="auto"/>
        <w:ind w:left="1440" w:hanging="360"/>
        <w:jc w:val="both"/>
        <w:rPr>
          <w:highlight w:val="white"/>
        </w:rPr>
      </w:pPr>
      <w:r w:rsidDel="00000000" w:rsidR="00000000" w:rsidRPr="00000000">
        <w:rPr>
          <w:highlight w:val="white"/>
          <w:rtl w:val="0"/>
        </w:rPr>
        <w:t xml:space="preserve">As a condition of participating on this framework contract, CCS requires suppliers on this Framework Contract to demonstrate they are committed to report on the impact of social value throughout the lifetime of the Framework Contract to CCS, every 12 months from the Framework Start Date.</w:t>
      </w:r>
    </w:p>
    <w:p w:rsidR="00000000" w:rsidDel="00000000" w:rsidP="00000000" w:rsidRDefault="00000000" w:rsidRPr="00000000" w14:paraId="00000095">
      <w:pPr>
        <w:numPr>
          <w:ilvl w:val="1"/>
          <w:numId w:val="1"/>
        </w:numPr>
        <w:spacing w:line="360" w:lineRule="auto"/>
        <w:ind w:left="1440" w:hanging="360"/>
        <w:jc w:val="both"/>
        <w:rPr>
          <w:highlight w:val="white"/>
        </w:rPr>
      </w:pPr>
      <w:r w:rsidDel="00000000" w:rsidR="00000000" w:rsidRPr="00000000">
        <w:rPr>
          <w:highlight w:val="white"/>
          <w:rtl w:val="0"/>
        </w:rPr>
        <w:t xml:space="preserve">Suppliers must provide evidence of their commitment to social value and demonstrate an ability and willingness to work with Buyers to identify and help further their social value requirements in all Call-Off Contracts. To satisfy this requirement, Suppliers must agree to provide or deliver reasonable and proportionate social value benefits within all Call-off Contracts. Suppliers should consider the following policy themes, as a minimum:</w:t>
      </w:r>
    </w:p>
    <w:p w:rsidR="00000000" w:rsidDel="00000000" w:rsidP="00000000" w:rsidRDefault="00000000" w:rsidRPr="00000000" w14:paraId="00000096">
      <w:pPr>
        <w:numPr>
          <w:ilvl w:val="2"/>
          <w:numId w:val="1"/>
        </w:numPr>
        <w:spacing w:line="360" w:lineRule="auto"/>
        <w:ind w:left="2409" w:hanging="360"/>
        <w:jc w:val="both"/>
        <w:rPr>
          <w:highlight w:val="white"/>
        </w:rPr>
      </w:pPr>
      <w:r w:rsidDel="00000000" w:rsidR="00000000" w:rsidRPr="00000000">
        <w:rPr>
          <w:highlight w:val="white"/>
          <w:rtl w:val="0"/>
        </w:rPr>
        <w:t xml:space="preserve">COVID-19 recovery;</w:t>
      </w:r>
    </w:p>
    <w:p w:rsidR="00000000" w:rsidDel="00000000" w:rsidP="00000000" w:rsidRDefault="00000000" w:rsidRPr="00000000" w14:paraId="00000097">
      <w:pPr>
        <w:numPr>
          <w:ilvl w:val="2"/>
          <w:numId w:val="1"/>
        </w:numPr>
        <w:spacing w:line="360" w:lineRule="auto"/>
        <w:ind w:left="2409" w:hanging="360"/>
        <w:jc w:val="both"/>
        <w:rPr>
          <w:highlight w:val="white"/>
        </w:rPr>
      </w:pPr>
      <w:r w:rsidDel="00000000" w:rsidR="00000000" w:rsidRPr="00000000">
        <w:rPr>
          <w:highlight w:val="white"/>
          <w:rtl w:val="0"/>
        </w:rPr>
        <w:t xml:space="preserve">Tackling economic inequality;</w:t>
      </w:r>
    </w:p>
    <w:p w:rsidR="00000000" w:rsidDel="00000000" w:rsidP="00000000" w:rsidRDefault="00000000" w:rsidRPr="00000000" w14:paraId="00000098">
      <w:pPr>
        <w:numPr>
          <w:ilvl w:val="2"/>
          <w:numId w:val="1"/>
        </w:numPr>
        <w:spacing w:line="360" w:lineRule="auto"/>
        <w:ind w:left="2409" w:hanging="360"/>
        <w:jc w:val="both"/>
        <w:rPr>
          <w:highlight w:val="white"/>
        </w:rPr>
      </w:pPr>
      <w:r w:rsidDel="00000000" w:rsidR="00000000" w:rsidRPr="00000000">
        <w:rPr>
          <w:highlight w:val="white"/>
          <w:rtl w:val="0"/>
        </w:rPr>
        <w:t xml:space="preserve">Fighting climate change;</w:t>
      </w:r>
    </w:p>
    <w:p w:rsidR="00000000" w:rsidDel="00000000" w:rsidP="00000000" w:rsidRDefault="00000000" w:rsidRPr="00000000" w14:paraId="00000099">
      <w:pPr>
        <w:numPr>
          <w:ilvl w:val="2"/>
          <w:numId w:val="1"/>
        </w:numPr>
        <w:spacing w:line="360" w:lineRule="auto"/>
        <w:ind w:left="2409" w:hanging="360"/>
        <w:jc w:val="both"/>
        <w:rPr>
          <w:highlight w:val="white"/>
        </w:rPr>
      </w:pPr>
      <w:r w:rsidDel="00000000" w:rsidR="00000000" w:rsidRPr="00000000">
        <w:rPr>
          <w:highlight w:val="white"/>
          <w:rtl w:val="0"/>
        </w:rPr>
        <w:t xml:space="preserve">Equal opportunity; and </w:t>
      </w:r>
    </w:p>
    <w:p w:rsidR="00000000" w:rsidDel="00000000" w:rsidP="00000000" w:rsidRDefault="00000000" w:rsidRPr="00000000" w14:paraId="0000009A">
      <w:pPr>
        <w:numPr>
          <w:ilvl w:val="2"/>
          <w:numId w:val="1"/>
        </w:numPr>
        <w:spacing w:line="360" w:lineRule="auto"/>
        <w:ind w:left="2409" w:hanging="360"/>
        <w:jc w:val="both"/>
        <w:rPr>
          <w:highlight w:val="white"/>
        </w:rPr>
      </w:pPr>
      <w:r w:rsidDel="00000000" w:rsidR="00000000" w:rsidRPr="00000000">
        <w:rPr>
          <w:highlight w:val="white"/>
          <w:rtl w:val="0"/>
        </w:rPr>
        <w:t xml:space="preserve">Wellbeing </w:t>
      </w:r>
    </w:p>
    <w:p w:rsidR="00000000" w:rsidDel="00000000" w:rsidP="00000000" w:rsidRDefault="00000000" w:rsidRPr="00000000" w14:paraId="0000009B">
      <w:pPr>
        <w:numPr>
          <w:ilvl w:val="1"/>
          <w:numId w:val="1"/>
        </w:numPr>
        <w:spacing w:line="360" w:lineRule="auto"/>
        <w:ind w:left="1440" w:hanging="360"/>
        <w:jc w:val="both"/>
        <w:rPr>
          <w:highlight w:val="white"/>
        </w:rPr>
      </w:pPr>
      <w:r w:rsidDel="00000000" w:rsidR="00000000" w:rsidRPr="00000000">
        <w:rPr>
          <w:highlight w:val="white"/>
          <w:rtl w:val="0"/>
        </w:rPr>
        <w:t xml:space="preserve">Suppliers are expected to act with these priorities in mind, and CCS may discuss these priorities as part of Framework Management meetings.</w:t>
      </w:r>
    </w:p>
    <w:p w:rsidR="00000000" w:rsidDel="00000000" w:rsidP="00000000" w:rsidRDefault="00000000" w:rsidRPr="00000000" w14:paraId="0000009C">
      <w:pPr>
        <w:numPr>
          <w:ilvl w:val="1"/>
          <w:numId w:val="1"/>
        </w:numPr>
        <w:spacing w:line="360" w:lineRule="auto"/>
        <w:ind w:left="1440" w:hanging="360"/>
        <w:jc w:val="both"/>
        <w:rPr>
          <w:highlight w:val="white"/>
        </w:rPr>
      </w:pPr>
      <w:r w:rsidDel="00000000" w:rsidR="00000000" w:rsidRPr="00000000">
        <w:rPr>
          <w:highlight w:val="white"/>
          <w:rtl w:val="0"/>
        </w:rPr>
        <w:t xml:space="preserve">The Buyer’s requirements will be set out in the Call-Off Procedure. The Supplier shall comply with and/or identify proposed social value initiatives, proportionate and relevant to each Call-Off Contract.</w:t>
      </w:r>
    </w:p>
    <w:p w:rsidR="00000000" w:rsidDel="00000000" w:rsidP="00000000" w:rsidRDefault="00000000" w:rsidRPr="00000000" w14:paraId="0000009D">
      <w:pPr>
        <w:numPr>
          <w:ilvl w:val="1"/>
          <w:numId w:val="1"/>
        </w:numPr>
        <w:spacing w:line="360" w:lineRule="auto"/>
        <w:ind w:left="1440" w:hanging="360"/>
        <w:jc w:val="both"/>
        <w:rPr>
          <w:highlight w:val="white"/>
        </w:rPr>
      </w:pPr>
      <w:r w:rsidDel="00000000" w:rsidR="00000000" w:rsidRPr="00000000">
        <w:rPr>
          <w:highlight w:val="white"/>
          <w:rtl w:val="0"/>
        </w:rPr>
        <w:t xml:space="preserve">The Supplier shall deliver measurable benefits and impacts in respect of the social value priorities, when identified in the Call-Off Contract.</w:t>
      </w:r>
    </w:p>
    <w:p w:rsidR="00000000" w:rsidDel="00000000" w:rsidP="00000000" w:rsidRDefault="00000000" w:rsidRPr="00000000" w14:paraId="0000009E">
      <w:pPr>
        <w:numPr>
          <w:ilvl w:val="1"/>
          <w:numId w:val="1"/>
        </w:numPr>
        <w:spacing w:after="200" w:line="360" w:lineRule="auto"/>
        <w:ind w:left="1440" w:hanging="360"/>
        <w:jc w:val="both"/>
        <w:rPr>
          <w:highlight w:val="white"/>
        </w:rPr>
      </w:pPr>
      <w:r w:rsidDel="00000000" w:rsidR="00000000" w:rsidRPr="00000000">
        <w:rPr>
          <w:highlight w:val="white"/>
          <w:rtl w:val="0"/>
        </w:rPr>
        <w:t xml:space="preserve">The Supplier shall record and report performance against the social value requirements, when detailed in the Call-Off Contrac</w:t>
      </w:r>
      <w:r w:rsidDel="00000000" w:rsidR="00000000" w:rsidRPr="00000000">
        <w:rPr>
          <w:sz w:val="24"/>
          <w:szCs w:val="24"/>
          <w:highlight w:val="white"/>
          <w:rtl w:val="0"/>
        </w:rPr>
        <w:t xml:space="preserve">t. </w:t>
      </w:r>
      <w:r w:rsidDel="00000000" w:rsidR="00000000" w:rsidRPr="00000000">
        <w:rPr>
          <w:rtl w:val="0"/>
        </w:rPr>
      </w:r>
    </w:p>
    <w:p w:rsidR="00000000" w:rsidDel="00000000" w:rsidP="00000000" w:rsidRDefault="00000000" w:rsidRPr="00000000" w14:paraId="0000009F">
      <w:pPr>
        <w:pStyle w:val="Heading5"/>
        <w:numPr>
          <w:ilvl w:val="0"/>
          <w:numId w:val="1"/>
        </w:numPr>
        <w:spacing w:after="0" w:before="200" w:line="360" w:lineRule="auto"/>
        <w:ind w:left="720" w:hanging="360"/>
        <w:rPr>
          <w:b w:val="1"/>
          <w:sz w:val="24"/>
          <w:szCs w:val="24"/>
        </w:rPr>
      </w:pPr>
      <w:bookmarkStart w:colFirst="0" w:colLast="0" w:name="_heading=h.2et92p0" w:id="5"/>
      <w:bookmarkEnd w:id="5"/>
      <w:r w:rsidDel="00000000" w:rsidR="00000000" w:rsidRPr="00000000">
        <w:rPr>
          <w:b w:val="1"/>
          <w:color w:val="000000"/>
          <w:sz w:val="24"/>
          <w:szCs w:val="24"/>
          <w:rtl w:val="0"/>
        </w:rPr>
        <w:t xml:space="preserve">RATE CARDS</w:t>
      </w:r>
      <w:r w:rsidDel="00000000" w:rsidR="00000000" w:rsidRPr="00000000">
        <w:rPr>
          <w:rtl w:val="0"/>
        </w:rPr>
      </w:r>
    </w:p>
    <w:p w:rsidR="00000000" w:rsidDel="00000000" w:rsidP="00000000" w:rsidRDefault="00000000" w:rsidRPr="00000000" w14:paraId="000000A0">
      <w:pPr>
        <w:numPr>
          <w:ilvl w:val="1"/>
          <w:numId w:val="1"/>
        </w:numPr>
        <w:spacing w:line="360" w:lineRule="auto"/>
        <w:ind w:left="1440" w:hanging="360"/>
        <w:jc w:val="both"/>
        <w:rPr/>
      </w:pPr>
      <w:r w:rsidDel="00000000" w:rsidR="00000000" w:rsidRPr="00000000">
        <w:rPr>
          <w:rtl w:val="0"/>
        </w:rPr>
        <w:t xml:space="preserve">There will be two rate cards for the Framework - complex and non-complex. </w:t>
      </w:r>
    </w:p>
    <w:p w:rsidR="00000000" w:rsidDel="00000000" w:rsidP="00000000" w:rsidRDefault="00000000" w:rsidRPr="00000000" w14:paraId="000000A1">
      <w:pPr>
        <w:numPr>
          <w:ilvl w:val="1"/>
          <w:numId w:val="1"/>
        </w:numPr>
        <w:spacing w:line="360" w:lineRule="auto"/>
        <w:ind w:left="1440" w:hanging="360"/>
        <w:jc w:val="both"/>
        <w:rPr/>
      </w:pPr>
      <w:r w:rsidDel="00000000" w:rsidR="00000000" w:rsidRPr="00000000">
        <w:rPr>
          <w:rtl w:val="0"/>
        </w:rPr>
        <w:t xml:space="preserve">The non-complex rate card will be the starting point for all Call-Off Contracts for all primary capabilities (3.2.1-3.2.7) and additional capabilities (3.3.1-3.3.6). However, the Customer, in its sole discretion, may elect to offer a Call-Off Contract under the Complex rate card where the complexity of the work dictates as set out in 5.3.</w:t>
      </w:r>
    </w:p>
    <w:p w:rsidR="00000000" w:rsidDel="00000000" w:rsidP="00000000" w:rsidRDefault="00000000" w:rsidRPr="00000000" w14:paraId="000000A2">
      <w:pPr>
        <w:numPr>
          <w:ilvl w:val="1"/>
          <w:numId w:val="1"/>
        </w:numPr>
        <w:spacing w:line="360" w:lineRule="auto"/>
        <w:ind w:left="1440" w:hanging="360"/>
        <w:jc w:val="both"/>
        <w:rPr/>
      </w:pPr>
      <w:r w:rsidDel="00000000" w:rsidR="00000000" w:rsidRPr="00000000">
        <w:rPr>
          <w:rtl w:val="0"/>
        </w:rPr>
        <w:t xml:space="preserve">Where at least three of the seven criteria set out in  5.3.1 - 5.3.7 are met for a Call-Off Contract, the complex rate card applies: </w:t>
      </w:r>
    </w:p>
    <w:p w:rsidR="00000000" w:rsidDel="00000000" w:rsidP="00000000" w:rsidRDefault="00000000" w:rsidRPr="00000000" w14:paraId="000000A3">
      <w:pPr>
        <w:numPr>
          <w:ilvl w:val="2"/>
          <w:numId w:val="1"/>
        </w:numPr>
        <w:pBdr>
          <w:top w:space="0" w:sz="0" w:val="nil"/>
          <w:left w:space="0" w:sz="0" w:val="nil"/>
          <w:bottom w:space="0" w:sz="0" w:val="nil"/>
          <w:right w:space="0" w:sz="0" w:val="nil"/>
          <w:between w:space="0" w:sz="0" w:val="nil"/>
        </w:pBdr>
        <w:spacing w:line="360" w:lineRule="auto"/>
        <w:ind w:left="2409" w:hanging="360"/>
        <w:jc w:val="both"/>
        <w:rPr>
          <w:highlight w:val="white"/>
        </w:rPr>
      </w:pPr>
      <w:r w:rsidDel="00000000" w:rsidR="00000000" w:rsidRPr="00000000">
        <w:rPr>
          <w:highlight w:val="white"/>
          <w:rtl w:val="0"/>
        </w:rPr>
        <w:t xml:space="preserve">Company listed on any major stock exchange</w:t>
      </w:r>
    </w:p>
    <w:p w:rsidR="00000000" w:rsidDel="00000000" w:rsidP="00000000" w:rsidRDefault="00000000" w:rsidRPr="00000000" w14:paraId="000000A4">
      <w:pPr>
        <w:numPr>
          <w:ilvl w:val="2"/>
          <w:numId w:val="1"/>
        </w:numPr>
        <w:pBdr>
          <w:top w:space="0" w:sz="0" w:val="nil"/>
          <w:left w:space="0" w:sz="0" w:val="nil"/>
          <w:bottom w:space="0" w:sz="0" w:val="nil"/>
          <w:right w:space="0" w:sz="0" w:val="nil"/>
          <w:between w:space="0" w:sz="0" w:val="nil"/>
        </w:pBdr>
        <w:spacing w:line="360" w:lineRule="auto"/>
        <w:ind w:left="2409" w:hanging="360"/>
        <w:jc w:val="both"/>
        <w:rPr>
          <w:highlight w:val="white"/>
        </w:rPr>
      </w:pPr>
      <w:r w:rsidDel="00000000" w:rsidR="00000000" w:rsidRPr="00000000">
        <w:rPr>
          <w:highlight w:val="white"/>
          <w:rtl w:val="0"/>
        </w:rPr>
        <w:t xml:space="preserve">Employees in excess of 500  </w:t>
      </w:r>
    </w:p>
    <w:p w:rsidR="00000000" w:rsidDel="00000000" w:rsidP="00000000" w:rsidRDefault="00000000" w:rsidRPr="00000000" w14:paraId="000000A5">
      <w:pPr>
        <w:numPr>
          <w:ilvl w:val="2"/>
          <w:numId w:val="1"/>
        </w:numPr>
        <w:pBdr>
          <w:top w:space="0" w:sz="0" w:val="nil"/>
          <w:left w:space="0" w:sz="0" w:val="nil"/>
          <w:bottom w:space="0" w:sz="0" w:val="nil"/>
          <w:right w:space="0" w:sz="0" w:val="nil"/>
          <w:between w:space="0" w:sz="0" w:val="nil"/>
        </w:pBdr>
        <w:spacing w:line="360" w:lineRule="auto"/>
        <w:ind w:left="2409" w:hanging="360"/>
        <w:jc w:val="both"/>
        <w:rPr>
          <w:highlight w:val="white"/>
        </w:rPr>
      </w:pPr>
      <w:r w:rsidDel="00000000" w:rsidR="00000000" w:rsidRPr="00000000">
        <w:rPr>
          <w:highlight w:val="white"/>
          <w:rtl w:val="0"/>
        </w:rPr>
        <w:t xml:space="preserve">Interests in foreign jurisdictions</w:t>
      </w:r>
    </w:p>
    <w:p w:rsidR="00000000" w:rsidDel="00000000" w:rsidP="00000000" w:rsidRDefault="00000000" w:rsidRPr="00000000" w14:paraId="000000A6">
      <w:pPr>
        <w:numPr>
          <w:ilvl w:val="2"/>
          <w:numId w:val="1"/>
        </w:numPr>
        <w:pBdr>
          <w:top w:space="0" w:sz="0" w:val="nil"/>
          <w:left w:space="0" w:sz="0" w:val="nil"/>
          <w:bottom w:space="0" w:sz="0" w:val="nil"/>
          <w:right w:space="0" w:sz="0" w:val="nil"/>
          <w:between w:space="0" w:sz="0" w:val="nil"/>
        </w:pBdr>
        <w:spacing w:line="360" w:lineRule="auto"/>
        <w:ind w:left="2409" w:hanging="360"/>
        <w:jc w:val="both"/>
        <w:rPr>
          <w:highlight w:val="white"/>
        </w:rPr>
      </w:pPr>
      <w:r w:rsidDel="00000000" w:rsidR="00000000" w:rsidRPr="00000000">
        <w:rPr>
          <w:highlight w:val="white"/>
          <w:rtl w:val="0"/>
        </w:rPr>
        <w:t xml:space="preserve">Lending in excess of £100m</w:t>
      </w:r>
    </w:p>
    <w:p w:rsidR="00000000" w:rsidDel="00000000" w:rsidP="00000000" w:rsidRDefault="00000000" w:rsidRPr="00000000" w14:paraId="000000A7">
      <w:pPr>
        <w:numPr>
          <w:ilvl w:val="2"/>
          <w:numId w:val="1"/>
        </w:numPr>
        <w:pBdr>
          <w:top w:space="0" w:sz="0" w:val="nil"/>
          <w:left w:space="0" w:sz="0" w:val="nil"/>
          <w:bottom w:space="0" w:sz="0" w:val="nil"/>
          <w:right w:space="0" w:sz="0" w:val="nil"/>
          <w:between w:space="0" w:sz="0" w:val="nil"/>
        </w:pBdr>
        <w:spacing w:line="360" w:lineRule="auto"/>
        <w:ind w:left="2409" w:hanging="360"/>
        <w:jc w:val="both"/>
        <w:rPr>
          <w:highlight w:val="white"/>
        </w:rPr>
      </w:pPr>
      <w:r w:rsidDel="00000000" w:rsidR="00000000" w:rsidRPr="00000000">
        <w:rPr>
          <w:highlight w:val="white"/>
          <w:rtl w:val="0"/>
        </w:rPr>
        <w:t xml:space="preserve">Multi-layered debt structures with multiple financial stakeholders</w:t>
      </w:r>
    </w:p>
    <w:p w:rsidR="00000000" w:rsidDel="00000000" w:rsidP="00000000" w:rsidRDefault="00000000" w:rsidRPr="00000000" w14:paraId="000000A8">
      <w:pPr>
        <w:numPr>
          <w:ilvl w:val="2"/>
          <w:numId w:val="1"/>
        </w:numPr>
        <w:pBdr>
          <w:top w:space="0" w:sz="0" w:val="nil"/>
          <w:left w:space="0" w:sz="0" w:val="nil"/>
          <w:bottom w:space="0" w:sz="0" w:val="nil"/>
          <w:right w:space="0" w:sz="0" w:val="nil"/>
          <w:between w:space="0" w:sz="0" w:val="nil"/>
        </w:pBdr>
        <w:spacing w:line="360" w:lineRule="auto"/>
        <w:ind w:left="2409" w:hanging="360"/>
        <w:jc w:val="both"/>
        <w:rPr>
          <w:highlight w:val="white"/>
        </w:rPr>
      </w:pPr>
      <w:r w:rsidDel="00000000" w:rsidR="00000000" w:rsidRPr="00000000">
        <w:rPr>
          <w:highlight w:val="white"/>
          <w:rtl w:val="0"/>
        </w:rPr>
        <w:t xml:space="preserve">National security implications </w:t>
      </w:r>
    </w:p>
    <w:p w:rsidR="00000000" w:rsidDel="00000000" w:rsidP="00000000" w:rsidRDefault="00000000" w:rsidRPr="00000000" w14:paraId="000000A9">
      <w:pPr>
        <w:numPr>
          <w:ilvl w:val="2"/>
          <w:numId w:val="1"/>
        </w:numPr>
        <w:pBdr>
          <w:top w:space="0" w:sz="0" w:val="nil"/>
          <w:left w:space="0" w:sz="0" w:val="nil"/>
          <w:bottom w:space="0" w:sz="0" w:val="nil"/>
          <w:right w:space="0" w:sz="0" w:val="nil"/>
          <w:between w:space="0" w:sz="0" w:val="nil"/>
        </w:pBdr>
        <w:spacing w:after="240" w:line="360" w:lineRule="auto"/>
        <w:ind w:left="2409" w:hanging="360"/>
        <w:jc w:val="both"/>
        <w:rPr>
          <w:highlight w:val="white"/>
        </w:rPr>
      </w:pPr>
      <w:r w:rsidDel="00000000" w:rsidR="00000000" w:rsidRPr="00000000">
        <w:rPr>
          <w:highlight w:val="white"/>
          <w:rtl w:val="0"/>
        </w:rPr>
        <w:t xml:space="preserve">Operationally complex</w:t>
      </w:r>
    </w:p>
    <w:sectPr>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A">
    <w:pPr>
      <w:rPr>
        <w:sz w:val="16"/>
        <w:szCs w:val="16"/>
      </w:rPr>
    </w:pPr>
    <w:r w:rsidDel="00000000" w:rsidR="00000000" w:rsidRPr="00000000">
      <w:rPr>
        <w:sz w:val="16"/>
        <w:szCs w:val="16"/>
        <w:rtl w:val="0"/>
      </w:rPr>
      <w:t xml:space="preserve">Restructuring &amp; Insolvency (R&amp;I)</w:t>
      <w:tab/>
      <w:tab/>
      <w:tab/>
      <w:tab/>
      <w:tab/>
      <w:tab/>
      <w:tab/>
      <w:tab/>
      <w:tab/>
    </w:r>
  </w:p>
  <w:p w:rsidR="00000000" w:rsidDel="00000000" w:rsidP="00000000" w:rsidRDefault="00000000" w:rsidRPr="00000000" w14:paraId="000000AB">
    <w:pPr>
      <w:rPr>
        <w:sz w:val="16"/>
        <w:szCs w:val="16"/>
      </w:rPr>
    </w:pPr>
    <w:r w:rsidDel="00000000" w:rsidR="00000000" w:rsidRPr="00000000">
      <w:rPr>
        <w:sz w:val="16"/>
        <w:szCs w:val="16"/>
        <w:rtl w:val="0"/>
      </w:rPr>
      <w:t xml:space="preserve">Framework Schedule 1: Specification V2</w:t>
    </w:r>
  </w:p>
  <w:p w:rsidR="00000000" w:rsidDel="00000000" w:rsidP="00000000" w:rsidRDefault="00000000" w:rsidRPr="00000000" w14:paraId="000000AC">
    <w:pPr>
      <w:rPr>
        <w:sz w:val="16"/>
        <w:szCs w:val="16"/>
      </w:rPr>
    </w:pPr>
    <w:r w:rsidDel="00000000" w:rsidR="00000000" w:rsidRPr="00000000">
      <w:rPr>
        <w:sz w:val="16"/>
        <w:szCs w:val="16"/>
        <w:rtl w:val="0"/>
      </w:rPr>
      <w:t xml:space="preserve">@ Crown Copyright 2021</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color w:val="000000"/>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120" w:before="280" w:line="360" w:lineRule="auto"/>
      <w:jc w:val="both"/>
    </w:pPr>
    <w:rPr>
      <w:b w:val="1"/>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120" w:before="280" w:line="360" w:lineRule="auto"/>
      <w:jc w:val="both"/>
      <w:outlineLvl w:val="3"/>
    </w:pPr>
    <w:rPr>
      <w:b w:val="1"/>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paragraph" w:styleId="BalloonText">
    <w:name w:val="Balloon Text"/>
    <w:basedOn w:val="Normal"/>
    <w:link w:val="BalloonTextChar"/>
    <w:uiPriority w:val="99"/>
    <w:semiHidden w:val="1"/>
    <w:unhideWhenUsed w:val="1"/>
    <w:rsid w:val="005F63A2"/>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F63A2"/>
    <w:rPr>
      <w:rFonts w:ascii="Segoe UI" w:cs="Segoe UI" w:hAnsi="Segoe UI"/>
      <w:sz w:val="18"/>
      <w:szCs w:val="18"/>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RF6+Q2Jcziky+y9jWYStH/5n6w==">AMUW2mUK+0EGMGMFcyRZMbil4AkT/g2xP0DamGzRbWi5RpXJIx4aRJ2zF4mLEe+ArwfVHjBZsQk/CTYt4u2IaSw5cJ/khDQJEKQgv/5v3cVbVP7kZLS/UCyWKIpD/3CsO2UxP0C9vkiohnrfRKdquJn7CVUc7xTGUa8cLjgOaxKoL2CPMpTpFjKtqtCbHlutMRJgYCf+0RIY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2021-10-18T10:50:00Z</dcterms:created>
</cp:coreProperties>
</file>