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C18" w:rsidRDefault="003D4C18" w:rsidP="003D4C18">
      <w:pPr>
        <w:spacing w:after="0"/>
      </w:pPr>
      <w:bookmarkStart w:id="0" w:name="_GoBack"/>
      <w:bookmarkEnd w:id="0"/>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7095"/>
      </w:tblGrid>
      <w:tr w:rsidR="00CA190E" w:rsidRPr="004165CB" w:rsidTr="00483F12">
        <w:tc>
          <w:tcPr>
            <w:tcW w:w="2970" w:type="dxa"/>
            <w:shd w:val="clear" w:color="auto" w:fill="595959"/>
            <w:vAlign w:val="center"/>
          </w:tcPr>
          <w:p w:rsidR="00CA190E" w:rsidRPr="004165CB" w:rsidRDefault="00CA190E" w:rsidP="004165CB">
            <w:pPr>
              <w:spacing w:after="0"/>
              <w:rPr>
                <w:rFonts w:cstheme="minorHAnsi"/>
                <w:b/>
                <w:color w:val="F79646"/>
                <w:sz w:val="22"/>
                <w:szCs w:val="22"/>
              </w:rPr>
            </w:pPr>
            <w:r w:rsidRPr="004165CB">
              <w:rPr>
                <w:rFonts w:cstheme="minorHAnsi"/>
                <w:b/>
                <w:color w:val="F79646"/>
                <w:sz w:val="22"/>
                <w:szCs w:val="22"/>
              </w:rPr>
              <w:t>Service Specification No.</w:t>
            </w:r>
          </w:p>
        </w:tc>
        <w:tc>
          <w:tcPr>
            <w:tcW w:w="7095" w:type="dxa"/>
            <w:shd w:val="clear" w:color="auto" w:fill="auto"/>
            <w:vAlign w:val="center"/>
          </w:tcPr>
          <w:p w:rsidR="00CA190E" w:rsidRPr="004165CB" w:rsidRDefault="00CA190E" w:rsidP="004165CB">
            <w:pPr>
              <w:spacing w:after="0"/>
              <w:rPr>
                <w:rFonts w:cstheme="minorHAnsi"/>
                <w:sz w:val="22"/>
                <w:szCs w:val="22"/>
              </w:rPr>
            </w:pPr>
          </w:p>
          <w:p w:rsidR="000671CA" w:rsidRPr="004165CB" w:rsidRDefault="000671CA" w:rsidP="004165CB">
            <w:pPr>
              <w:spacing w:after="0"/>
              <w:rPr>
                <w:rFonts w:cstheme="minorHAnsi"/>
                <w:sz w:val="22"/>
                <w:szCs w:val="22"/>
              </w:rPr>
            </w:pPr>
          </w:p>
        </w:tc>
      </w:tr>
      <w:tr w:rsidR="00CA190E" w:rsidRPr="004165CB" w:rsidTr="00483F12">
        <w:tc>
          <w:tcPr>
            <w:tcW w:w="2970" w:type="dxa"/>
            <w:shd w:val="clear" w:color="auto" w:fill="595959"/>
            <w:vAlign w:val="center"/>
          </w:tcPr>
          <w:p w:rsidR="00CA190E" w:rsidRPr="004165CB" w:rsidRDefault="00CA190E" w:rsidP="004165CB">
            <w:pPr>
              <w:spacing w:after="0"/>
              <w:rPr>
                <w:rFonts w:cstheme="minorHAnsi"/>
                <w:b/>
                <w:color w:val="F79646"/>
                <w:sz w:val="22"/>
                <w:szCs w:val="22"/>
              </w:rPr>
            </w:pPr>
            <w:r w:rsidRPr="004165CB">
              <w:rPr>
                <w:rFonts w:cstheme="minorHAnsi"/>
                <w:b/>
                <w:color w:val="F79646"/>
                <w:sz w:val="22"/>
                <w:szCs w:val="22"/>
              </w:rPr>
              <w:t>Service</w:t>
            </w:r>
          </w:p>
        </w:tc>
        <w:tc>
          <w:tcPr>
            <w:tcW w:w="7095" w:type="dxa"/>
            <w:shd w:val="clear" w:color="auto" w:fill="auto"/>
            <w:vAlign w:val="center"/>
          </w:tcPr>
          <w:p w:rsidR="000671CA" w:rsidRPr="004165CB" w:rsidRDefault="006604F9" w:rsidP="004165CB">
            <w:pPr>
              <w:spacing w:after="0"/>
              <w:rPr>
                <w:rFonts w:cstheme="minorHAnsi"/>
                <w:sz w:val="22"/>
                <w:szCs w:val="22"/>
              </w:rPr>
            </w:pPr>
            <w:r>
              <w:rPr>
                <w:rFonts w:cstheme="minorHAnsi"/>
                <w:sz w:val="22"/>
                <w:szCs w:val="22"/>
              </w:rPr>
              <w:t>Unlicensed Pharmaceutical Specials Service</w:t>
            </w:r>
            <w:r w:rsidR="00B35DC1" w:rsidRPr="004165CB">
              <w:rPr>
                <w:rFonts w:cstheme="minorHAnsi"/>
                <w:sz w:val="22"/>
                <w:szCs w:val="22"/>
              </w:rPr>
              <w:t xml:space="preserve"> </w:t>
            </w:r>
          </w:p>
        </w:tc>
      </w:tr>
      <w:tr w:rsidR="00CA190E" w:rsidRPr="004165CB" w:rsidTr="00483F12">
        <w:tc>
          <w:tcPr>
            <w:tcW w:w="2970" w:type="dxa"/>
            <w:shd w:val="clear" w:color="auto" w:fill="595959"/>
            <w:vAlign w:val="center"/>
          </w:tcPr>
          <w:p w:rsidR="00CA190E" w:rsidRPr="004165CB" w:rsidRDefault="00CA190E" w:rsidP="004165CB">
            <w:pPr>
              <w:spacing w:after="0"/>
              <w:rPr>
                <w:rFonts w:cstheme="minorHAnsi"/>
                <w:b/>
                <w:color w:val="F79646"/>
                <w:sz w:val="22"/>
                <w:szCs w:val="22"/>
              </w:rPr>
            </w:pPr>
            <w:r w:rsidRPr="004165CB">
              <w:rPr>
                <w:rFonts w:cstheme="minorHAnsi"/>
                <w:b/>
                <w:color w:val="F79646"/>
                <w:sz w:val="22"/>
                <w:szCs w:val="22"/>
              </w:rPr>
              <w:t>Commissioner Lead</w:t>
            </w:r>
          </w:p>
        </w:tc>
        <w:tc>
          <w:tcPr>
            <w:tcW w:w="7095" w:type="dxa"/>
            <w:shd w:val="clear" w:color="auto" w:fill="auto"/>
            <w:vAlign w:val="center"/>
          </w:tcPr>
          <w:p w:rsidR="00FE7007" w:rsidRPr="004165CB" w:rsidRDefault="006604F9" w:rsidP="004165CB">
            <w:pPr>
              <w:spacing w:after="0"/>
              <w:rPr>
                <w:rFonts w:cstheme="minorHAnsi"/>
                <w:sz w:val="22"/>
                <w:szCs w:val="22"/>
              </w:rPr>
            </w:pPr>
            <w:r>
              <w:rPr>
                <w:rFonts w:cstheme="minorHAnsi"/>
                <w:sz w:val="22"/>
                <w:szCs w:val="22"/>
              </w:rPr>
              <w:t>NHS East Lancashire CCG</w:t>
            </w:r>
          </w:p>
        </w:tc>
      </w:tr>
      <w:tr w:rsidR="00CA190E" w:rsidRPr="004165CB" w:rsidTr="00483F12">
        <w:tc>
          <w:tcPr>
            <w:tcW w:w="2970" w:type="dxa"/>
            <w:shd w:val="clear" w:color="auto" w:fill="595959"/>
            <w:vAlign w:val="center"/>
          </w:tcPr>
          <w:p w:rsidR="00CA190E" w:rsidRPr="004165CB" w:rsidRDefault="00CA190E" w:rsidP="004165CB">
            <w:pPr>
              <w:spacing w:after="0"/>
              <w:rPr>
                <w:rFonts w:cstheme="minorHAnsi"/>
                <w:b/>
                <w:color w:val="F79646"/>
                <w:sz w:val="22"/>
                <w:szCs w:val="22"/>
              </w:rPr>
            </w:pPr>
            <w:r w:rsidRPr="004165CB">
              <w:rPr>
                <w:rFonts w:cstheme="minorHAnsi"/>
                <w:b/>
                <w:color w:val="F79646"/>
                <w:sz w:val="22"/>
                <w:szCs w:val="22"/>
              </w:rPr>
              <w:t>Provider Lead</w:t>
            </w:r>
          </w:p>
        </w:tc>
        <w:tc>
          <w:tcPr>
            <w:tcW w:w="7095" w:type="dxa"/>
            <w:shd w:val="clear" w:color="auto" w:fill="auto"/>
            <w:vAlign w:val="center"/>
          </w:tcPr>
          <w:p w:rsidR="00CA190E" w:rsidRPr="004165CB" w:rsidRDefault="00CA190E" w:rsidP="004165CB">
            <w:pPr>
              <w:spacing w:after="0"/>
              <w:rPr>
                <w:rFonts w:cstheme="minorHAnsi"/>
                <w:sz w:val="22"/>
                <w:szCs w:val="22"/>
              </w:rPr>
            </w:pPr>
          </w:p>
        </w:tc>
      </w:tr>
      <w:tr w:rsidR="00CA190E" w:rsidRPr="004165CB" w:rsidTr="00483F12">
        <w:tc>
          <w:tcPr>
            <w:tcW w:w="2970" w:type="dxa"/>
            <w:shd w:val="clear" w:color="auto" w:fill="595959"/>
            <w:vAlign w:val="center"/>
          </w:tcPr>
          <w:p w:rsidR="00CA190E" w:rsidRPr="004165CB" w:rsidRDefault="00CA190E" w:rsidP="004165CB">
            <w:pPr>
              <w:spacing w:after="0"/>
              <w:rPr>
                <w:rFonts w:cstheme="minorHAnsi"/>
                <w:b/>
                <w:color w:val="F79646"/>
                <w:sz w:val="22"/>
                <w:szCs w:val="22"/>
              </w:rPr>
            </w:pPr>
            <w:r w:rsidRPr="004165CB">
              <w:rPr>
                <w:rFonts w:cstheme="minorHAnsi"/>
                <w:b/>
                <w:color w:val="F79646"/>
                <w:sz w:val="22"/>
                <w:szCs w:val="22"/>
              </w:rPr>
              <w:t>Period</w:t>
            </w:r>
          </w:p>
        </w:tc>
        <w:tc>
          <w:tcPr>
            <w:tcW w:w="7095" w:type="dxa"/>
            <w:shd w:val="clear" w:color="auto" w:fill="auto"/>
            <w:vAlign w:val="center"/>
          </w:tcPr>
          <w:p w:rsidR="00CA190E" w:rsidRPr="004165CB" w:rsidRDefault="006604F9" w:rsidP="005E48D8">
            <w:pPr>
              <w:spacing w:after="0"/>
              <w:rPr>
                <w:rFonts w:cstheme="minorHAnsi"/>
                <w:sz w:val="22"/>
                <w:szCs w:val="22"/>
              </w:rPr>
            </w:pPr>
            <w:r>
              <w:rPr>
                <w:rFonts w:cstheme="minorHAnsi"/>
                <w:sz w:val="22"/>
                <w:szCs w:val="22"/>
              </w:rPr>
              <w:t>1</w:t>
            </w:r>
            <w:r w:rsidRPr="006604F9">
              <w:rPr>
                <w:rFonts w:cstheme="minorHAnsi"/>
                <w:sz w:val="22"/>
                <w:szCs w:val="22"/>
                <w:vertAlign w:val="superscript"/>
              </w:rPr>
              <w:t>st</w:t>
            </w:r>
            <w:r>
              <w:rPr>
                <w:rFonts w:cstheme="minorHAnsi"/>
                <w:sz w:val="22"/>
                <w:szCs w:val="22"/>
              </w:rPr>
              <w:t xml:space="preserve"> </w:t>
            </w:r>
            <w:r w:rsidR="005E48D8">
              <w:rPr>
                <w:rFonts w:cstheme="minorHAnsi"/>
                <w:sz w:val="22"/>
                <w:szCs w:val="22"/>
              </w:rPr>
              <w:t>September</w:t>
            </w:r>
            <w:r>
              <w:rPr>
                <w:rFonts w:cstheme="minorHAnsi"/>
                <w:sz w:val="22"/>
                <w:szCs w:val="22"/>
              </w:rPr>
              <w:t xml:space="preserve"> 2017</w:t>
            </w:r>
            <w:r w:rsidR="00537BB8">
              <w:rPr>
                <w:rFonts w:cstheme="minorHAnsi"/>
                <w:sz w:val="22"/>
                <w:szCs w:val="22"/>
              </w:rPr>
              <w:t xml:space="preserve"> – 31</w:t>
            </w:r>
            <w:r w:rsidR="00537BB8" w:rsidRPr="00537BB8">
              <w:rPr>
                <w:rFonts w:cstheme="minorHAnsi"/>
                <w:sz w:val="22"/>
                <w:szCs w:val="22"/>
                <w:vertAlign w:val="superscript"/>
              </w:rPr>
              <w:t>st</w:t>
            </w:r>
            <w:r w:rsidR="00537BB8">
              <w:rPr>
                <w:rFonts w:cstheme="minorHAnsi"/>
                <w:sz w:val="22"/>
                <w:szCs w:val="22"/>
              </w:rPr>
              <w:t xml:space="preserve"> </w:t>
            </w:r>
            <w:r w:rsidR="005E48D8">
              <w:rPr>
                <w:rFonts w:cstheme="minorHAnsi"/>
                <w:sz w:val="22"/>
                <w:szCs w:val="22"/>
              </w:rPr>
              <w:t>August</w:t>
            </w:r>
            <w:r w:rsidR="00537BB8">
              <w:rPr>
                <w:rFonts w:cstheme="minorHAnsi"/>
                <w:sz w:val="22"/>
                <w:szCs w:val="22"/>
              </w:rPr>
              <w:t xml:space="preserve"> 2022</w:t>
            </w:r>
          </w:p>
        </w:tc>
      </w:tr>
      <w:tr w:rsidR="00CA190E" w:rsidRPr="004165CB" w:rsidTr="00483F12">
        <w:tc>
          <w:tcPr>
            <w:tcW w:w="2970" w:type="dxa"/>
            <w:shd w:val="clear" w:color="auto" w:fill="595959"/>
            <w:vAlign w:val="center"/>
          </w:tcPr>
          <w:p w:rsidR="00CA190E" w:rsidRPr="004165CB" w:rsidRDefault="00CA190E" w:rsidP="004165CB">
            <w:pPr>
              <w:spacing w:after="0"/>
              <w:rPr>
                <w:rFonts w:cstheme="minorHAnsi"/>
                <w:b/>
                <w:color w:val="F79646"/>
                <w:sz w:val="22"/>
                <w:szCs w:val="22"/>
              </w:rPr>
            </w:pPr>
            <w:r w:rsidRPr="004165CB">
              <w:rPr>
                <w:rFonts w:cstheme="minorHAnsi"/>
                <w:b/>
                <w:color w:val="F79646"/>
                <w:sz w:val="22"/>
                <w:szCs w:val="22"/>
              </w:rPr>
              <w:t>Date of Review</w:t>
            </w:r>
          </w:p>
        </w:tc>
        <w:tc>
          <w:tcPr>
            <w:tcW w:w="7095" w:type="dxa"/>
            <w:shd w:val="clear" w:color="auto" w:fill="auto"/>
            <w:vAlign w:val="center"/>
          </w:tcPr>
          <w:p w:rsidR="00CA190E" w:rsidRPr="00537BB8" w:rsidRDefault="005E48D8" w:rsidP="005E48D8">
            <w:pPr>
              <w:spacing w:after="0"/>
              <w:rPr>
                <w:rFonts w:cstheme="minorHAnsi"/>
                <w:sz w:val="22"/>
                <w:szCs w:val="22"/>
              </w:rPr>
            </w:pPr>
            <w:r>
              <w:rPr>
                <w:rFonts w:cstheme="minorHAnsi"/>
                <w:sz w:val="22"/>
                <w:szCs w:val="22"/>
              </w:rPr>
              <w:t>September</w:t>
            </w:r>
            <w:r w:rsidR="00537BB8" w:rsidRPr="00537BB8">
              <w:rPr>
                <w:rFonts w:cstheme="minorHAnsi"/>
                <w:sz w:val="22"/>
                <w:szCs w:val="22"/>
              </w:rPr>
              <w:t xml:space="preserve"> 2018; </w:t>
            </w:r>
            <w:r>
              <w:rPr>
                <w:rFonts w:cstheme="minorHAnsi"/>
                <w:sz w:val="22"/>
                <w:szCs w:val="22"/>
              </w:rPr>
              <w:t>September</w:t>
            </w:r>
            <w:r w:rsidR="00537BB8" w:rsidRPr="00537BB8">
              <w:rPr>
                <w:rFonts w:cstheme="minorHAnsi"/>
                <w:sz w:val="22"/>
                <w:szCs w:val="22"/>
              </w:rPr>
              <w:t xml:space="preserve"> 2020</w:t>
            </w:r>
          </w:p>
        </w:tc>
      </w:tr>
    </w:tbl>
    <w:p w:rsidR="00CA190E" w:rsidRPr="004165CB" w:rsidRDefault="00CA190E" w:rsidP="004165CB">
      <w:pPr>
        <w:spacing w:after="0"/>
        <w:jc w:val="center"/>
        <w:rPr>
          <w:rFonts w:cstheme="minorHAnsi"/>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A190E" w:rsidRPr="005B37F1" w:rsidTr="005B37F1">
        <w:tc>
          <w:tcPr>
            <w:tcW w:w="10065" w:type="dxa"/>
            <w:shd w:val="clear" w:color="auto" w:fill="595959"/>
          </w:tcPr>
          <w:p w:rsidR="00CA190E" w:rsidRPr="005B37F1" w:rsidRDefault="00CA190E" w:rsidP="005B37F1">
            <w:pPr>
              <w:pStyle w:val="ListParagraph"/>
              <w:numPr>
                <w:ilvl w:val="0"/>
                <w:numId w:val="21"/>
              </w:numPr>
              <w:ind w:left="318" w:hanging="284"/>
              <w:rPr>
                <w:rFonts w:asciiTheme="minorHAnsi" w:hAnsiTheme="minorHAnsi" w:cstheme="minorHAnsi"/>
                <w:b/>
                <w:color w:val="F79646"/>
                <w:sz w:val="22"/>
                <w:szCs w:val="22"/>
              </w:rPr>
            </w:pPr>
            <w:r w:rsidRPr="005B37F1">
              <w:rPr>
                <w:rFonts w:asciiTheme="minorHAnsi" w:hAnsiTheme="minorHAnsi" w:cstheme="minorHAnsi"/>
                <w:b/>
                <w:color w:val="F79646"/>
                <w:sz w:val="22"/>
                <w:szCs w:val="22"/>
              </w:rPr>
              <w:t>Population Needs</w:t>
            </w:r>
          </w:p>
        </w:tc>
      </w:tr>
      <w:tr w:rsidR="00CA190E" w:rsidRPr="004165CB" w:rsidTr="005B37F1">
        <w:tc>
          <w:tcPr>
            <w:tcW w:w="10065" w:type="dxa"/>
            <w:shd w:val="clear" w:color="auto" w:fill="auto"/>
          </w:tcPr>
          <w:p w:rsidR="006604F9" w:rsidRPr="00702278" w:rsidRDefault="006604F9" w:rsidP="006604F9">
            <w:pPr>
              <w:spacing w:after="0" w:line="276" w:lineRule="auto"/>
              <w:contextualSpacing/>
              <w:rPr>
                <w:rFonts w:eastAsia="Times New Roman" w:cs="Arial"/>
                <w:b/>
                <w:color w:val="000000"/>
                <w:szCs w:val="24"/>
                <w:lang w:val="en-GB" w:eastAsia="en-US"/>
              </w:rPr>
            </w:pPr>
          </w:p>
          <w:p w:rsidR="006604F9" w:rsidRPr="006604F9" w:rsidRDefault="006604F9" w:rsidP="006604F9">
            <w:pPr>
              <w:spacing w:after="0" w:line="276" w:lineRule="auto"/>
              <w:contextualSpacing/>
              <w:rPr>
                <w:rFonts w:eastAsia="Times New Roman" w:cs="Arial"/>
                <w:color w:val="000000"/>
                <w:szCs w:val="24"/>
                <w:lang w:val="en-GB" w:eastAsia="en-US"/>
              </w:rPr>
            </w:pPr>
            <w:r w:rsidRPr="006604F9">
              <w:rPr>
                <w:rFonts w:eastAsia="Times New Roman" w:cs="Arial"/>
                <w:b/>
                <w:color w:val="000000"/>
                <w:szCs w:val="24"/>
                <w:lang w:val="en-GB" w:eastAsia="en-US"/>
              </w:rPr>
              <w:t>CONTEXT</w:t>
            </w:r>
          </w:p>
          <w:p w:rsidR="006604F9" w:rsidRDefault="006604F9" w:rsidP="00702278">
            <w:pPr>
              <w:spacing w:after="0"/>
              <w:jc w:val="both"/>
              <w:rPr>
                <w:rFonts w:eastAsia="Times New Roman" w:cs="Arial"/>
                <w:color w:val="000000"/>
                <w:szCs w:val="24"/>
                <w:lang w:val="en" w:eastAsia="en-GB"/>
              </w:rPr>
            </w:pPr>
            <w:r w:rsidRPr="006604F9">
              <w:rPr>
                <w:rFonts w:eastAsia="Times New Roman" w:cs="Arial"/>
                <w:color w:val="000000"/>
                <w:szCs w:val="24"/>
                <w:lang w:val="en" w:eastAsia="en-GB"/>
              </w:rPr>
              <w:t>If a licensed medicine is used in a way that does not meet the strict rules set out in the MHRA license, this is described as ‘unlicensed use’. For the purpose of this document the term unlicensed is defined as:</w:t>
            </w:r>
          </w:p>
          <w:p w:rsidR="00702278" w:rsidRPr="006604F9" w:rsidRDefault="00702278" w:rsidP="00702278">
            <w:pPr>
              <w:spacing w:after="0"/>
              <w:jc w:val="both"/>
              <w:rPr>
                <w:rFonts w:eastAsiaTheme="minorHAnsi" w:cs="Arial"/>
                <w:szCs w:val="24"/>
                <w:lang w:val="en-GB" w:eastAsia="en-US"/>
              </w:rPr>
            </w:pPr>
          </w:p>
          <w:p w:rsidR="006604F9" w:rsidRPr="006604F9" w:rsidRDefault="006604F9" w:rsidP="00702278">
            <w:pPr>
              <w:numPr>
                <w:ilvl w:val="0"/>
                <w:numId w:val="22"/>
              </w:numPr>
              <w:spacing w:after="0"/>
              <w:contextualSpacing/>
              <w:jc w:val="both"/>
              <w:rPr>
                <w:rFonts w:eastAsia="Times New Roman" w:cs="Arial"/>
                <w:color w:val="000000"/>
                <w:szCs w:val="24"/>
                <w:lang w:val="en" w:eastAsia="en-GB"/>
              </w:rPr>
            </w:pPr>
            <w:r w:rsidRPr="006604F9">
              <w:rPr>
                <w:rFonts w:eastAsia="Times New Roman" w:cs="Arial"/>
                <w:color w:val="000000"/>
                <w:szCs w:val="24"/>
                <w:lang w:val="en" w:eastAsia="en-GB"/>
              </w:rPr>
              <w:t>Use of a medicine that is only available from abroad and has to be imported (it may have a license in other countries)</w:t>
            </w:r>
            <w:r w:rsidR="00537BB8">
              <w:rPr>
                <w:rFonts w:eastAsia="Times New Roman" w:cs="Arial"/>
                <w:color w:val="000000"/>
                <w:szCs w:val="24"/>
                <w:lang w:val="en" w:eastAsia="en-GB"/>
              </w:rPr>
              <w:t xml:space="preserve"> and/or</w:t>
            </w:r>
          </w:p>
          <w:p w:rsidR="006604F9" w:rsidRPr="006604F9" w:rsidRDefault="006604F9" w:rsidP="00702278">
            <w:pPr>
              <w:numPr>
                <w:ilvl w:val="0"/>
                <w:numId w:val="22"/>
              </w:numPr>
              <w:spacing w:after="0"/>
              <w:contextualSpacing/>
              <w:jc w:val="both"/>
              <w:rPr>
                <w:rFonts w:eastAsia="Times New Roman" w:cs="Arial"/>
                <w:color w:val="000000"/>
                <w:szCs w:val="24"/>
                <w:lang w:val="en" w:eastAsia="en-GB"/>
              </w:rPr>
            </w:pPr>
            <w:r w:rsidRPr="006604F9">
              <w:rPr>
                <w:rFonts w:eastAsia="Times New Roman" w:cs="Arial"/>
                <w:color w:val="000000"/>
                <w:szCs w:val="24"/>
                <w:lang w:val="en" w:eastAsia="en-GB"/>
              </w:rPr>
              <w:t>A medicine that needs to be made specially because it cannot be obtained easily; for example, a patient may not be able to swallow a (licensed) tablet or capsule and may require an unlicensed liquid formulation of the medicine.</w:t>
            </w:r>
          </w:p>
          <w:p w:rsidR="006604F9" w:rsidRPr="006604F9" w:rsidRDefault="006604F9" w:rsidP="00702278">
            <w:pPr>
              <w:spacing w:after="0"/>
              <w:rPr>
                <w:rFonts w:eastAsiaTheme="minorHAnsi" w:cs="Arial"/>
                <w:szCs w:val="24"/>
                <w:lang w:val="en-GB" w:eastAsia="en-US"/>
              </w:rPr>
            </w:pPr>
          </w:p>
          <w:p w:rsidR="006604F9" w:rsidRPr="006604F9" w:rsidRDefault="006604F9" w:rsidP="00702278">
            <w:pPr>
              <w:spacing w:after="0"/>
              <w:contextualSpacing/>
              <w:jc w:val="both"/>
              <w:rPr>
                <w:rFonts w:eastAsia="Times New Roman" w:cs="Arial"/>
                <w:color w:val="000000"/>
                <w:szCs w:val="24"/>
                <w:lang w:val="en-GB" w:eastAsia="en-US"/>
              </w:rPr>
            </w:pPr>
            <w:r w:rsidRPr="006604F9">
              <w:rPr>
                <w:rFonts w:eastAsia="Times New Roman" w:cs="Arial"/>
                <w:b/>
                <w:color w:val="000000"/>
                <w:szCs w:val="24"/>
                <w:lang w:val="en-GB" w:eastAsia="en-US"/>
              </w:rPr>
              <w:t>BACKGROUND</w:t>
            </w:r>
          </w:p>
          <w:p w:rsidR="006604F9" w:rsidRPr="006604F9" w:rsidRDefault="006604F9" w:rsidP="00702278">
            <w:pPr>
              <w:spacing w:after="0"/>
              <w:contextualSpacing/>
              <w:jc w:val="both"/>
              <w:rPr>
                <w:rFonts w:eastAsia="Times New Roman" w:cs="Arial"/>
                <w:color w:val="000000"/>
                <w:szCs w:val="24"/>
                <w:lang w:val="en-GB" w:eastAsia="en-US"/>
              </w:rPr>
            </w:pPr>
          </w:p>
          <w:p w:rsidR="006604F9" w:rsidRPr="006604F9" w:rsidRDefault="006604F9" w:rsidP="00702278">
            <w:pPr>
              <w:spacing w:after="0"/>
              <w:jc w:val="both"/>
              <w:rPr>
                <w:rFonts w:eastAsiaTheme="minorHAnsi" w:cs="Arial"/>
                <w:szCs w:val="24"/>
                <w:lang w:val="en-GB" w:eastAsia="en-US"/>
              </w:rPr>
            </w:pPr>
            <w:r w:rsidRPr="006604F9">
              <w:rPr>
                <w:rFonts w:eastAsiaTheme="minorHAnsi" w:cs="Arial"/>
                <w:szCs w:val="24"/>
                <w:lang w:val="en-GB" w:eastAsia="en-US"/>
              </w:rPr>
              <w:t xml:space="preserve">The majority of unlicensed </w:t>
            </w:r>
            <w:r w:rsidR="00141DFB">
              <w:rPr>
                <w:rFonts w:eastAsiaTheme="minorHAnsi" w:cs="Arial"/>
                <w:szCs w:val="24"/>
                <w:lang w:val="en-GB" w:eastAsia="en-US"/>
              </w:rPr>
              <w:t xml:space="preserve">pharmaceutical </w:t>
            </w:r>
            <w:r w:rsidRPr="006604F9">
              <w:rPr>
                <w:rFonts w:eastAsiaTheme="minorHAnsi" w:cs="Arial"/>
                <w:szCs w:val="24"/>
                <w:lang w:val="en-GB" w:eastAsia="en-US"/>
              </w:rPr>
              <w:t>specials/imported medicines for a variety of therapeutic uses are currently prescribed by GPs and dispensed through community pharmacies at present. Many of these patients come from tertiary, specialist centres such as Alder Hey and Manchester Children’s Hospital and may not be under the care of a local consultant. Some of the implications relating to the existing arrangements are:</w:t>
            </w:r>
          </w:p>
          <w:p w:rsidR="006604F9" w:rsidRPr="006604F9" w:rsidRDefault="006604F9" w:rsidP="00702278">
            <w:pPr>
              <w:spacing w:after="0"/>
              <w:jc w:val="both"/>
              <w:rPr>
                <w:rFonts w:eastAsiaTheme="minorHAnsi" w:cs="Arial"/>
                <w:szCs w:val="24"/>
                <w:lang w:val="en-GB" w:eastAsia="en-US"/>
              </w:rPr>
            </w:pPr>
          </w:p>
          <w:p w:rsidR="006604F9" w:rsidRPr="006604F9" w:rsidRDefault="006604F9" w:rsidP="00702278">
            <w:pPr>
              <w:numPr>
                <w:ilvl w:val="0"/>
                <w:numId w:val="24"/>
              </w:numPr>
              <w:spacing w:after="0"/>
              <w:contextualSpacing/>
              <w:jc w:val="both"/>
              <w:rPr>
                <w:rFonts w:eastAsiaTheme="minorHAnsi" w:cs="Arial"/>
                <w:szCs w:val="24"/>
                <w:lang w:val="en-GB" w:eastAsia="en-US"/>
              </w:rPr>
            </w:pPr>
            <w:r w:rsidRPr="006604F9">
              <w:rPr>
                <w:rFonts w:eastAsiaTheme="minorHAnsi" w:cs="Arial"/>
                <w:szCs w:val="24"/>
                <w:lang w:val="en-GB" w:eastAsia="en-US"/>
              </w:rPr>
              <w:t xml:space="preserve">Potential for procurement of inconsistent preparations due to the unlicensed nature and lack of homogeneity of products. This has in some instances led to </w:t>
            </w:r>
            <w:r w:rsidR="00EA1060">
              <w:rPr>
                <w:rFonts w:eastAsiaTheme="minorHAnsi" w:cs="Arial"/>
                <w:szCs w:val="24"/>
                <w:lang w:val="en-GB" w:eastAsia="en-US"/>
              </w:rPr>
              <w:t xml:space="preserve">reported </w:t>
            </w:r>
            <w:r w:rsidRPr="006604F9">
              <w:rPr>
                <w:rFonts w:eastAsiaTheme="minorHAnsi" w:cs="Arial"/>
                <w:szCs w:val="24"/>
                <w:lang w:val="en-GB" w:eastAsia="en-US"/>
              </w:rPr>
              <w:t>treatment failures</w:t>
            </w:r>
            <w:r w:rsidR="00E334AF">
              <w:rPr>
                <w:rFonts w:eastAsiaTheme="minorHAnsi" w:cs="Arial"/>
                <w:szCs w:val="24"/>
                <w:lang w:val="en-GB" w:eastAsia="en-US"/>
              </w:rPr>
              <w:t>.</w:t>
            </w:r>
            <w:r w:rsidRPr="006604F9">
              <w:rPr>
                <w:rFonts w:eastAsiaTheme="minorHAnsi" w:cs="Arial"/>
                <w:szCs w:val="24"/>
                <w:lang w:val="en-GB" w:eastAsia="en-US"/>
              </w:rPr>
              <w:t xml:space="preserve"> </w:t>
            </w:r>
          </w:p>
          <w:p w:rsidR="006604F9" w:rsidRPr="006604F9" w:rsidRDefault="006604F9" w:rsidP="00702278">
            <w:pPr>
              <w:numPr>
                <w:ilvl w:val="0"/>
                <w:numId w:val="24"/>
              </w:numPr>
              <w:spacing w:after="0"/>
              <w:contextualSpacing/>
              <w:jc w:val="both"/>
              <w:rPr>
                <w:rFonts w:eastAsiaTheme="minorHAnsi" w:cs="Arial"/>
                <w:szCs w:val="24"/>
                <w:lang w:val="en-GB" w:eastAsia="en-US"/>
              </w:rPr>
            </w:pPr>
            <w:r w:rsidRPr="006604F9">
              <w:rPr>
                <w:rFonts w:eastAsiaTheme="minorHAnsi" w:cs="Arial"/>
                <w:szCs w:val="24"/>
                <w:lang w:val="en-GB" w:eastAsia="en-US"/>
              </w:rPr>
              <w:t>Potential for prescribing, transcribing and dispensing errors due to lack of familiarity of products; age and weight calculations of dose and lack of products available from standard picking lists. A number of incident</w:t>
            </w:r>
            <w:r w:rsidRPr="00702278">
              <w:rPr>
                <w:rFonts w:eastAsiaTheme="minorHAnsi" w:cs="Arial"/>
                <w:szCs w:val="24"/>
                <w:lang w:val="en-GB" w:eastAsia="en-US"/>
              </w:rPr>
              <w:t>s</w:t>
            </w:r>
            <w:r w:rsidRPr="006604F9">
              <w:rPr>
                <w:rFonts w:eastAsiaTheme="minorHAnsi" w:cs="Arial"/>
                <w:szCs w:val="24"/>
                <w:lang w:val="en-GB" w:eastAsia="en-US"/>
              </w:rPr>
              <w:t xml:space="preserve"> have been reported where doses have been miscalculated and </w:t>
            </w:r>
            <w:r w:rsidR="00E334AF">
              <w:rPr>
                <w:rFonts w:eastAsiaTheme="minorHAnsi" w:cs="Arial"/>
                <w:szCs w:val="24"/>
                <w:lang w:val="en-GB" w:eastAsia="en-US"/>
              </w:rPr>
              <w:t xml:space="preserve">an </w:t>
            </w:r>
            <w:r w:rsidRPr="006604F9">
              <w:rPr>
                <w:rFonts w:eastAsiaTheme="minorHAnsi" w:cs="Arial"/>
                <w:szCs w:val="24"/>
                <w:lang w:val="en-GB" w:eastAsia="en-US"/>
              </w:rPr>
              <w:t>incorrect drug with a similar name being selected from a standard picking list.</w:t>
            </w:r>
          </w:p>
          <w:p w:rsidR="006604F9" w:rsidRPr="006604F9" w:rsidRDefault="006604F9" w:rsidP="00702278">
            <w:pPr>
              <w:numPr>
                <w:ilvl w:val="0"/>
                <w:numId w:val="24"/>
              </w:numPr>
              <w:spacing w:after="0"/>
              <w:contextualSpacing/>
              <w:jc w:val="both"/>
              <w:rPr>
                <w:rFonts w:eastAsiaTheme="minorHAnsi" w:cs="Arial"/>
                <w:szCs w:val="24"/>
                <w:lang w:val="en-GB" w:eastAsia="en-US"/>
              </w:rPr>
            </w:pPr>
            <w:r w:rsidRPr="006604F9">
              <w:rPr>
                <w:rFonts w:eastAsiaTheme="minorHAnsi" w:cs="Arial"/>
                <w:szCs w:val="24"/>
                <w:lang w:val="en-GB" w:eastAsia="en-US"/>
              </w:rPr>
              <w:t>Difficulty in procuring some products in the community resulting in time-consuming resolutions between the GP, patient and community pharmacy.</w:t>
            </w:r>
          </w:p>
          <w:p w:rsidR="006604F9" w:rsidRPr="006604F9" w:rsidRDefault="00EA1060" w:rsidP="00702278">
            <w:pPr>
              <w:numPr>
                <w:ilvl w:val="0"/>
                <w:numId w:val="24"/>
              </w:numPr>
              <w:spacing w:after="0"/>
              <w:contextualSpacing/>
              <w:jc w:val="both"/>
              <w:rPr>
                <w:rFonts w:eastAsiaTheme="minorHAnsi" w:cs="Arial"/>
                <w:szCs w:val="24"/>
                <w:lang w:val="en-GB" w:eastAsia="en-US"/>
              </w:rPr>
            </w:pPr>
            <w:r>
              <w:rPr>
                <w:rFonts w:eastAsiaTheme="minorHAnsi" w:cs="Arial"/>
                <w:szCs w:val="24"/>
                <w:lang w:val="en-GB" w:eastAsia="en-US"/>
              </w:rPr>
              <w:t xml:space="preserve">A short </w:t>
            </w:r>
            <w:r w:rsidR="00A46A00">
              <w:rPr>
                <w:rFonts w:eastAsiaTheme="minorHAnsi" w:cs="Arial"/>
                <w:szCs w:val="24"/>
                <w:lang w:val="en-GB" w:eastAsia="en-US"/>
              </w:rPr>
              <w:t>s</w:t>
            </w:r>
            <w:r w:rsidR="006604F9" w:rsidRPr="006604F9">
              <w:rPr>
                <w:rFonts w:eastAsiaTheme="minorHAnsi" w:cs="Arial"/>
                <w:szCs w:val="24"/>
                <w:lang w:val="en-GB" w:eastAsia="en-US"/>
              </w:rPr>
              <w:t>helf life of these products often results in significant amounts of waste.</w:t>
            </w:r>
          </w:p>
          <w:p w:rsidR="006604F9" w:rsidRPr="006604F9" w:rsidRDefault="006604F9" w:rsidP="00702278">
            <w:pPr>
              <w:numPr>
                <w:ilvl w:val="0"/>
                <w:numId w:val="24"/>
              </w:numPr>
              <w:spacing w:after="0"/>
              <w:contextualSpacing/>
              <w:jc w:val="both"/>
              <w:rPr>
                <w:rFonts w:eastAsiaTheme="minorHAnsi" w:cs="Arial"/>
                <w:szCs w:val="24"/>
                <w:lang w:val="en-GB" w:eastAsia="en-US"/>
              </w:rPr>
            </w:pPr>
            <w:r w:rsidRPr="006604F9">
              <w:rPr>
                <w:rFonts w:eastAsiaTheme="minorHAnsi" w:cs="Arial"/>
                <w:szCs w:val="24"/>
                <w:lang w:val="en-GB" w:eastAsia="en-US"/>
              </w:rPr>
              <w:t xml:space="preserve">Lack of </w:t>
            </w:r>
            <w:r w:rsidR="00EA1060">
              <w:rPr>
                <w:rFonts w:eastAsiaTheme="minorHAnsi" w:cs="Arial"/>
                <w:szCs w:val="24"/>
                <w:lang w:val="en-GB" w:eastAsia="en-US"/>
              </w:rPr>
              <w:t xml:space="preserve">specialist </w:t>
            </w:r>
            <w:r w:rsidRPr="006604F9">
              <w:rPr>
                <w:rFonts w:eastAsiaTheme="minorHAnsi" w:cs="Arial"/>
                <w:szCs w:val="24"/>
                <w:lang w:val="en-GB" w:eastAsia="en-US"/>
              </w:rPr>
              <w:t>pharmaceutical expertise and time to review potentially more suitable, alternative options.</w:t>
            </w:r>
          </w:p>
          <w:p w:rsidR="00702278" w:rsidRDefault="006604F9" w:rsidP="00D348BA">
            <w:pPr>
              <w:numPr>
                <w:ilvl w:val="0"/>
                <w:numId w:val="24"/>
              </w:numPr>
              <w:spacing w:after="0"/>
              <w:contextualSpacing/>
              <w:jc w:val="both"/>
              <w:rPr>
                <w:rFonts w:cstheme="minorHAnsi"/>
                <w:szCs w:val="24"/>
              </w:rPr>
            </w:pPr>
            <w:r w:rsidRPr="00A46A00">
              <w:rPr>
                <w:rFonts w:eastAsiaTheme="minorHAnsi" w:cs="Arial"/>
                <w:szCs w:val="24"/>
                <w:lang w:val="en-GB" w:eastAsia="en-US"/>
              </w:rPr>
              <w:t xml:space="preserve">Costs of procuring some of these products in the community are </w:t>
            </w:r>
            <w:r w:rsidR="00A46A00" w:rsidRPr="00F512BC">
              <w:rPr>
                <w:rFonts w:eastAsiaTheme="minorHAnsi" w:cs="Arial"/>
                <w:szCs w:val="24"/>
                <w:lang w:val="en-GB" w:eastAsia="en-US"/>
              </w:rPr>
              <w:t xml:space="preserve">variable showing excessive variation. </w:t>
            </w:r>
          </w:p>
          <w:p w:rsidR="00702278" w:rsidRDefault="00702278" w:rsidP="00C46B4C">
            <w:pPr>
              <w:spacing w:after="0"/>
              <w:jc w:val="both"/>
              <w:rPr>
                <w:rFonts w:cstheme="minorHAnsi"/>
                <w:szCs w:val="24"/>
              </w:rPr>
            </w:pPr>
          </w:p>
          <w:p w:rsidR="00E334AF" w:rsidRDefault="00E334AF" w:rsidP="00C46B4C">
            <w:pPr>
              <w:spacing w:after="0"/>
              <w:jc w:val="both"/>
              <w:rPr>
                <w:rFonts w:cstheme="minorHAnsi"/>
                <w:szCs w:val="24"/>
              </w:rPr>
            </w:pPr>
          </w:p>
          <w:p w:rsidR="00E334AF" w:rsidRDefault="00E334AF" w:rsidP="00C46B4C">
            <w:pPr>
              <w:spacing w:after="0"/>
              <w:jc w:val="both"/>
              <w:rPr>
                <w:rFonts w:cstheme="minorHAnsi"/>
                <w:szCs w:val="24"/>
              </w:rPr>
            </w:pPr>
          </w:p>
          <w:p w:rsidR="00E334AF" w:rsidRPr="00702278" w:rsidRDefault="00E334AF" w:rsidP="00C46B4C">
            <w:pPr>
              <w:spacing w:after="0"/>
              <w:jc w:val="both"/>
              <w:rPr>
                <w:rFonts w:cstheme="minorHAnsi"/>
                <w:szCs w:val="24"/>
              </w:rPr>
            </w:pPr>
          </w:p>
        </w:tc>
      </w:tr>
      <w:tr w:rsidR="00CA190E" w:rsidRPr="004165CB" w:rsidTr="005B37F1">
        <w:tc>
          <w:tcPr>
            <w:tcW w:w="10065" w:type="dxa"/>
            <w:shd w:val="clear" w:color="auto" w:fill="595959"/>
          </w:tcPr>
          <w:p w:rsidR="00CA190E" w:rsidRPr="00702278" w:rsidRDefault="005B37F1" w:rsidP="004165CB">
            <w:pPr>
              <w:spacing w:after="0"/>
              <w:rPr>
                <w:rFonts w:cstheme="minorHAnsi"/>
                <w:b/>
                <w:color w:val="F79646"/>
                <w:szCs w:val="24"/>
              </w:rPr>
            </w:pPr>
            <w:r w:rsidRPr="00702278">
              <w:rPr>
                <w:rFonts w:cstheme="minorHAnsi"/>
                <w:b/>
                <w:color w:val="F79646"/>
                <w:szCs w:val="24"/>
              </w:rPr>
              <w:lastRenderedPageBreak/>
              <w:t xml:space="preserve">2.  </w:t>
            </w:r>
            <w:r w:rsidR="00CA190E" w:rsidRPr="00702278">
              <w:rPr>
                <w:rFonts w:cstheme="minorHAnsi"/>
                <w:b/>
                <w:color w:val="F79646"/>
                <w:szCs w:val="24"/>
              </w:rPr>
              <w:t>Outcomes</w:t>
            </w:r>
          </w:p>
        </w:tc>
      </w:tr>
      <w:tr w:rsidR="00CA190E" w:rsidRPr="004165CB" w:rsidTr="005B37F1">
        <w:tc>
          <w:tcPr>
            <w:tcW w:w="10065" w:type="dxa"/>
            <w:shd w:val="clear" w:color="auto" w:fill="FFFFFF" w:themeFill="background1"/>
          </w:tcPr>
          <w:p w:rsidR="00CA190E" w:rsidRPr="00702278" w:rsidRDefault="00CA190E" w:rsidP="004165CB">
            <w:pPr>
              <w:spacing w:after="0"/>
              <w:jc w:val="both"/>
              <w:rPr>
                <w:rFonts w:cstheme="minorHAnsi"/>
                <w:b/>
                <w:szCs w:val="24"/>
              </w:rPr>
            </w:pPr>
          </w:p>
          <w:p w:rsidR="00CA190E" w:rsidRPr="00702278" w:rsidRDefault="00CA190E" w:rsidP="004165CB">
            <w:pPr>
              <w:spacing w:after="0"/>
              <w:jc w:val="both"/>
              <w:rPr>
                <w:rFonts w:cstheme="minorHAnsi"/>
                <w:b/>
                <w:szCs w:val="24"/>
              </w:rPr>
            </w:pPr>
            <w:r w:rsidRPr="00702278">
              <w:rPr>
                <w:rFonts w:cstheme="minorHAnsi"/>
                <w:b/>
                <w:szCs w:val="24"/>
              </w:rPr>
              <w:t>2.1</w:t>
            </w:r>
            <w:r w:rsidRPr="00702278">
              <w:rPr>
                <w:rFonts w:cstheme="minorHAnsi"/>
                <w:b/>
                <w:szCs w:val="24"/>
              </w:rPr>
              <w:tab/>
            </w:r>
            <w:r w:rsidRPr="00702278">
              <w:rPr>
                <w:rFonts w:cstheme="minorHAnsi"/>
                <w:b/>
                <w:szCs w:val="24"/>
                <w:u w:val="single"/>
              </w:rPr>
              <w:t>NHS Outcomes Framework Domains &amp; Indicators</w:t>
            </w:r>
          </w:p>
          <w:p w:rsidR="00CA190E" w:rsidRPr="00702278" w:rsidRDefault="00CA190E" w:rsidP="004165CB">
            <w:pPr>
              <w:spacing w:after="0"/>
              <w:jc w:val="both"/>
              <w:rPr>
                <w:rFonts w:cstheme="minorHAnsi"/>
                <w:b/>
                <w:szCs w:val="24"/>
              </w:rPr>
            </w:pPr>
          </w:p>
          <w:tbl>
            <w:tblPr>
              <w:tblStyle w:val="TableGrid"/>
              <w:tblW w:w="9412" w:type="dxa"/>
              <w:tblLayout w:type="fixed"/>
              <w:tblLook w:val="04A0" w:firstRow="1" w:lastRow="0" w:firstColumn="1" w:lastColumn="0" w:noHBand="0" w:noVBand="1"/>
            </w:tblPr>
            <w:tblGrid>
              <w:gridCol w:w="1276"/>
              <w:gridCol w:w="7683"/>
              <w:gridCol w:w="453"/>
            </w:tblGrid>
            <w:tr w:rsidR="00236D6A" w:rsidRPr="00702278" w:rsidTr="00483F12">
              <w:tc>
                <w:tcPr>
                  <w:tcW w:w="1276" w:type="dxa"/>
                </w:tcPr>
                <w:p w:rsidR="00CA190E" w:rsidRPr="00702278" w:rsidRDefault="00CA190E" w:rsidP="004165CB">
                  <w:pPr>
                    <w:jc w:val="both"/>
                    <w:rPr>
                      <w:rFonts w:asciiTheme="minorHAnsi" w:hAnsiTheme="minorHAnsi" w:cstheme="minorHAnsi"/>
                      <w:b/>
                      <w:szCs w:val="24"/>
                    </w:rPr>
                  </w:pPr>
                  <w:r w:rsidRPr="00702278">
                    <w:rPr>
                      <w:rFonts w:asciiTheme="minorHAnsi" w:hAnsiTheme="minorHAnsi" w:cstheme="minorHAnsi"/>
                      <w:b/>
                      <w:szCs w:val="24"/>
                    </w:rPr>
                    <w:t>Domain 1</w:t>
                  </w:r>
                </w:p>
              </w:tc>
              <w:tc>
                <w:tcPr>
                  <w:tcW w:w="7683" w:type="dxa"/>
                </w:tcPr>
                <w:p w:rsidR="00CA190E" w:rsidRPr="00702278" w:rsidRDefault="00CA190E" w:rsidP="004165CB">
                  <w:pPr>
                    <w:jc w:val="both"/>
                    <w:rPr>
                      <w:rFonts w:asciiTheme="minorHAnsi" w:hAnsiTheme="minorHAnsi" w:cstheme="minorHAnsi"/>
                      <w:b/>
                      <w:szCs w:val="24"/>
                    </w:rPr>
                  </w:pPr>
                  <w:r w:rsidRPr="00702278">
                    <w:rPr>
                      <w:rFonts w:asciiTheme="minorHAnsi" w:hAnsiTheme="minorHAnsi" w:cstheme="minorHAnsi"/>
                      <w:b/>
                      <w:szCs w:val="24"/>
                    </w:rPr>
                    <w:t>Preventing people from dying prematurely</w:t>
                  </w:r>
                </w:p>
              </w:tc>
              <w:tc>
                <w:tcPr>
                  <w:tcW w:w="453" w:type="dxa"/>
                </w:tcPr>
                <w:p w:rsidR="00CA190E" w:rsidRPr="00702278" w:rsidRDefault="00CA190E" w:rsidP="004165CB">
                  <w:pPr>
                    <w:jc w:val="both"/>
                    <w:rPr>
                      <w:rFonts w:asciiTheme="minorHAnsi" w:hAnsiTheme="minorHAnsi" w:cstheme="minorHAnsi"/>
                      <w:b/>
                      <w:szCs w:val="24"/>
                    </w:rPr>
                  </w:pPr>
                </w:p>
              </w:tc>
            </w:tr>
            <w:tr w:rsidR="00236D6A" w:rsidRPr="00702278" w:rsidTr="00483F12">
              <w:tc>
                <w:tcPr>
                  <w:tcW w:w="1276" w:type="dxa"/>
                </w:tcPr>
                <w:p w:rsidR="00CA190E" w:rsidRPr="00702278" w:rsidRDefault="00CA190E" w:rsidP="004165CB">
                  <w:pPr>
                    <w:jc w:val="both"/>
                    <w:rPr>
                      <w:rFonts w:asciiTheme="minorHAnsi" w:hAnsiTheme="minorHAnsi" w:cstheme="minorHAnsi"/>
                      <w:b/>
                      <w:szCs w:val="24"/>
                    </w:rPr>
                  </w:pPr>
                  <w:r w:rsidRPr="00702278">
                    <w:rPr>
                      <w:rFonts w:asciiTheme="minorHAnsi" w:hAnsiTheme="minorHAnsi" w:cstheme="minorHAnsi"/>
                      <w:b/>
                      <w:szCs w:val="24"/>
                    </w:rPr>
                    <w:t>Domain 2</w:t>
                  </w:r>
                </w:p>
              </w:tc>
              <w:tc>
                <w:tcPr>
                  <w:tcW w:w="7683" w:type="dxa"/>
                </w:tcPr>
                <w:p w:rsidR="00CA190E" w:rsidRPr="00702278" w:rsidRDefault="00CA190E" w:rsidP="004165CB">
                  <w:pPr>
                    <w:jc w:val="both"/>
                    <w:rPr>
                      <w:rFonts w:asciiTheme="minorHAnsi" w:hAnsiTheme="minorHAnsi" w:cstheme="minorHAnsi"/>
                      <w:b/>
                      <w:szCs w:val="24"/>
                    </w:rPr>
                  </w:pPr>
                  <w:r w:rsidRPr="00702278">
                    <w:rPr>
                      <w:rFonts w:asciiTheme="minorHAnsi" w:hAnsiTheme="minorHAnsi" w:cstheme="minorHAnsi"/>
                      <w:b/>
                      <w:szCs w:val="24"/>
                    </w:rPr>
                    <w:t>Enhancing quality of life for people with long-term conditions</w:t>
                  </w:r>
                </w:p>
              </w:tc>
              <w:tc>
                <w:tcPr>
                  <w:tcW w:w="453" w:type="dxa"/>
                </w:tcPr>
                <w:p w:rsidR="00CA190E" w:rsidRPr="00702278" w:rsidRDefault="000F57C9" w:rsidP="004165CB">
                  <w:pPr>
                    <w:jc w:val="both"/>
                    <w:rPr>
                      <w:rFonts w:asciiTheme="minorHAnsi" w:hAnsiTheme="minorHAnsi" w:cstheme="minorHAnsi"/>
                      <w:b/>
                      <w:szCs w:val="24"/>
                    </w:rPr>
                  </w:pPr>
                  <w:r w:rsidRPr="00702278">
                    <w:rPr>
                      <w:rFonts w:asciiTheme="minorHAnsi" w:hAnsiTheme="minorHAnsi" w:cstheme="minorHAnsi"/>
                      <w:b/>
                      <w:szCs w:val="24"/>
                    </w:rPr>
                    <w:t>√</w:t>
                  </w:r>
                </w:p>
              </w:tc>
            </w:tr>
            <w:tr w:rsidR="00236D6A" w:rsidRPr="00702278" w:rsidTr="00483F12">
              <w:tc>
                <w:tcPr>
                  <w:tcW w:w="1276" w:type="dxa"/>
                </w:tcPr>
                <w:p w:rsidR="00CA190E" w:rsidRPr="00702278" w:rsidRDefault="00CA190E" w:rsidP="004165CB">
                  <w:pPr>
                    <w:jc w:val="both"/>
                    <w:rPr>
                      <w:rFonts w:asciiTheme="minorHAnsi" w:hAnsiTheme="minorHAnsi" w:cstheme="minorHAnsi"/>
                      <w:b/>
                      <w:szCs w:val="24"/>
                    </w:rPr>
                  </w:pPr>
                  <w:r w:rsidRPr="00702278">
                    <w:rPr>
                      <w:rFonts w:asciiTheme="minorHAnsi" w:hAnsiTheme="minorHAnsi" w:cstheme="minorHAnsi"/>
                      <w:b/>
                      <w:szCs w:val="24"/>
                    </w:rPr>
                    <w:t>Domain 3</w:t>
                  </w:r>
                </w:p>
              </w:tc>
              <w:tc>
                <w:tcPr>
                  <w:tcW w:w="7683" w:type="dxa"/>
                </w:tcPr>
                <w:p w:rsidR="00CA190E" w:rsidRPr="00702278" w:rsidRDefault="00CA190E" w:rsidP="004165CB">
                  <w:pPr>
                    <w:jc w:val="both"/>
                    <w:rPr>
                      <w:rFonts w:asciiTheme="minorHAnsi" w:hAnsiTheme="minorHAnsi" w:cstheme="minorHAnsi"/>
                      <w:b/>
                      <w:szCs w:val="24"/>
                    </w:rPr>
                  </w:pPr>
                  <w:r w:rsidRPr="00702278">
                    <w:rPr>
                      <w:rFonts w:asciiTheme="minorHAnsi" w:hAnsiTheme="minorHAnsi" w:cstheme="minorHAnsi"/>
                      <w:b/>
                      <w:szCs w:val="24"/>
                    </w:rPr>
                    <w:t>Helping people to recover from episodes of ill-health or following injury</w:t>
                  </w:r>
                </w:p>
              </w:tc>
              <w:tc>
                <w:tcPr>
                  <w:tcW w:w="453" w:type="dxa"/>
                </w:tcPr>
                <w:p w:rsidR="00CA190E" w:rsidRPr="00702278" w:rsidRDefault="00CA190E" w:rsidP="004165CB">
                  <w:pPr>
                    <w:jc w:val="both"/>
                    <w:rPr>
                      <w:rFonts w:asciiTheme="minorHAnsi" w:hAnsiTheme="minorHAnsi" w:cstheme="minorHAnsi"/>
                      <w:b/>
                      <w:szCs w:val="24"/>
                    </w:rPr>
                  </w:pPr>
                </w:p>
              </w:tc>
            </w:tr>
            <w:tr w:rsidR="00236D6A" w:rsidRPr="00702278" w:rsidTr="00483F12">
              <w:tc>
                <w:tcPr>
                  <w:tcW w:w="1276" w:type="dxa"/>
                </w:tcPr>
                <w:p w:rsidR="00CA190E" w:rsidRPr="00702278" w:rsidRDefault="00CA190E" w:rsidP="004165CB">
                  <w:pPr>
                    <w:jc w:val="both"/>
                    <w:rPr>
                      <w:rFonts w:asciiTheme="minorHAnsi" w:hAnsiTheme="minorHAnsi" w:cstheme="minorHAnsi"/>
                      <w:b/>
                      <w:szCs w:val="24"/>
                    </w:rPr>
                  </w:pPr>
                  <w:r w:rsidRPr="00702278">
                    <w:rPr>
                      <w:rFonts w:asciiTheme="minorHAnsi" w:hAnsiTheme="minorHAnsi" w:cstheme="minorHAnsi"/>
                      <w:b/>
                      <w:szCs w:val="24"/>
                    </w:rPr>
                    <w:t>Domain 4</w:t>
                  </w:r>
                </w:p>
              </w:tc>
              <w:tc>
                <w:tcPr>
                  <w:tcW w:w="7683" w:type="dxa"/>
                </w:tcPr>
                <w:p w:rsidR="00CA190E" w:rsidRPr="00702278" w:rsidRDefault="00CA190E" w:rsidP="004165CB">
                  <w:pPr>
                    <w:jc w:val="both"/>
                    <w:rPr>
                      <w:rFonts w:asciiTheme="minorHAnsi" w:hAnsiTheme="minorHAnsi" w:cstheme="minorHAnsi"/>
                      <w:b/>
                      <w:szCs w:val="24"/>
                    </w:rPr>
                  </w:pPr>
                  <w:r w:rsidRPr="00702278">
                    <w:rPr>
                      <w:rFonts w:asciiTheme="minorHAnsi" w:hAnsiTheme="minorHAnsi" w:cstheme="minorHAnsi"/>
                      <w:b/>
                      <w:szCs w:val="24"/>
                    </w:rPr>
                    <w:t>Ensuring people have a positive experience of care</w:t>
                  </w:r>
                </w:p>
              </w:tc>
              <w:tc>
                <w:tcPr>
                  <w:tcW w:w="453" w:type="dxa"/>
                </w:tcPr>
                <w:p w:rsidR="00CA190E" w:rsidRPr="00702278" w:rsidRDefault="000F57C9" w:rsidP="004165CB">
                  <w:pPr>
                    <w:jc w:val="both"/>
                    <w:rPr>
                      <w:rFonts w:asciiTheme="minorHAnsi" w:hAnsiTheme="minorHAnsi" w:cstheme="minorHAnsi"/>
                      <w:b/>
                      <w:szCs w:val="24"/>
                    </w:rPr>
                  </w:pPr>
                  <w:r w:rsidRPr="00702278">
                    <w:rPr>
                      <w:rFonts w:asciiTheme="minorHAnsi" w:hAnsiTheme="minorHAnsi" w:cstheme="minorHAnsi"/>
                      <w:b/>
                      <w:szCs w:val="24"/>
                    </w:rPr>
                    <w:t>√</w:t>
                  </w:r>
                </w:p>
              </w:tc>
            </w:tr>
            <w:tr w:rsidR="00236D6A" w:rsidRPr="00702278" w:rsidTr="00483F12">
              <w:tc>
                <w:tcPr>
                  <w:tcW w:w="1276" w:type="dxa"/>
                </w:tcPr>
                <w:p w:rsidR="00CA190E" w:rsidRPr="00702278" w:rsidRDefault="00CA190E" w:rsidP="004165CB">
                  <w:pPr>
                    <w:jc w:val="both"/>
                    <w:rPr>
                      <w:rFonts w:asciiTheme="minorHAnsi" w:hAnsiTheme="minorHAnsi" w:cstheme="minorHAnsi"/>
                      <w:b/>
                      <w:szCs w:val="24"/>
                    </w:rPr>
                  </w:pPr>
                  <w:r w:rsidRPr="00702278">
                    <w:rPr>
                      <w:rFonts w:asciiTheme="minorHAnsi" w:hAnsiTheme="minorHAnsi" w:cstheme="minorHAnsi"/>
                      <w:b/>
                      <w:szCs w:val="24"/>
                    </w:rPr>
                    <w:t>Domain 5</w:t>
                  </w:r>
                </w:p>
              </w:tc>
              <w:tc>
                <w:tcPr>
                  <w:tcW w:w="7683" w:type="dxa"/>
                </w:tcPr>
                <w:p w:rsidR="00CA190E" w:rsidRPr="00702278" w:rsidRDefault="00CA190E" w:rsidP="004165CB">
                  <w:pPr>
                    <w:jc w:val="both"/>
                    <w:rPr>
                      <w:rFonts w:asciiTheme="minorHAnsi" w:hAnsiTheme="minorHAnsi" w:cstheme="minorHAnsi"/>
                      <w:b/>
                      <w:szCs w:val="24"/>
                    </w:rPr>
                  </w:pPr>
                  <w:r w:rsidRPr="00702278">
                    <w:rPr>
                      <w:rFonts w:asciiTheme="minorHAnsi" w:hAnsiTheme="minorHAnsi" w:cstheme="minorHAnsi"/>
                      <w:b/>
                      <w:szCs w:val="24"/>
                    </w:rPr>
                    <w:t>Treating and caring for people in safe environment and protecting them from avoidable harm</w:t>
                  </w:r>
                </w:p>
              </w:tc>
              <w:tc>
                <w:tcPr>
                  <w:tcW w:w="453" w:type="dxa"/>
                </w:tcPr>
                <w:p w:rsidR="00CA190E" w:rsidRPr="00702278" w:rsidRDefault="00EE061E" w:rsidP="004165CB">
                  <w:pPr>
                    <w:jc w:val="both"/>
                    <w:rPr>
                      <w:rFonts w:asciiTheme="minorHAnsi" w:hAnsiTheme="minorHAnsi" w:cstheme="minorHAnsi"/>
                      <w:b/>
                      <w:szCs w:val="24"/>
                    </w:rPr>
                  </w:pPr>
                  <w:r w:rsidRPr="00702278">
                    <w:rPr>
                      <w:rFonts w:asciiTheme="minorHAnsi" w:hAnsiTheme="minorHAnsi" w:cstheme="minorHAnsi"/>
                      <w:b/>
                      <w:szCs w:val="24"/>
                    </w:rPr>
                    <w:t>√</w:t>
                  </w:r>
                </w:p>
              </w:tc>
            </w:tr>
          </w:tbl>
          <w:p w:rsidR="00CA190E" w:rsidRPr="00702278" w:rsidRDefault="00CA190E" w:rsidP="004165CB">
            <w:pPr>
              <w:spacing w:after="0"/>
              <w:jc w:val="both"/>
              <w:rPr>
                <w:rFonts w:cstheme="minorHAnsi"/>
                <w:b/>
                <w:szCs w:val="24"/>
              </w:rPr>
            </w:pPr>
          </w:p>
          <w:p w:rsidR="00572785" w:rsidRPr="00702278" w:rsidRDefault="00540E4D" w:rsidP="00C46B4C">
            <w:pPr>
              <w:spacing w:after="0"/>
              <w:jc w:val="both"/>
              <w:rPr>
                <w:rFonts w:cstheme="minorHAnsi"/>
                <w:b/>
                <w:szCs w:val="24"/>
              </w:rPr>
            </w:pPr>
            <w:r w:rsidRPr="00702278">
              <w:rPr>
                <w:rFonts w:cstheme="minorHAnsi"/>
                <w:szCs w:val="24"/>
                <w:lang w:val="en-GB" w:eastAsia="en-GB"/>
              </w:rPr>
              <w:t xml:space="preserve">  </w:t>
            </w:r>
          </w:p>
        </w:tc>
      </w:tr>
      <w:tr w:rsidR="00CA190E" w:rsidRPr="004165CB" w:rsidTr="005B37F1">
        <w:tc>
          <w:tcPr>
            <w:tcW w:w="10065" w:type="dxa"/>
            <w:shd w:val="clear" w:color="auto" w:fill="595959"/>
          </w:tcPr>
          <w:p w:rsidR="00CA190E" w:rsidRPr="00702278" w:rsidRDefault="005B37F1" w:rsidP="004165CB">
            <w:pPr>
              <w:spacing w:after="0"/>
              <w:rPr>
                <w:rFonts w:cstheme="minorHAnsi"/>
                <w:b/>
                <w:color w:val="F79646"/>
                <w:szCs w:val="24"/>
              </w:rPr>
            </w:pPr>
            <w:r w:rsidRPr="00702278">
              <w:rPr>
                <w:rFonts w:cstheme="minorHAnsi"/>
                <w:b/>
                <w:color w:val="F79646"/>
                <w:szCs w:val="24"/>
              </w:rPr>
              <w:t xml:space="preserve">3.  </w:t>
            </w:r>
            <w:r w:rsidR="00CA190E" w:rsidRPr="00702278">
              <w:rPr>
                <w:rFonts w:cstheme="minorHAnsi"/>
                <w:b/>
                <w:color w:val="F79646"/>
                <w:szCs w:val="24"/>
              </w:rPr>
              <w:t>Scope</w:t>
            </w:r>
          </w:p>
        </w:tc>
      </w:tr>
      <w:tr w:rsidR="00CA190E" w:rsidRPr="004165CB" w:rsidTr="005B37F1">
        <w:tc>
          <w:tcPr>
            <w:tcW w:w="10065" w:type="dxa"/>
            <w:shd w:val="clear" w:color="auto" w:fill="auto"/>
          </w:tcPr>
          <w:p w:rsidR="00CA190E" w:rsidRPr="00702278" w:rsidRDefault="00CA190E" w:rsidP="004165CB">
            <w:pPr>
              <w:spacing w:after="0"/>
              <w:ind w:left="1452" w:hanging="709"/>
              <w:jc w:val="both"/>
              <w:rPr>
                <w:rFonts w:cstheme="minorHAnsi"/>
                <w:szCs w:val="24"/>
                <w:lang w:val="en-GB"/>
              </w:rPr>
            </w:pPr>
          </w:p>
          <w:p w:rsidR="00CA190E" w:rsidRPr="00702278" w:rsidRDefault="00CA190E" w:rsidP="004165CB">
            <w:pPr>
              <w:spacing w:after="0"/>
              <w:jc w:val="both"/>
              <w:rPr>
                <w:rFonts w:cstheme="minorHAnsi"/>
                <w:b/>
                <w:szCs w:val="24"/>
                <w:lang w:val="en-GB"/>
              </w:rPr>
            </w:pPr>
            <w:r w:rsidRPr="00702278">
              <w:rPr>
                <w:rFonts w:cstheme="minorHAnsi"/>
                <w:b/>
                <w:szCs w:val="24"/>
                <w:lang w:val="en-GB"/>
              </w:rPr>
              <w:t>3.1</w:t>
            </w:r>
            <w:r w:rsidRPr="00702278">
              <w:rPr>
                <w:rFonts w:cstheme="minorHAnsi"/>
                <w:b/>
                <w:szCs w:val="24"/>
                <w:lang w:val="en-GB"/>
              </w:rPr>
              <w:tab/>
              <w:t>Aims and objectives of service</w:t>
            </w:r>
          </w:p>
          <w:p w:rsidR="00941134" w:rsidRPr="00702278" w:rsidRDefault="00941134" w:rsidP="004165CB">
            <w:pPr>
              <w:spacing w:after="0"/>
              <w:jc w:val="both"/>
              <w:rPr>
                <w:rFonts w:cstheme="minorHAnsi"/>
                <w:b/>
                <w:szCs w:val="24"/>
                <w:lang w:val="en-GB"/>
              </w:rPr>
            </w:pPr>
          </w:p>
          <w:p w:rsidR="00C46B4C" w:rsidRPr="00702278" w:rsidRDefault="00C46B4C" w:rsidP="00C46B4C">
            <w:pPr>
              <w:jc w:val="both"/>
              <w:rPr>
                <w:rFonts w:cs="Calibri"/>
                <w:szCs w:val="24"/>
                <w:lang w:val="en-GB" w:eastAsia="en-GB"/>
              </w:rPr>
            </w:pPr>
            <w:r w:rsidRPr="00702278">
              <w:rPr>
                <w:rFonts w:cs="Calibri"/>
                <w:szCs w:val="24"/>
                <w:lang w:val="en-GB" w:eastAsia="en-GB"/>
              </w:rPr>
              <w:t>The aim of the service is to:</w:t>
            </w:r>
          </w:p>
          <w:p w:rsidR="006604F9" w:rsidRPr="00702278" w:rsidRDefault="00C46B4C" w:rsidP="00C46B4C">
            <w:pPr>
              <w:numPr>
                <w:ilvl w:val="0"/>
                <w:numId w:val="17"/>
              </w:numPr>
              <w:spacing w:after="0"/>
              <w:jc w:val="both"/>
              <w:rPr>
                <w:rFonts w:cs="Calibri"/>
                <w:szCs w:val="24"/>
                <w:lang w:val="en-GB" w:eastAsia="en-GB"/>
              </w:rPr>
            </w:pPr>
            <w:r w:rsidRPr="00702278">
              <w:rPr>
                <w:rFonts w:cs="Calibri"/>
                <w:szCs w:val="24"/>
                <w:lang w:val="en-GB" w:eastAsia="en-GB"/>
              </w:rPr>
              <w:t xml:space="preserve">Provide a safe, high quality </w:t>
            </w:r>
            <w:r w:rsidR="00EA1060">
              <w:rPr>
                <w:rFonts w:cs="Calibri"/>
                <w:szCs w:val="24"/>
                <w:lang w:val="en-GB" w:eastAsia="en-GB"/>
              </w:rPr>
              <w:t>U</w:t>
            </w:r>
            <w:r w:rsidR="006604F9" w:rsidRPr="00702278">
              <w:rPr>
                <w:rFonts w:cs="Calibri"/>
                <w:szCs w:val="24"/>
                <w:lang w:val="en-GB" w:eastAsia="en-GB"/>
              </w:rPr>
              <w:t xml:space="preserve">nlicensed </w:t>
            </w:r>
            <w:r w:rsidR="00EA1060">
              <w:rPr>
                <w:rFonts w:cs="Calibri"/>
                <w:szCs w:val="24"/>
                <w:lang w:val="en-GB" w:eastAsia="en-GB"/>
              </w:rPr>
              <w:t>Pharmaceutical S</w:t>
            </w:r>
            <w:r w:rsidR="006604F9" w:rsidRPr="00702278">
              <w:rPr>
                <w:rFonts w:cs="Calibri"/>
                <w:szCs w:val="24"/>
                <w:lang w:val="en-GB" w:eastAsia="en-GB"/>
              </w:rPr>
              <w:t xml:space="preserve">pecials </w:t>
            </w:r>
            <w:r w:rsidRPr="00702278">
              <w:rPr>
                <w:rFonts w:cs="Calibri"/>
                <w:szCs w:val="24"/>
                <w:lang w:val="en-GB" w:eastAsia="en-GB"/>
              </w:rPr>
              <w:t>service</w:t>
            </w:r>
            <w:r w:rsidR="006604F9" w:rsidRPr="00702278">
              <w:rPr>
                <w:rFonts w:cs="Calibri"/>
                <w:szCs w:val="24"/>
                <w:lang w:val="en-GB" w:eastAsia="en-GB"/>
              </w:rPr>
              <w:t>.</w:t>
            </w:r>
          </w:p>
          <w:p w:rsidR="00C46B4C" w:rsidRPr="00702278" w:rsidRDefault="006604F9" w:rsidP="006604F9">
            <w:pPr>
              <w:numPr>
                <w:ilvl w:val="0"/>
                <w:numId w:val="17"/>
              </w:numPr>
              <w:spacing w:after="0"/>
              <w:jc w:val="both"/>
              <w:rPr>
                <w:rFonts w:cs="Calibri"/>
                <w:szCs w:val="24"/>
                <w:lang w:val="en-GB" w:eastAsia="en-GB"/>
              </w:rPr>
            </w:pPr>
            <w:r w:rsidRPr="00702278">
              <w:rPr>
                <w:rFonts w:cs="Calibri"/>
                <w:szCs w:val="24"/>
                <w:lang w:val="en-GB" w:eastAsia="en-GB"/>
              </w:rPr>
              <w:t>Provide a cost and clinically effective service within a specified financial envelope.</w:t>
            </w:r>
          </w:p>
          <w:p w:rsidR="00C46B4C" w:rsidRPr="00702278" w:rsidRDefault="00C46B4C" w:rsidP="00C46B4C">
            <w:pPr>
              <w:numPr>
                <w:ilvl w:val="0"/>
                <w:numId w:val="17"/>
              </w:numPr>
              <w:spacing w:after="0"/>
              <w:jc w:val="both"/>
              <w:rPr>
                <w:rFonts w:cs="Calibri"/>
                <w:szCs w:val="24"/>
                <w:lang w:val="en-GB" w:eastAsia="en-GB"/>
              </w:rPr>
            </w:pPr>
            <w:r w:rsidRPr="00702278">
              <w:rPr>
                <w:rFonts w:cs="Calibri"/>
                <w:szCs w:val="24"/>
                <w:lang w:val="en-GB" w:eastAsia="en-GB"/>
              </w:rPr>
              <w:t xml:space="preserve">Effectively utilise a </w:t>
            </w:r>
            <w:r w:rsidR="006604F9" w:rsidRPr="00702278">
              <w:rPr>
                <w:rFonts w:cs="Calibri"/>
                <w:szCs w:val="24"/>
                <w:lang w:val="en-GB" w:eastAsia="en-GB"/>
              </w:rPr>
              <w:t>specialised clinical team with non-medical prescribing qualifications.</w:t>
            </w:r>
            <w:r w:rsidRPr="00702278">
              <w:rPr>
                <w:rFonts w:cs="Calibri"/>
                <w:szCs w:val="24"/>
                <w:lang w:val="en-GB" w:eastAsia="en-GB"/>
              </w:rPr>
              <w:t xml:space="preserve"> </w:t>
            </w:r>
          </w:p>
          <w:p w:rsidR="006604F9" w:rsidRPr="00702278" w:rsidRDefault="006604F9" w:rsidP="00C46B4C">
            <w:pPr>
              <w:numPr>
                <w:ilvl w:val="0"/>
                <w:numId w:val="17"/>
              </w:numPr>
              <w:spacing w:after="0"/>
              <w:jc w:val="both"/>
              <w:rPr>
                <w:rFonts w:cs="Calibri"/>
                <w:szCs w:val="24"/>
                <w:lang w:val="en-GB" w:eastAsia="en-GB"/>
              </w:rPr>
            </w:pPr>
            <w:r w:rsidRPr="00702278">
              <w:rPr>
                <w:rFonts w:cs="Calibri"/>
                <w:szCs w:val="24"/>
                <w:lang w:val="en-GB" w:eastAsia="en-GB"/>
              </w:rPr>
              <w:t xml:space="preserve">Provide monthly contact with each patient </w:t>
            </w:r>
            <w:r w:rsidR="00941134" w:rsidRPr="00702278">
              <w:rPr>
                <w:rFonts w:cs="Calibri"/>
                <w:szCs w:val="24"/>
                <w:lang w:val="en-GB" w:eastAsia="en-GB"/>
              </w:rPr>
              <w:t>to offer clinical advice of their treatment and to determine compliance and future requirements.</w:t>
            </w:r>
          </w:p>
          <w:p w:rsidR="00FF5B09" w:rsidRPr="00702278" w:rsidRDefault="00FF5B09" w:rsidP="004165CB">
            <w:pPr>
              <w:spacing w:after="0"/>
              <w:ind w:left="1452" w:hanging="709"/>
              <w:jc w:val="both"/>
              <w:rPr>
                <w:rFonts w:cstheme="minorHAnsi"/>
                <w:szCs w:val="24"/>
                <w:lang w:val="en-GB"/>
              </w:rPr>
            </w:pPr>
          </w:p>
          <w:p w:rsidR="00CA190E" w:rsidRPr="00702278" w:rsidRDefault="00CA190E" w:rsidP="004165CB">
            <w:pPr>
              <w:spacing w:after="0"/>
              <w:jc w:val="both"/>
              <w:rPr>
                <w:rFonts w:cstheme="minorHAnsi"/>
                <w:b/>
                <w:szCs w:val="24"/>
                <w:lang w:val="en-GB"/>
              </w:rPr>
            </w:pPr>
            <w:r w:rsidRPr="00702278">
              <w:rPr>
                <w:rFonts w:cstheme="minorHAnsi"/>
                <w:b/>
                <w:szCs w:val="24"/>
                <w:lang w:val="en-GB"/>
              </w:rPr>
              <w:t>3.2</w:t>
            </w:r>
            <w:r w:rsidRPr="00702278">
              <w:rPr>
                <w:rFonts w:cstheme="minorHAnsi"/>
                <w:b/>
                <w:szCs w:val="24"/>
                <w:lang w:val="en-GB"/>
              </w:rPr>
              <w:tab/>
            </w:r>
            <w:r w:rsidR="00776675" w:rsidRPr="00702278">
              <w:rPr>
                <w:rFonts w:cstheme="minorHAnsi"/>
                <w:b/>
                <w:szCs w:val="24"/>
                <w:lang w:val="en-GB"/>
              </w:rPr>
              <w:t>Service description</w:t>
            </w:r>
          </w:p>
          <w:p w:rsidR="00941134" w:rsidRPr="00702278" w:rsidRDefault="00941134" w:rsidP="004165CB">
            <w:pPr>
              <w:spacing w:after="0"/>
              <w:jc w:val="both"/>
              <w:rPr>
                <w:rFonts w:cstheme="minorHAnsi"/>
                <w:b/>
                <w:szCs w:val="24"/>
                <w:lang w:val="en-GB"/>
              </w:rPr>
            </w:pPr>
          </w:p>
          <w:p w:rsidR="00572785" w:rsidRPr="00702278" w:rsidRDefault="00572785" w:rsidP="004165CB">
            <w:pPr>
              <w:spacing w:after="0"/>
              <w:ind w:left="1452" w:hanging="709"/>
              <w:jc w:val="both"/>
              <w:rPr>
                <w:rFonts w:cstheme="minorHAnsi"/>
                <w:szCs w:val="24"/>
                <w:lang w:val="en-GB"/>
              </w:rPr>
            </w:pPr>
            <w:r w:rsidRPr="00702278">
              <w:rPr>
                <w:rFonts w:cstheme="minorHAnsi"/>
                <w:szCs w:val="24"/>
                <w:lang w:val="en-GB"/>
              </w:rPr>
              <w:t xml:space="preserve">The Service Provider </w:t>
            </w:r>
            <w:r w:rsidR="0060038D" w:rsidRPr="00702278">
              <w:rPr>
                <w:rFonts w:cstheme="minorHAnsi"/>
                <w:szCs w:val="24"/>
                <w:lang w:val="en-GB"/>
              </w:rPr>
              <w:t xml:space="preserve">should provide the following: </w:t>
            </w:r>
          </w:p>
          <w:p w:rsidR="00941134" w:rsidRPr="00702278" w:rsidRDefault="00941134" w:rsidP="004165CB">
            <w:pPr>
              <w:spacing w:after="0"/>
              <w:ind w:left="1452" w:hanging="709"/>
              <w:jc w:val="both"/>
              <w:rPr>
                <w:rFonts w:cstheme="minorHAnsi"/>
                <w:szCs w:val="24"/>
                <w:lang w:val="en-GB"/>
              </w:rPr>
            </w:pPr>
          </w:p>
          <w:p w:rsidR="00941134" w:rsidRPr="00702278" w:rsidRDefault="00595D3B" w:rsidP="004165CB">
            <w:pPr>
              <w:spacing w:after="120"/>
              <w:ind w:left="1452" w:hanging="709"/>
              <w:jc w:val="both"/>
              <w:rPr>
                <w:rFonts w:cstheme="minorHAnsi"/>
                <w:szCs w:val="24"/>
                <w:lang w:val="en-GB"/>
              </w:rPr>
            </w:pPr>
            <w:r w:rsidRPr="00702278">
              <w:rPr>
                <w:rFonts w:cstheme="minorHAnsi"/>
                <w:szCs w:val="24"/>
                <w:lang w:val="en-GB"/>
              </w:rPr>
              <w:t>3.2.1</w:t>
            </w:r>
            <w:r w:rsidRPr="00702278">
              <w:rPr>
                <w:rFonts w:cstheme="minorHAnsi"/>
                <w:szCs w:val="24"/>
                <w:lang w:val="en-GB"/>
              </w:rPr>
              <w:tab/>
            </w:r>
            <w:r w:rsidR="00941134" w:rsidRPr="00702278">
              <w:rPr>
                <w:rFonts w:cstheme="minorHAnsi"/>
                <w:szCs w:val="24"/>
                <w:lang w:val="en-GB"/>
              </w:rPr>
              <w:t>A clinical pharmacy specialist team with non-medical prescribing qualifications trained up to clinical diploma level.</w:t>
            </w:r>
          </w:p>
          <w:p w:rsidR="00941134" w:rsidRPr="00702278" w:rsidRDefault="008B41C4" w:rsidP="004936AC">
            <w:pPr>
              <w:spacing w:after="120"/>
              <w:ind w:left="1452" w:hanging="709"/>
              <w:jc w:val="both"/>
              <w:rPr>
                <w:rFonts w:cstheme="minorHAnsi"/>
                <w:szCs w:val="24"/>
                <w:lang w:val="en-GB"/>
              </w:rPr>
            </w:pPr>
            <w:r w:rsidRPr="00702278">
              <w:rPr>
                <w:rFonts w:cstheme="minorHAnsi"/>
                <w:szCs w:val="24"/>
                <w:lang w:val="en-GB"/>
              </w:rPr>
              <w:t>3.2.2</w:t>
            </w:r>
            <w:r w:rsidRPr="00702278">
              <w:rPr>
                <w:rFonts w:cstheme="minorHAnsi"/>
                <w:szCs w:val="24"/>
                <w:lang w:val="en-GB"/>
              </w:rPr>
              <w:tab/>
            </w:r>
            <w:r w:rsidR="00941134" w:rsidRPr="00702278">
              <w:rPr>
                <w:rFonts w:cstheme="minorHAnsi"/>
                <w:szCs w:val="24"/>
                <w:lang w:val="en-GB"/>
              </w:rPr>
              <w:t xml:space="preserve">Direct access to consultants and specialists covering a range of therapeutic areas including </w:t>
            </w:r>
            <w:r w:rsidR="00E334AF">
              <w:rPr>
                <w:rFonts w:cstheme="minorHAnsi"/>
                <w:szCs w:val="24"/>
                <w:lang w:val="en-GB"/>
              </w:rPr>
              <w:t xml:space="preserve">(but not limited to) </w:t>
            </w:r>
            <w:r w:rsidR="00941134" w:rsidRPr="00702278">
              <w:rPr>
                <w:rFonts w:cstheme="minorHAnsi"/>
                <w:szCs w:val="24"/>
                <w:lang w:val="en-GB"/>
              </w:rPr>
              <w:t>paediatrics, respiratory, endocrinology, neurology and gastroenterology.</w:t>
            </w:r>
          </w:p>
          <w:p w:rsidR="00CF004F" w:rsidRDefault="004936AC" w:rsidP="00595D3B">
            <w:pPr>
              <w:spacing w:after="120"/>
              <w:ind w:left="1452" w:hanging="709"/>
              <w:jc w:val="both"/>
              <w:rPr>
                <w:rFonts w:cstheme="minorHAnsi"/>
                <w:szCs w:val="24"/>
                <w:lang w:val="en-GB"/>
              </w:rPr>
            </w:pPr>
            <w:r w:rsidRPr="00702278">
              <w:rPr>
                <w:rFonts w:cstheme="minorHAnsi"/>
              </w:rPr>
              <w:t>3.2.3</w:t>
            </w:r>
            <w:r w:rsidR="008B41C4" w:rsidRPr="00702278">
              <w:rPr>
                <w:rFonts w:cstheme="minorHAnsi"/>
              </w:rPr>
              <w:tab/>
            </w:r>
            <w:r w:rsidR="00941134" w:rsidRPr="00702278">
              <w:rPr>
                <w:rFonts w:cstheme="minorHAnsi"/>
              </w:rPr>
              <w:t xml:space="preserve">Monthly </w:t>
            </w:r>
            <w:r w:rsidR="00E44572">
              <w:rPr>
                <w:rFonts w:cstheme="minorHAnsi"/>
              </w:rPr>
              <w:t xml:space="preserve">telephone </w:t>
            </w:r>
            <w:r w:rsidR="00941134" w:rsidRPr="00702278">
              <w:rPr>
                <w:rFonts w:cstheme="minorHAnsi"/>
              </w:rPr>
              <w:t>contact with patient</w:t>
            </w:r>
            <w:r w:rsidR="00A46A00">
              <w:rPr>
                <w:rFonts w:cstheme="minorHAnsi"/>
              </w:rPr>
              <w:t>s</w:t>
            </w:r>
            <w:r w:rsidR="00941134" w:rsidRPr="00702278">
              <w:rPr>
                <w:rFonts w:cstheme="minorHAnsi"/>
              </w:rPr>
              <w:t xml:space="preserve"> to offer</w:t>
            </w:r>
            <w:r w:rsidR="000A7B85">
              <w:rPr>
                <w:rFonts w:cstheme="minorHAnsi"/>
              </w:rPr>
              <w:t xml:space="preserve"> (but not limited to)</w:t>
            </w:r>
            <w:r w:rsidR="00941134" w:rsidRPr="00702278">
              <w:rPr>
                <w:rFonts w:cstheme="minorHAnsi"/>
              </w:rPr>
              <w:t xml:space="preserve"> a medication </w:t>
            </w:r>
            <w:r w:rsidR="00CF004F">
              <w:rPr>
                <w:rFonts w:cstheme="minorHAnsi"/>
              </w:rPr>
              <w:t xml:space="preserve">  </w:t>
            </w:r>
            <w:r w:rsidR="00941134" w:rsidRPr="00702278">
              <w:rPr>
                <w:rFonts w:cstheme="minorHAnsi"/>
              </w:rPr>
              <w:t>review, advice on their treatment, check expiry dates and to determine future requirements.</w:t>
            </w:r>
          </w:p>
          <w:p w:rsidR="00941134" w:rsidRPr="00702278" w:rsidRDefault="000C662E" w:rsidP="00595D3B">
            <w:pPr>
              <w:spacing w:after="120"/>
              <w:ind w:left="1452" w:hanging="709"/>
              <w:jc w:val="both"/>
              <w:rPr>
                <w:rFonts w:cstheme="minorHAnsi"/>
                <w:szCs w:val="24"/>
                <w:lang w:val="en-GB"/>
              </w:rPr>
            </w:pPr>
            <w:r w:rsidRPr="00702278">
              <w:rPr>
                <w:rFonts w:cstheme="minorHAnsi"/>
                <w:szCs w:val="24"/>
                <w:lang w:val="en-GB"/>
              </w:rPr>
              <w:t>3.2.4</w:t>
            </w:r>
            <w:r w:rsidR="000B3F99" w:rsidRPr="00702278">
              <w:rPr>
                <w:rFonts w:cstheme="minorHAnsi"/>
                <w:szCs w:val="24"/>
                <w:lang w:val="en-GB"/>
              </w:rPr>
              <w:tab/>
            </w:r>
            <w:r w:rsidR="00941134" w:rsidRPr="00702278">
              <w:rPr>
                <w:rFonts w:cstheme="minorHAnsi"/>
                <w:szCs w:val="24"/>
                <w:lang w:val="en-GB"/>
              </w:rPr>
              <w:t>Direct access to patient’s clinical record to enable pharmacist to check interactions and ensure safe dispensing.</w:t>
            </w:r>
          </w:p>
          <w:p w:rsidR="00B1419B" w:rsidRPr="00702278" w:rsidRDefault="00B81E43" w:rsidP="00595D3B">
            <w:pPr>
              <w:spacing w:after="120"/>
              <w:ind w:left="1452" w:hanging="709"/>
              <w:jc w:val="both"/>
              <w:rPr>
                <w:rFonts w:cstheme="minorHAnsi"/>
                <w:szCs w:val="24"/>
                <w:lang w:val="en-GB"/>
              </w:rPr>
            </w:pPr>
            <w:r w:rsidRPr="00702278">
              <w:rPr>
                <w:rFonts w:cstheme="minorHAnsi"/>
                <w:szCs w:val="24"/>
                <w:lang w:val="en-GB"/>
              </w:rPr>
              <w:t>3.2.5</w:t>
            </w:r>
            <w:r w:rsidRPr="00702278">
              <w:rPr>
                <w:rFonts w:cstheme="minorHAnsi"/>
                <w:szCs w:val="24"/>
                <w:lang w:val="en-GB"/>
              </w:rPr>
              <w:tab/>
            </w:r>
            <w:r w:rsidR="00941134" w:rsidRPr="00702278">
              <w:rPr>
                <w:rFonts w:cstheme="minorHAnsi"/>
                <w:szCs w:val="24"/>
                <w:lang w:val="en-GB"/>
              </w:rPr>
              <w:t xml:space="preserve">To ensure consistency and homogeneity of products </w:t>
            </w:r>
            <w:r w:rsidR="00B1419B" w:rsidRPr="00702278">
              <w:rPr>
                <w:rFonts w:cstheme="minorHAnsi"/>
                <w:szCs w:val="24"/>
                <w:lang w:val="en-GB"/>
              </w:rPr>
              <w:t>to avoid treatment failures</w:t>
            </w:r>
            <w:r w:rsidR="00A46A00">
              <w:rPr>
                <w:rFonts w:cstheme="minorHAnsi"/>
                <w:szCs w:val="24"/>
                <w:lang w:val="en-GB"/>
              </w:rPr>
              <w:t xml:space="preserve"> by using reputable, registered manufacturers</w:t>
            </w:r>
            <w:r w:rsidR="00B1419B" w:rsidRPr="00702278">
              <w:rPr>
                <w:rFonts w:cstheme="minorHAnsi"/>
                <w:szCs w:val="24"/>
                <w:lang w:val="en-GB"/>
              </w:rPr>
              <w:t>.</w:t>
            </w:r>
          </w:p>
          <w:p w:rsidR="00EA1060" w:rsidRPr="00702278" w:rsidRDefault="00B81E43" w:rsidP="00EA1060">
            <w:pPr>
              <w:spacing w:after="120"/>
              <w:ind w:left="1452" w:hanging="709"/>
              <w:jc w:val="both"/>
              <w:rPr>
                <w:rFonts w:cstheme="minorHAnsi"/>
                <w:szCs w:val="24"/>
                <w:lang w:val="en-GB"/>
              </w:rPr>
            </w:pPr>
            <w:r w:rsidRPr="00702278">
              <w:rPr>
                <w:rFonts w:cstheme="minorHAnsi"/>
                <w:szCs w:val="24"/>
                <w:lang w:val="en-GB"/>
              </w:rPr>
              <w:t>3.2.6</w:t>
            </w:r>
            <w:r w:rsidRPr="00702278">
              <w:rPr>
                <w:rFonts w:cstheme="minorHAnsi"/>
                <w:szCs w:val="24"/>
                <w:lang w:val="en-GB"/>
              </w:rPr>
              <w:tab/>
            </w:r>
            <w:r w:rsidR="00B1419B" w:rsidRPr="00702278">
              <w:rPr>
                <w:rFonts w:cstheme="minorHAnsi"/>
                <w:szCs w:val="24"/>
                <w:lang w:val="en-GB"/>
              </w:rPr>
              <w:t xml:space="preserve">To recommend/substitute licensed products for </w:t>
            </w:r>
            <w:r w:rsidR="009B1D32">
              <w:rPr>
                <w:rFonts w:cstheme="minorHAnsi"/>
                <w:szCs w:val="24"/>
                <w:lang w:val="en-GB"/>
              </w:rPr>
              <w:t>un</w:t>
            </w:r>
            <w:r w:rsidR="00B1419B" w:rsidRPr="00702278">
              <w:rPr>
                <w:rFonts w:cstheme="minorHAnsi"/>
                <w:szCs w:val="24"/>
                <w:lang w:val="en-GB"/>
              </w:rPr>
              <w:t>licensed treatments where appropriate and in liaison with prescribing doctor</w:t>
            </w:r>
            <w:r w:rsidR="00EA1060" w:rsidRPr="00702278">
              <w:rPr>
                <w:rFonts w:cstheme="minorHAnsi"/>
                <w:szCs w:val="24"/>
                <w:lang w:val="en-GB"/>
              </w:rPr>
              <w:t xml:space="preserve"> including those based in specialist, tertiary centres.</w:t>
            </w:r>
          </w:p>
          <w:p w:rsidR="00B1419B" w:rsidRPr="00702278" w:rsidRDefault="0009637E" w:rsidP="00595D3B">
            <w:pPr>
              <w:spacing w:after="120"/>
              <w:ind w:left="1452" w:hanging="709"/>
              <w:jc w:val="both"/>
              <w:rPr>
                <w:rFonts w:cstheme="minorHAnsi"/>
                <w:szCs w:val="24"/>
                <w:lang w:val="en-GB"/>
              </w:rPr>
            </w:pPr>
            <w:r w:rsidRPr="00702278">
              <w:rPr>
                <w:rFonts w:cstheme="minorHAnsi"/>
                <w:szCs w:val="24"/>
                <w:lang w:val="en-GB"/>
              </w:rPr>
              <w:t>3.2.7</w:t>
            </w:r>
            <w:r w:rsidRPr="00702278">
              <w:rPr>
                <w:rFonts w:cstheme="minorHAnsi"/>
                <w:szCs w:val="24"/>
                <w:lang w:val="en-GB"/>
              </w:rPr>
              <w:tab/>
            </w:r>
            <w:r w:rsidR="00B1419B" w:rsidRPr="00702278">
              <w:rPr>
                <w:rFonts w:cstheme="minorHAnsi"/>
                <w:szCs w:val="24"/>
                <w:lang w:val="en-GB"/>
              </w:rPr>
              <w:t>Liaise directly with all consultants and specialists involved in patient care including those based in specialist, tertiary centres.</w:t>
            </w:r>
          </w:p>
          <w:p w:rsidR="00B1419B" w:rsidRPr="00702278" w:rsidRDefault="00B1419B" w:rsidP="00595D3B">
            <w:pPr>
              <w:spacing w:after="120"/>
              <w:ind w:left="1452" w:hanging="709"/>
              <w:jc w:val="both"/>
              <w:rPr>
                <w:rFonts w:cstheme="minorHAnsi"/>
                <w:szCs w:val="24"/>
                <w:lang w:val="en-GB"/>
              </w:rPr>
            </w:pPr>
            <w:r w:rsidRPr="00702278">
              <w:rPr>
                <w:rFonts w:cstheme="minorHAnsi"/>
                <w:szCs w:val="24"/>
                <w:lang w:val="en-GB"/>
              </w:rPr>
              <w:t xml:space="preserve">3.2.8   Ensure all prescribing is done in line with the East Lancashire Health Economy Joint </w:t>
            </w:r>
            <w:r w:rsidRPr="00702278">
              <w:rPr>
                <w:rFonts w:cstheme="minorHAnsi"/>
                <w:szCs w:val="24"/>
                <w:lang w:val="en-GB"/>
              </w:rPr>
              <w:lastRenderedPageBreak/>
              <w:t>Prescribing Formulary.</w:t>
            </w:r>
          </w:p>
          <w:p w:rsidR="001026A8" w:rsidRDefault="00587536" w:rsidP="00702278">
            <w:pPr>
              <w:spacing w:after="120"/>
              <w:ind w:left="1452" w:hanging="709"/>
              <w:jc w:val="both"/>
              <w:rPr>
                <w:rFonts w:cstheme="minorHAnsi"/>
                <w:szCs w:val="24"/>
                <w:lang w:val="en-GB"/>
              </w:rPr>
            </w:pPr>
            <w:r w:rsidRPr="00702278">
              <w:rPr>
                <w:rFonts w:cstheme="minorHAnsi"/>
                <w:szCs w:val="24"/>
                <w:lang w:val="en-GB"/>
              </w:rPr>
              <w:t xml:space="preserve">3.2.9   Provider must have a distribution mechanism </w:t>
            </w:r>
            <w:r w:rsidR="005C3A0F">
              <w:rPr>
                <w:rFonts w:cstheme="minorHAnsi"/>
                <w:szCs w:val="24"/>
                <w:lang w:val="en-GB"/>
              </w:rPr>
              <w:t xml:space="preserve">that can deliver </w:t>
            </w:r>
            <w:r w:rsidRPr="00702278">
              <w:rPr>
                <w:rFonts w:cstheme="minorHAnsi"/>
                <w:szCs w:val="24"/>
                <w:lang w:val="en-GB"/>
              </w:rPr>
              <w:t>direct to patient’s homes</w:t>
            </w:r>
            <w:r w:rsidR="005C3A0F">
              <w:rPr>
                <w:rFonts w:cstheme="minorHAnsi"/>
                <w:szCs w:val="24"/>
                <w:lang w:val="en-GB"/>
              </w:rPr>
              <w:t xml:space="preserve"> with same day delivery in emergency situations</w:t>
            </w:r>
            <w:r w:rsidR="00E60384">
              <w:rPr>
                <w:rFonts w:cstheme="minorHAnsi"/>
                <w:szCs w:val="24"/>
                <w:lang w:val="en-GB"/>
              </w:rPr>
              <w:t xml:space="preserve"> and within 24 hours of authorisation in all other cases</w:t>
            </w:r>
          </w:p>
          <w:p w:rsidR="005C3A0F" w:rsidRDefault="005C3A0F" w:rsidP="00702278">
            <w:pPr>
              <w:spacing w:after="120"/>
              <w:ind w:left="1452" w:hanging="709"/>
              <w:jc w:val="both"/>
              <w:rPr>
                <w:rFonts w:cstheme="minorHAnsi"/>
                <w:szCs w:val="24"/>
                <w:lang w:val="en-GB"/>
              </w:rPr>
            </w:pPr>
            <w:r>
              <w:rPr>
                <w:rFonts w:cstheme="minorHAnsi"/>
                <w:szCs w:val="24"/>
                <w:lang w:val="en-GB"/>
              </w:rPr>
              <w:t>3.2.10 Work collaboratively with local specialists and the Health Economy Medicines Management Board to develop a consolidated formulary for unlicensed pharmaceutical specials.</w:t>
            </w:r>
            <w:r w:rsidR="00F512BC">
              <w:rPr>
                <w:rFonts w:cstheme="minorHAnsi"/>
                <w:szCs w:val="24"/>
                <w:lang w:val="en-GB"/>
              </w:rPr>
              <w:t xml:space="preserve"> This will involve attendance of monthly meetings.</w:t>
            </w:r>
          </w:p>
          <w:p w:rsidR="00EA1060" w:rsidRPr="00702278" w:rsidRDefault="00EA1060" w:rsidP="00702278">
            <w:pPr>
              <w:spacing w:after="120"/>
              <w:ind w:left="1452" w:hanging="709"/>
              <w:jc w:val="both"/>
              <w:rPr>
                <w:rFonts w:cstheme="minorHAnsi"/>
                <w:szCs w:val="24"/>
                <w:lang w:val="en-GB"/>
              </w:rPr>
            </w:pPr>
          </w:p>
          <w:p w:rsidR="00CA190E" w:rsidRPr="00702278" w:rsidRDefault="00CA190E" w:rsidP="004165CB">
            <w:pPr>
              <w:spacing w:after="0"/>
              <w:jc w:val="both"/>
              <w:rPr>
                <w:rFonts w:cstheme="minorHAnsi"/>
                <w:b/>
                <w:szCs w:val="24"/>
                <w:lang w:val="en-GB"/>
              </w:rPr>
            </w:pPr>
            <w:r w:rsidRPr="00702278">
              <w:rPr>
                <w:rFonts w:cstheme="minorHAnsi"/>
                <w:b/>
                <w:szCs w:val="24"/>
                <w:lang w:val="en-GB"/>
              </w:rPr>
              <w:t>3.</w:t>
            </w:r>
            <w:r w:rsidR="00276937" w:rsidRPr="00702278">
              <w:rPr>
                <w:rFonts w:cstheme="minorHAnsi"/>
                <w:b/>
                <w:szCs w:val="24"/>
                <w:lang w:val="en-GB"/>
              </w:rPr>
              <w:t>3</w:t>
            </w:r>
            <w:r w:rsidRPr="00702278">
              <w:rPr>
                <w:rFonts w:cstheme="minorHAnsi"/>
                <w:b/>
                <w:szCs w:val="24"/>
                <w:lang w:val="en-GB"/>
              </w:rPr>
              <w:tab/>
              <w:t xml:space="preserve">Population </w:t>
            </w:r>
            <w:r w:rsidR="001A2C3B" w:rsidRPr="00702278">
              <w:rPr>
                <w:rFonts w:cstheme="minorHAnsi"/>
                <w:b/>
                <w:szCs w:val="24"/>
                <w:lang w:val="en-GB"/>
              </w:rPr>
              <w:t xml:space="preserve">covered </w:t>
            </w:r>
          </w:p>
          <w:p w:rsidR="00402055" w:rsidRPr="00702278" w:rsidRDefault="00402055" w:rsidP="004165CB">
            <w:pPr>
              <w:spacing w:after="0"/>
              <w:ind w:left="1452" w:hanging="709"/>
              <w:jc w:val="both"/>
              <w:rPr>
                <w:rFonts w:cstheme="minorHAnsi"/>
                <w:szCs w:val="24"/>
                <w:lang w:val="en-GB"/>
              </w:rPr>
            </w:pPr>
            <w:r w:rsidRPr="00702278">
              <w:rPr>
                <w:rFonts w:cstheme="minorHAnsi"/>
                <w:szCs w:val="24"/>
                <w:lang w:val="en-GB"/>
              </w:rPr>
              <w:t xml:space="preserve">The Service Provider </w:t>
            </w:r>
            <w:r w:rsidR="00B1419B" w:rsidRPr="00702278">
              <w:rPr>
                <w:rFonts w:cstheme="minorHAnsi"/>
                <w:szCs w:val="24"/>
                <w:lang w:val="en-GB"/>
              </w:rPr>
              <w:t xml:space="preserve">will cover </w:t>
            </w:r>
            <w:r w:rsidR="005C3A0F">
              <w:rPr>
                <w:rFonts w:cstheme="minorHAnsi"/>
                <w:szCs w:val="24"/>
                <w:lang w:val="en-GB"/>
              </w:rPr>
              <w:t xml:space="preserve">all patients registered with a GP in </w:t>
            </w:r>
            <w:r w:rsidR="00B1419B" w:rsidRPr="00702278">
              <w:rPr>
                <w:rFonts w:cstheme="minorHAnsi"/>
                <w:szCs w:val="24"/>
                <w:lang w:val="en-GB"/>
              </w:rPr>
              <w:t>East Lancashire and Blackburn with Darwen</w:t>
            </w:r>
            <w:r w:rsidR="005C3A0F">
              <w:rPr>
                <w:rFonts w:cstheme="minorHAnsi"/>
                <w:szCs w:val="24"/>
                <w:lang w:val="en-GB"/>
              </w:rPr>
              <w:t xml:space="preserve"> CCGs</w:t>
            </w:r>
            <w:r w:rsidR="00B1419B" w:rsidRPr="00702278">
              <w:rPr>
                <w:rFonts w:cstheme="minorHAnsi"/>
                <w:szCs w:val="24"/>
                <w:lang w:val="en-GB"/>
              </w:rPr>
              <w:t>.</w:t>
            </w:r>
          </w:p>
          <w:p w:rsidR="004165CB" w:rsidRPr="00702278" w:rsidRDefault="004165CB" w:rsidP="004165CB">
            <w:pPr>
              <w:spacing w:after="0"/>
              <w:jc w:val="both"/>
              <w:rPr>
                <w:rFonts w:cstheme="minorHAnsi"/>
                <w:b/>
                <w:szCs w:val="24"/>
              </w:rPr>
            </w:pPr>
          </w:p>
          <w:p w:rsidR="00CA190E" w:rsidRPr="00702278" w:rsidRDefault="004165CB" w:rsidP="004165CB">
            <w:pPr>
              <w:spacing w:after="0"/>
              <w:jc w:val="both"/>
              <w:rPr>
                <w:rFonts w:cstheme="minorHAnsi"/>
                <w:b/>
                <w:szCs w:val="24"/>
              </w:rPr>
            </w:pPr>
            <w:r w:rsidRPr="00702278">
              <w:rPr>
                <w:rFonts w:cstheme="minorHAnsi"/>
                <w:b/>
                <w:szCs w:val="24"/>
              </w:rPr>
              <w:t>3.4</w:t>
            </w:r>
            <w:r w:rsidRPr="00702278">
              <w:rPr>
                <w:rFonts w:cstheme="minorHAnsi"/>
                <w:b/>
                <w:szCs w:val="24"/>
              </w:rPr>
              <w:tab/>
            </w:r>
            <w:r w:rsidR="00CA190E" w:rsidRPr="00702278">
              <w:rPr>
                <w:rFonts w:cstheme="minorHAnsi"/>
                <w:b/>
                <w:szCs w:val="24"/>
              </w:rPr>
              <w:t>Interdependence with other services/providers</w:t>
            </w:r>
          </w:p>
          <w:p w:rsidR="00B1419B" w:rsidRPr="00702278" w:rsidRDefault="00B1419B" w:rsidP="004165CB">
            <w:pPr>
              <w:spacing w:after="0"/>
              <w:jc w:val="both"/>
              <w:rPr>
                <w:rFonts w:cstheme="minorHAnsi"/>
                <w:b/>
                <w:szCs w:val="24"/>
              </w:rPr>
            </w:pPr>
          </w:p>
          <w:p w:rsidR="00276937" w:rsidRPr="00702278" w:rsidRDefault="000012DD" w:rsidP="00B1419B">
            <w:pPr>
              <w:spacing w:after="120"/>
              <w:ind w:left="1452" w:hanging="709"/>
              <w:jc w:val="both"/>
              <w:rPr>
                <w:rFonts w:cstheme="minorHAnsi"/>
                <w:szCs w:val="24"/>
                <w:lang w:val="en-GB"/>
              </w:rPr>
            </w:pPr>
            <w:r w:rsidRPr="00702278">
              <w:rPr>
                <w:rFonts w:cstheme="minorHAnsi"/>
                <w:szCs w:val="24"/>
                <w:lang w:val="en-GB"/>
              </w:rPr>
              <w:t>3.4.1</w:t>
            </w:r>
            <w:r w:rsidR="00BD5DD1" w:rsidRPr="00702278">
              <w:rPr>
                <w:rFonts w:cstheme="minorHAnsi"/>
                <w:szCs w:val="24"/>
                <w:lang w:val="en-GB"/>
              </w:rPr>
              <w:tab/>
            </w:r>
            <w:r w:rsidR="00402055" w:rsidRPr="00702278">
              <w:rPr>
                <w:rFonts w:cstheme="minorHAnsi"/>
                <w:szCs w:val="24"/>
                <w:lang w:val="en-GB"/>
              </w:rPr>
              <w:t xml:space="preserve">The Service Provider </w:t>
            </w:r>
            <w:r w:rsidR="00402055" w:rsidRPr="00702278">
              <w:rPr>
                <w:rFonts w:cstheme="minorHAnsi"/>
                <w:b/>
                <w:szCs w:val="24"/>
                <w:lang w:val="en-GB"/>
              </w:rPr>
              <w:t>MUST</w:t>
            </w:r>
            <w:r w:rsidR="00402055" w:rsidRPr="00702278">
              <w:rPr>
                <w:rFonts w:cstheme="minorHAnsi"/>
                <w:szCs w:val="24"/>
                <w:lang w:val="en-GB"/>
              </w:rPr>
              <w:t xml:space="preserve"> work collab</w:t>
            </w:r>
            <w:r w:rsidR="00935DA5" w:rsidRPr="00702278">
              <w:rPr>
                <w:rFonts w:cstheme="minorHAnsi"/>
                <w:szCs w:val="24"/>
                <w:lang w:val="en-GB"/>
              </w:rPr>
              <w:t xml:space="preserve">oratively with the Commissioner and GP practices in </w:t>
            </w:r>
            <w:r w:rsidR="00B1419B" w:rsidRPr="00702278">
              <w:rPr>
                <w:rFonts w:cstheme="minorHAnsi"/>
                <w:szCs w:val="24"/>
                <w:lang w:val="en-GB"/>
              </w:rPr>
              <w:t>Pennine Lancashire</w:t>
            </w:r>
            <w:r w:rsidR="00935DA5" w:rsidRPr="00702278">
              <w:rPr>
                <w:rFonts w:cstheme="minorHAnsi"/>
                <w:szCs w:val="24"/>
                <w:lang w:val="en-GB"/>
              </w:rPr>
              <w:t>.</w:t>
            </w:r>
            <w:r w:rsidR="00402055" w:rsidRPr="00702278">
              <w:rPr>
                <w:rFonts w:cstheme="minorHAnsi"/>
                <w:szCs w:val="24"/>
                <w:lang w:val="en-GB"/>
              </w:rPr>
              <w:t xml:space="preserve">  For the purpose of this document, the Commissioner can be defined as </w:t>
            </w:r>
            <w:r w:rsidR="00B1419B" w:rsidRPr="00702278">
              <w:rPr>
                <w:rFonts w:cstheme="minorHAnsi"/>
                <w:szCs w:val="24"/>
                <w:lang w:val="en-GB"/>
              </w:rPr>
              <w:t>East Lancashire and BwD Clinical Commissioning Groups.</w:t>
            </w:r>
          </w:p>
          <w:p w:rsidR="00F31D72" w:rsidRPr="00702278" w:rsidRDefault="00402055" w:rsidP="00587536">
            <w:pPr>
              <w:pStyle w:val="ListParagraph"/>
              <w:numPr>
                <w:ilvl w:val="2"/>
                <w:numId w:val="10"/>
              </w:numPr>
              <w:spacing w:after="120"/>
              <w:ind w:left="1452" w:hanging="709"/>
              <w:jc w:val="both"/>
              <w:rPr>
                <w:rFonts w:asciiTheme="minorHAnsi" w:hAnsiTheme="minorHAnsi" w:cstheme="minorHAnsi"/>
              </w:rPr>
            </w:pPr>
            <w:r w:rsidRPr="00702278">
              <w:rPr>
                <w:rFonts w:asciiTheme="minorHAnsi" w:hAnsiTheme="minorHAnsi" w:cstheme="minorHAnsi"/>
              </w:rPr>
              <w:t xml:space="preserve">The Commissioner expects the Service Provider to demonstrate </w:t>
            </w:r>
            <w:r w:rsidR="00B1419B" w:rsidRPr="00702278">
              <w:rPr>
                <w:rFonts w:asciiTheme="minorHAnsi" w:hAnsiTheme="minorHAnsi" w:cstheme="minorHAnsi"/>
              </w:rPr>
              <w:t xml:space="preserve">direct </w:t>
            </w:r>
            <w:r w:rsidRPr="00702278">
              <w:rPr>
                <w:rFonts w:asciiTheme="minorHAnsi" w:hAnsiTheme="minorHAnsi" w:cstheme="minorHAnsi"/>
              </w:rPr>
              <w:t xml:space="preserve">links with </w:t>
            </w:r>
            <w:r w:rsidR="00B1419B" w:rsidRPr="00702278">
              <w:rPr>
                <w:rFonts w:asciiTheme="minorHAnsi" w:hAnsiTheme="minorHAnsi" w:cstheme="minorHAnsi"/>
              </w:rPr>
              <w:t>local specialists and consultants plus remote links with specialists within the tertiary centres.</w:t>
            </w:r>
          </w:p>
        </w:tc>
      </w:tr>
      <w:tr w:rsidR="00CA190E" w:rsidRPr="004165CB" w:rsidTr="005B37F1">
        <w:tc>
          <w:tcPr>
            <w:tcW w:w="10065" w:type="dxa"/>
            <w:shd w:val="clear" w:color="auto" w:fill="595959"/>
          </w:tcPr>
          <w:p w:rsidR="00CA190E" w:rsidRPr="00B45A4D" w:rsidRDefault="001F37AB" w:rsidP="005B37F1">
            <w:pPr>
              <w:spacing w:after="0"/>
              <w:rPr>
                <w:rFonts w:cstheme="minorHAnsi"/>
                <w:b/>
                <w:color w:val="F79646"/>
                <w:sz w:val="22"/>
                <w:szCs w:val="22"/>
              </w:rPr>
            </w:pPr>
            <w:r w:rsidRPr="00B45A4D">
              <w:rPr>
                <w:rFonts w:cstheme="minorHAnsi"/>
                <w:b/>
                <w:color w:val="FABF8F" w:themeColor="accent6" w:themeTint="99"/>
                <w:sz w:val="22"/>
                <w:szCs w:val="22"/>
              </w:rPr>
              <w:lastRenderedPageBreak/>
              <w:t>4. Applicable Service Standards</w:t>
            </w:r>
          </w:p>
        </w:tc>
      </w:tr>
      <w:tr w:rsidR="005B37F1" w:rsidRPr="004165CB" w:rsidTr="00483F12">
        <w:trPr>
          <w:trHeight w:val="1690"/>
        </w:trPr>
        <w:tc>
          <w:tcPr>
            <w:tcW w:w="10065" w:type="dxa"/>
            <w:shd w:val="clear" w:color="auto" w:fill="auto"/>
          </w:tcPr>
          <w:p w:rsidR="00587536" w:rsidRDefault="00587536" w:rsidP="005B37F1">
            <w:pPr>
              <w:spacing w:after="0"/>
              <w:rPr>
                <w:rFonts w:cs="Arial"/>
                <w:b/>
                <w:sz w:val="22"/>
                <w:szCs w:val="22"/>
              </w:rPr>
            </w:pPr>
          </w:p>
          <w:p w:rsidR="005B37F1" w:rsidRPr="00587536" w:rsidRDefault="005B37F1" w:rsidP="005B37F1">
            <w:pPr>
              <w:spacing w:after="0"/>
              <w:rPr>
                <w:rFonts w:cstheme="minorHAnsi"/>
                <w:b/>
                <w:szCs w:val="24"/>
              </w:rPr>
            </w:pPr>
            <w:r w:rsidRPr="00B45A4D">
              <w:rPr>
                <w:rFonts w:cs="Arial"/>
                <w:b/>
                <w:sz w:val="22"/>
                <w:szCs w:val="22"/>
              </w:rPr>
              <w:t>4.1</w:t>
            </w:r>
            <w:r w:rsidRPr="00B45A4D">
              <w:rPr>
                <w:rFonts w:cs="Arial"/>
                <w:b/>
                <w:sz w:val="22"/>
                <w:szCs w:val="22"/>
              </w:rPr>
              <w:tab/>
            </w:r>
            <w:r w:rsidRPr="00587536">
              <w:rPr>
                <w:rFonts w:cstheme="minorHAnsi"/>
                <w:b/>
                <w:szCs w:val="24"/>
              </w:rPr>
              <w:t>Applicable national standards</w:t>
            </w:r>
          </w:p>
          <w:p w:rsidR="005B37F1" w:rsidRPr="00587536" w:rsidRDefault="005B37F1" w:rsidP="005B37F1">
            <w:pPr>
              <w:spacing w:after="0"/>
              <w:rPr>
                <w:rFonts w:cstheme="minorHAnsi"/>
                <w:szCs w:val="24"/>
              </w:rPr>
            </w:pPr>
            <w:r w:rsidRPr="00587536">
              <w:rPr>
                <w:rFonts w:cstheme="minorHAnsi"/>
                <w:szCs w:val="24"/>
              </w:rPr>
              <w:tab/>
              <w:t xml:space="preserve">The service provider must comply with national standards relating to medicines </w:t>
            </w:r>
            <w:r w:rsidRPr="00587536">
              <w:rPr>
                <w:rFonts w:cstheme="minorHAnsi"/>
                <w:szCs w:val="24"/>
              </w:rPr>
              <w:tab/>
              <w:t xml:space="preserve">use. </w:t>
            </w:r>
          </w:p>
          <w:p w:rsidR="005B37F1" w:rsidRPr="00587536" w:rsidRDefault="005B37F1" w:rsidP="005B37F1">
            <w:pPr>
              <w:spacing w:after="0"/>
              <w:rPr>
                <w:rFonts w:cstheme="minorHAnsi"/>
                <w:szCs w:val="24"/>
              </w:rPr>
            </w:pPr>
          </w:p>
          <w:p w:rsidR="005B37F1" w:rsidRPr="00587536" w:rsidRDefault="005B37F1" w:rsidP="005B37F1">
            <w:pPr>
              <w:spacing w:after="0"/>
              <w:ind w:left="743" w:hanging="743"/>
              <w:rPr>
                <w:rFonts w:cstheme="minorHAnsi"/>
                <w:b/>
                <w:szCs w:val="24"/>
              </w:rPr>
            </w:pPr>
            <w:r w:rsidRPr="00587536">
              <w:rPr>
                <w:rFonts w:cstheme="minorHAnsi"/>
                <w:b/>
                <w:szCs w:val="24"/>
              </w:rPr>
              <w:t>4.2</w:t>
            </w:r>
            <w:r w:rsidRPr="00587536">
              <w:rPr>
                <w:rFonts w:cstheme="minorHAnsi"/>
                <w:b/>
                <w:szCs w:val="24"/>
              </w:rPr>
              <w:tab/>
              <w:t xml:space="preserve">Applicable standards set out in Guidance and/or issued by a competent body </w:t>
            </w:r>
          </w:p>
          <w:p w:rsidR="00587536" w:rsidRPr="00587536" w:rsidRDefault="005B37F1" w:rsidP="005B37F1">
            <w:pPr>
              <w:spacing w:after="0"/>
              <w:ind w:left="743" w:hanging="743"/>
              <w:rPr>
                <w:rFonts w:cstheme="minorHAnsi"/>
                <w:szCs w:val="24"/>
              </w:rPr>
            </w:pPr>
            <w:r w:rsidRPr="00587536">
              <w:rPr>
                <w:rFonts w:cstheme="minorHAnsi"/>
                <w:szCs w:val="24"/>
              </w:rPr>
              <w:tab/>
              <w:t xml:space="preserve">The service provider must comply with national guidance relating to </w:t>
            </w:r>
            <w:r w:rsidR="00587536" w:rsidRPr="00587536">
              <w:rPr>
                <w:rFonts w:cstheme="minorHAnsi"/>
                <w:szCs w:val="24"/>
              </w:rPr>
              <w:t>unlicensed pharmaceutical specials including that from the Medicines Healthcare Regulatory Agency.</w:t>
            </w:r>
          </w:p>
          <w:p w:rsidR="005B37F1" w:rsidRPr="005B37F1" w:rsidRDefault="005B37F1" w:rsidP="00587536">
            <w:pPr>
              <w:spacing w:after="0"/>
              <w:rPr>
                <w:rFonts w:cs="Arial"/>
                <w:sz w:val="22"/>
                <w:szCs w:val="22"/>
              </w:rPr>
            </w:pPr>
          </w:p>
        </w:tc>
      </w:tr>
      <w:tr w:rsidR="00CA190E" w:rsidRPr="004165CB" w:rsidTr="00702278">
        <w:trPr>
          <w:trHeight w:val="1550"/>
        </w:trPr>
        <w:tc>
          <w:tcPr>
            <w:tcW w:w="10065" w:type="dxa"/>
            <w:shd w:val="clear" w:color="auto" w:fill="auto"/>
          </w:tcPr>
          <w:p w:rsidR="00483F12" w:rsidRDefault="00483F12" w:rsidP="00483F12">
            <w:pPr>
              <w:spacing w:after="0"/>
              <w:rPr>
                <w:rFonts w:cstheme="minorHAnsi"/>
                <w:b/>
                <w:szCs w:val="24"/>
              </w:rPr>
            </w:pPr>
            <w:r w:rsidRPr="00B45A4D">
              <w:rPr>
                <w:rFonts w:cstheme="minorHAnsi"/>
                <w:b/>
                <w:sz w:val="22"/>
                <w:szCs w:val="22"/>
              </w:rPr>
              <w:t>4.3</w:t>
            </w:r>
            <w:r w:rsidRPr="00B45A4D">
              <w:rPr>
                <w:rFonts w:cstheme="minorHAnsi"/>
                <w:b/>
                <w:sz w:val="22"/>
                <w:szCs w:val="22"/>
              </w:rPr>
              <w:tab/>
            </w:r>
            <w:r w:rsidRPr="00587536">
              <w:rPr>
                <w:rFonts w:cstheme="minorHAnsi"/>
                <w:b/>
                <w:szCs w:val="24"/>
              </w:rPr>
              <w:t xml:space="preserve">Applicable local standards </w:t>
            </w:r>
          </w:p>
          <w:p w:rsidR="00587536" w:rsidRPr="00587536" w:rsidRDefault="00587536" w:rsidP="00483F12">
            <w:pPr>
              <w:spacing w:after="0"/>
              <w:rPr>
                <w:rFonts w:cstheme="minorHAnsi"/>
                <w:b/>
                <w:szCs w:val="24"/>
              </w:rPr>
            </w:pPr>
          </w:p>
          <w:p w:rsidR="00C8321B" w:rsidRPr="00587536" w:rsidRDefault="00483F12" w:rsidP="00587536">
            <w:pPr>
              <w:spacing w:after="0"/>
              <w:ind w:left="743" w:hanging="743"/>
              <w:rPr>
                <w:rFonts w:cstheme="minorHAnsi"/>
                <w:szCs w:val="24"/>
              </w:rPr>
            </w:pPr>
            <w:r w:rsidRPr="00587536">
              <w:rPr>
                <w:rFonts w:cstheme="minorHAnsi"/>
                <w:szCs w:val="24"/>
              </w:rPr>
              <w:tab/>
              <w:t xml:space="preserve">The Service Provider is expected to adhere to local guidance on </w:t>
            </w:r>
            <w:r w:rsidR="00587536" w:rsidRPr="00587536">
              <w:rPr>
                <w:rFonts w:cstheme="minorHAnsi"/>
                <w:szCs w:val="24"/>
              </w:rPr>
              <w:t xml:space="preserve">ELMMB website: </w:t>
            </w:r>
            <w:hyperlink r:id="rId8" w:history="1">
              <w:r w:rsidR="00587536" w:rsidRPr="00587536">
                <w:rPr>
                  <w:rStyle w:val="Hyperlink"/>
                  <w:rFonts w:cstheme="minorHAnsi"/>
                  <w:szCs w:val="24"/>
                </w:rPr>
                <w:t>www.elmmb.nhs.uk</w:t>
              </w:r>
            </w:hyperlink>
            <w:r w:rsidR="00587536">
              <w:rPr>
                <w:rFonts w:cstheme="minorHAnsi"/>
                <w:szCs w:val="24"/>
              </w:rPr>
              <w:t xml:space="preserve"> </w:t>
            </w:r>
            <w:r w:rsidR="00587536" w:rsidRPr="00587536">
              <w:rPr>
                <w:szCs w:val="24"/>
              </w:rPr>
              <w:t>and EL</w:t>
            </w:r>
            <w:r w:rsidR="00F36683">
              <w:rPr>
                <w:szCs w:val="24"/>
              </w:rPr>
              <w:t xml:space="preserve"> </w:t>
            </w:r>
            <w:r w:rsidR="00587536" w:rsidRPr="00587536">
              <w:rPr>
                <w:szCs w:val="24"/>
              </w:rPr>
              <w:t>Health Economy Joint Formulary.</w:t>
            </w:r>
            <w:r w:rsidR="00587536" w:rsidRPr="00587536">
              <w:rPr>
                <w:rFonts w:cstheme="minorHAnsi"/>
                <w:szCs w:val="24"/>
              </w:rPr>
              <w:t xml:space="preserve"> </w:t>
            </w:r>
            <w:r w:rsidRPr="00587536">
              <w:rPr>
                <w:rFonts w:cs="Arial"/>
                <w:szCs w:val="24"/>
              </w:rPr>
              <w:t>The service provider will be expected to keep records and produce evidence when requested to do so b</w:t>
            </w:r>
            <w:r w:rsidR="00587536" w:rsidRPr="00587536">
              <w:rPr>
                <w:rFonts w:cs="Arial"/>
                <w:szCs w:val="24"/>
              </w:rPr>
              <w:t>y the CCG for all areas outlined</w:t>
            </w:r>
            <w:r w:rsidRPr="00587536">
              <w:rPr>
                <w:rFonts w:cs="Arial"/>
                <w:szCs w:val="24"/>
              </w:rPr>
              <w:t xml:space="preserve"> in th</w:t>
            </w:r>
            <w:r w:rsidR="00587536" w:rsidRPr="00587536">
              <w:rPr>
                <w:rFonts w:cs="Arial"/>
                <w:szCs w:val="24"/>
              </w:rPr>
              <w:t>e</w:t>
            </w:r>
            <w:r w:rsidRPr="00587536">
              <w:rPr>
                <w:rFonts w:cs="Arial"/>
                <w:szCs w:val="24"/>
              </w:rPr>
              <w:t xml:space="preserve"> service specification.</w:t>
            </w:r>
          </w:p>
          <w:p w:rsidR="00483F12" w:rsidRPr="00587536" w:rsidRDefault="00483F12" w:rsidP="00483F12">
            <w:pPr>
              <w:spacing w:after="0"/>
              <w:ind w:left="743" w:hanging="743"/>
              <w:rPr>
                <w:rFonts w:cstheme="minorHAnsi"/>
                <w:szCs w:val="24"/>
              </w:rPr>
            </w:pPr>
          </w:p>
          <w:p w:rsidR="00CA190E" w:rsidRPr="00587536" w:rsidRDefault="00C8321B" w:rsidP="004165CB">
            <w:pPr>
              <w:spacing w:after="0"/>
              <w:rPr>
                <w:rFonts w:cs="Arial"/>
                <w:b/>
                <w:szCs w:val="24"/>
              </w:rPr>
            </w:pPr>
            <w:r w:rsidRPr="00587536">
              <w:rPr>
                <w:rFonts w:cs="Arial"/>
                <w:b/>
                <w:szCs w:val="24"/>
              </w:rPr>
              <w:t>4.4</w:t>
            </w:r>
            <w:r w:rsidR="00D85A70" w:rsidRPr="00587536">
              <w:rPr>
                <w:rFonts w:cs="Arial"/>
                <w:b/>
                <w:szCs w:val="24"/>
              </w:rPr>
              <w:tab/>
              <w:t>Continual Professional De</w:t>
            </w:r>
            <w:r w:rsidR="00F36683">
              <w:rPr>
                <w:rFonts w:cs="Arial"/>
                <w:b/>
                <w:szCs w:val="24"/>
              </w:rPr>
              <w:t>velopment, Education and Trainin</w:t>
            </w:r>
            <w:r w:rsidR="00D85A70" w:rsidRPr="00587536">
              <w:rPr>
                <w:rFonts w:cs="Arial"/>
                <w:b/>
                <w:szCs w:val="24"/>
              </w:rPr>
              <w:t xml:space="preserve">g </w:t>
            </w:r>
          </w:p>
          <w:p w:rsidR="00D85A70" w:rsidRPr="00587536" w:rsidRDefault="00D85A70" w:rsidP="004165CB">
            <w:pPr>
              <w:spacing w:after="0"/>
              <w:rPr>
                <w:rFonts w:cs="Arial"/>
                <w:szCs w:val="24"/>
              </w:rPr>
            </w:pPr>
            <w:r w:rsidRPr="00587536">
              <w:rPr>
                <w:rFonts w:cs="Arial"/>
                <w:b/>
                <w:szCs w:val="24"/>
              </w:rPr>
              <w:tab/>
            </w:r>
            <w:r w:rsidRPr="00587536">
              <w:rPr>
                <w:rFonts w:cs="Arial"/>
                <w:szCs w:val="24"/>
              </w:rPr>
              <w:t>The service provider shall</w:t>
            </w:r>
            <w:r w:rsidR="00942625" w:rsidRPr="00587536">
              <w:rPr>
                <w:rFonts w:cs="Arial"/>
                <w:szCs w:val="24"/>
              </w:rPr>
              <w:t xml:space="preserve"> ensure that all staff involved in delivery of the service</w:t>
            </w:r>
            <w:r w:rsidRPr="00587536">
              <w:rPr>
                <w:rFonts w:cs="Arial"/>
                <w:szCs w:val="24"/>
              </w:rPr>
              <w:t xml:space="preserve">: </w:t>
            </w:r>
          </w:p>
          <w:p w:rsidR="00942625" w:rsidRPr="00587536" w:rsidRDefault="00C8321B" w:rsidP="004165CB">
            <w:pPr>
              <w:spacing w:after="120"/>
              <w:ind w:firstLine="743"/>
              <w:rPr>
                <w:rFonts w:cs="Arial"/>
                <w:szCs w:val="24"/>
              </w:rPr>
            </w:pPr>
            <w:r w:rsidRPr="00587536">
              <w:rPr>
                <w:rFonts w:cs="Arial"/>
                <w:szCs w:val="24"/>
              </w:rPr>
              <w:t>4.4</w:t>
            </w:r>
            <w:r w:rsidR="00942625" w:rsidRPr="00587536">
              <w:rPr>
                <w:rFonts w:cs="Arial"/>
                <w:szCs w:val="24"/>
              </w:rPr>
              <w:t>.1</w:t>
            </w:r>
            <w:r w:rsidR="00942625" w:rsidRPr="00587536">
              <w:rPr>
                <w:rFonts w:cs="Arial"/>
                <w:szCs w:val="24"/>
              </w:rPr>
              <w:tab/>
              <w:t>Undertake annual appraisal and personal development planning.</w:t>
            </w:r>
          </w:p>
          <w:p w:rsidR="00CF004F" w:rsidRDefault="00C8321B" w:rsidP="004165CB">
            <w:pPr>
              <w:spacing w:after="0"/>
              <w:ind w:left="1452" w:hanging="709"/>
              <w:rPr>
                <w:rFonts w:cs="Arial"/>
                <w:szCs w:val="24"/>
              </w:rPr>
            </w:pPr>
            <w:r w:rsidRPr="00587536">
              <w:rPr>
                <w:rFonts w:cs="Arial"/>
                <w:szCs w:val="24"/>
              </w:rPr>
              <w:t>4.4</w:t>
            </w:r>
            <w:r w:rsidR="00942625" w:rsidRPr="00587536">
              <w:rPr>
                <w:rFonts w:cs="Arial"/>
                <w:szCs w:val="24"/>
              </w:rPr>
              <w:t>.2</w:t>
            </w:r>
            <w:r w:rsidR="00942625" w:rsidRPr="00587536">
              <w:rPr>
                <w:rFonts w:cs="Arial"/>
                <w:szCs w:val="24"/>
              </w:rPr>
              <w:tab/>
              <w:t xml:space="preserve">Undertake mandatory training </w:t>
            </w:r>
            <w:r w:rsidR="00013D11">
              <w:rPr>
                <w:rFonts w:cs="Arial"/>
                <w:szCs w:val="24"/>
              </w:rPr>
              <w:t xml:space="preserve">(as a minimum) </w:t>
            </w:r>
            <w:r w:rsidR="00942625" w:rsidRPr="00587536">
              <w:rPr>
                <w:rFonts w:cs="Arial"/>
                <w:szCs w:val="24"/>
              </w:rPr>
              <w:t>in the areas of</w:t>
            </w:r>
            <w:r w:rsidR="000012DD" w:rsidRPr="00587536">
              <w:rPr>
                <w:rFonts w:cs="Arial"/>
                <w:szCs w:val="24"/>
              </w:rPr>
              <w:t xml:space="preserve"> Equality and diversity, Fire </w:t>
            </w:r>
            <w:r w:rsidR="00942625" w:rsidRPr="00587536">
              <w:rPr>
                <w:rFonts w:cs="Arial"/>
                <w:szCs w:val="24"/>
              </w:rPr>
              <w:t>Training, Health &amp; Safety, Infection Cont</w:t>
            </w:r>
            <w:r w:rsidR="000012DD" w:rsidRPr="00587536">
              <w:rPr>
                <w:rFonts w:cs="Arial"/>
                <w:szCs w:val="24"/>
              </w:rPr>
              <w:t xml:space="preserve">rol, Information Governance, </w:t>
            </w:r>
            <w:r w:rsidR="00942625" w:rsidRPr="00587536">
              <w:rPr>
                <w:rFonts w:cs="Arial"/>
                <w:szCs w:val="24"/>
              </w:rPr>
              <w:t>Manual Handling, Safeguarding adults, and Safeguarding Children</w:t>
            </w:r>
            <w:r w:rsidR="00013D11">
              <w:rPr>
                <w:rFonts w:cs="Arial"/>
                <w:szCs w:val="24"/>
              </w:rPr>
              <w:t xml:space="preserve"> plus any other training the Provider deems approp</w:t>
            </w:r>
            <w:r w:rsidR="00CF004F">
              <w:rPr>
                <w:rFonts w:cs="Arial"/>
                <w:szCs w:val="24"/>
              </w:rPr>
              <w:t>r</w:t>
            </w:r>
            <w:r w:rsidR="00013D11">
              <w:rPr>
                <w:rFonts w:cs="Arial"/>
                <w:szCs w:val="24"/>
              </w:rPr>
              <w:t>iate</w:t>
            </w:r>
            <w:r w:rsidR="00CF004F">
              <w:rPr>
                <w:rFonts w:cs="Arial"/>
                <w:szCs w:val="24"/>
              </w:rPr>
              <w:t>.</w:t>
            </w:r>
          </w:p>
          <w:p w:rsidR="00942625" w:rsidRPr="00587536" w:rsidRDefault="00CF004F" w:rsidP="004165CB">
            <w:pPr>
              <w:spacing w:after="0"/>
              <w:ind w:left="1452" w:hanging="709"/>
              <w:rPr>
                <w:rFonts w:cs="Arial"/>
                <w:szCs w:val="24"/>
              </w:rPr>
            </w:pPr>
            <w:r>
              <w:rPr>
                <w:rFonts w:cs="Arial"/>
                <w:szCs w:val="24"/>
              </w:rPr>
              <w:t>4.2.3    Undertake continual professional development in prescribing and medicines management.</w:t>
            </w:r>
          </w:p>
          <w:p w:rsidR="00253930" w:rsidRDefault="00253930" w:rsidP="004165CB">
            <w:pPr>
              <w:spacing w:after="0"/>
              <w:ind w:left="1452" w:hanging="709"/>
              <w:rPr>
                <w:rFonts w:cs="Arial"/>
                <w:szCs w:val="24"/>
              </w:rPr>
            </w:pPr>
          </w:p>
          <w:p w:rsidR="00013D11" w:rsidRPr="00587536" w:rsidRDefault="00013D11" w:rsidP="004165CB">
            <w:pPr>
              <w:spacing w:after="0"/>
              <w:ind w:left="1452" w:hanging="709"/>
              <w:rPr>
                <w:rFonts w:cs="Arial"/>
                <w:szCs w:val="24"/>
              </w:rPr>
            </w:pPr>
          </w:p>
          <w:p w:rsidR="00942625" w:rsidRPr="00587536" w:rsidRDefault="00942625" w:rsidP="004165CB">
            <w:pPr>
              <w:spacing w:after="0"/>
              <w:rPr>
                <w:rFonts w:cs="Arial"/>
                <w:b/>
                <w:szCs w:val="24"/>
              </w:rPr>
            </w:pPr>
            <w:r w:rsidRPr="00587536">
              <w:rPr>
                <w:rFonts w:cs="Arial"/>
                <w:b/>
                <w:szCs w:val="24"/>
              </w:rPr>
              <w:t>4.</w:t>
            </w:r>
            <w:r w:rsidR="00C8321B" w:rsidRPr="00587536">
              <w:rPr>
                <w:rFonts w:cs="Arial"/>
                <w:b/>
                <w:szCs w:val="24"/>
              </w:rPr>
              <w:t>5</w:t>
            </w:r>
            <w:r w:rsidRPr="00587536">
              <w:rPr>
                <w:rFonts w:cs="Arial"/>
                <w:b/>
                <w:szCs w:val="24"/>
              </w:rPr>
              <w:tab/>
              <w:t>Confidentiality and Data Protection</w:t>
            </w:r>
          </w:p>
          <w:p w:rsidR="00942625" w:rsidRPr="00587536" w:rsidRDefault="00942625" w:rsidP="004165CB">
            <w:pPr>
              <w:spacing w:after="0"/>
              <w:rPr>
                <w:rFonts w:cs="Arial"/>
                <w:szCs w:val="24"/>
              </w:rPr>
            </w:pPr>
            <w:r w:rsidRPr="00587536">
              <w:rPr>
                <w:rFonts w:cs="Arial"/>
                <w:szCs w:val="24"/>
              </w:rPr>
              <w:tab/>
              <w:t>The provider:</w:t>
            </w:r>
          </w:p>
          <w:p w:rsidR="00942625" w:rsidRPr="00587536" w:rsidRDefault="00C8321B" w:rsidP="004165CB">
            <w:pPr>
              <w:spacing w:after="120"/>
              <w:ind w:left="1452" w:hanging="709"/>
              <w:rPr>
                <w:rFonts w:cs="Arial"/>
                <w:szCs w:val="24"/>
              </w:rPr>
            </w:pPr>
            <w:r w:rsidRPr="00587536">
              <w:rPr>
                <w:rFonts w:cs="Arial"/>
                <w:szCs w:val="24"/>
              </w:rPr>
              <w:t>4.5</w:t>
            </w:r>
            <w:r w:rsidR="00942625" w:rsidRPr="00587536">
              <w:rPr>
                <w:rFonts w:cs="Arial"/>
                <w:szCs w:val="24"/>
              </w:rPr>
              <w:t>.1</w:t>
            </w:r>
            <w:r w:rsidR="00942625" w:rsidRPr="00587536">
              <w:rPr>
                <w:rFonts w:cs="Arial"/>
                <w:szCs w:val="24"/>
              </w:rPr>
              <w:tab/>
              <w:t>Must ensure that all persons delivering the ser</w:t>
            </w:r>
            <w:r w:rsidR="000012DD" w:rsidRPr="00587536">
              <w:rPr>
                <w:rFonts w:cs="Arial"/>
                <w:szCs w:val="24"/>
              </w:rPr>
              <w:t xml:space="preserve">vice comply with the </w:t>
            </w:r>
            <w:r w:rsidR="00B81E43" w:rsidRPr="00587536">
              <w:rPr>
                <w:rFonts w:cs="Arial"/>
                <w:szCs w:val="24"/>
              </w:rPr>
              <w:t>Caldi</w:t>
            </w:r>
            <w:r w:rsidR="00935DA5" w:rsidRPr="00587536">
              <w:rPr>
                <w:rFonts w:cs="Arial"/>
                <w:szCs w:val="24"/>
              </w:rPr>
              <w:t>cott</w:t>
            </w:r>
            <w:r w:rsidR="000012DD" w:rsidRPr="00587536">
              <w:rPr>
                <w:rFonts w:cs="Arial"/>
                <w:szCs w:val="24"/>
              </w:rPr>
              <w:t xml:space="preserve"> </w:t>
            </w:r>
            <w:r w:rsidR="00942625" w:rsidRPr="00587536">
              <w:rPr>
                <w:rFonts w:cs="Arial"/>
                <w:szCs w:val="24"/>
              </w:rPr>
              <w:t>Guardian requirements and ensure that any m</w:t>
            </w:r>
            <w:r w:rsidR="000012DD" w:rsidRPr="00587536">
              <w:rPr>
                <w:rFonts w:cs="Arial"/>
                <w:szCs w:val="24"/>
              </w:rPr>
              <w:t xml:space="preserve">atters of confidential nature </w:t>
            </w:r>
            <w:r w:rsidR="00942625" w:rsidRPr="00587536">
              <w:rPr>
                <w:rFonts w:cs="Arial"/>
                <w:szCs w:val="24"/>
              </w:rPr>
              <w:t xml:space="preserve">are not divulged or made available to unauthorised personnel. </w:t>
            </w:r>
          </w:p>
          <w:p w:rsidR="00702278" w:rsidRPr="00587536" w:rsidRDefault="00C8321B" w:rsidP="00F36683">
            <w:pPr>
              <w:spacing w:after="0"/>
              <w:ind w:left="1452" w:hanging="709"/>
              <w:rPr>
                <w:rFonts w:cs="Arial"/>
                <w:sz w:val="22"/>
                <w:szCs w:val="22"/>
              </w:rPr>
            </w:pPr>
            <w:r w:rsidRPr="00B45A4D">
              <w:rPr>
                <w:rFonts w:cs="Arial"/>
                <w:sz w:val="22"/>
                <w:szCs w:val="22"/>
              </w:rPr>
              <w:t>4.5</w:t>
            </w:r>
            <w:r w:rsidR="00942625" w:rsidRPr="00B45A4D">
              <w:rPr>
                <w:rFonts w:cs="Arial"/>
                <w:sz w:val="22"/>
                <w:szCs w:val="22"/>
              </w:rPr>
              <w:t>.2</w:t>
            </w:r>
            <w:r w:rsidR="00942625" w:rsidRPr="00B45A4D">
              <w:rPr>
                <w:rFonts w:cs="Arial"/>
                <w:sz w:val="22"/>
                <w:szCs w:val="22"/>
              </w:rPr>
              <w:tab/>
            </w:r>
            <w:r w:rsidR="00942625" w:rsidRPr="00587536">
              <w:rPr>
                <w:rFonts w:cs="Arial"/>
                <w:szCs w:val="24"/>
              </w:rPr>
              <w:t xml:space="preserve">Is responsible for ensuring all their staff are </w:t>
            </w:r>
            <w:r w:rsidR="000012DD" w:rsidRPr="00587536">
              <w:rPr>
                <w:rFonts w:cs="Arial"/>
                <w:szCs w:val="24"/>
              </w:rPr>
              <w:t xml:space="preserve">aware of their obligations in </w:t>
            </w:r>
            <w:r w:rsidR="00942625" w:rsidRPr="00587536">
              <w:rPr>
                <w:rFonts w:cs="Arial"/>
                <w:szCs w:val="24"/>
              </w:rPr>
              <w:t>respect of the Data Protection Act and i</w:t>
            </w:r>
            <w:r w:rsidR="000012DD" w:rsidRPr="00587536">
              <w:rPr>
                <w:rFonts w:cs="Arial"/>
                <w:szCs w:val="24"/>
              </w:rPr>
              <w:t xml:space="preserve">n relation to the Freedom of </w:t>
            </w:r>
            <w:r w:rsidR="00942625" w:rsidRPr="00587536">
              <w:rPr>
                <w:rFonts w:cs="Arial"/>
                <w:szCs w:val="24"/>
              </w:rPr>
              <w:t>Information Act 2005.</w:t>
            </w:r>
            <w:r w:rsidR="00942625" w:rsidRPr="00B45A4D">
              <w:rPr>
                <w:rFonts w:cs="Arial"/>
                <w:sz w:val="22"/>
                <w:szCs w:val="22"/>
              </w:rPr>
              <w:t xml:space="preserve"> </w:t>
            </w:r>
          </w:p>
        </w:tc>
      </w:tr>
      <w:tr w:rsidR="00CA190E" w:rsidRPr="004165CB" w:rsidTr="005B37F1">
        <w:tc>
          <w:tcPr>
            <w:tcW w:w="10065" w:type="dxa"/>
            <w:shd w:val="clear" w:color="auto" w:fill="595959"/>
          </w:tcPr>
          <w:p w:rsidR="00CA190E" w:rsidRPr="00B45A4D" w:rsidRDefault="001F37AB" w:rsidP="004165CB">
            <w:pPr>
              <w:spacing w:after="0"/>
              <w:rPr>
                <w:rFonts w:cstheme="minorHAnsi"/>
                <w:b/>
                <w:color w:val="F79646"/>
                <w:sz w:val="22"/>
                <w:szCs w:val="22"/>
              </w:rPr>
            </w:pPr>
            <w:r w:rsidRPr="00B45A4D">
              <w:rPr>
                <w:rFonts w:cstheme="minorHAnsi"/>
                <w:b/>
                <w:color w:val="F79646"/>
                <w:sz w:val="22"/>
                <w:szCs w:val="22"/>
              </w:rPr>
              <w:lastRenderedPageBreak/>
              <w:t xml:space="preserve">5. Applicable Quality Requirements </w:t>
            </w:r>
          </w:p>
        </w:tc>
      </w:tr>
      <w:tr w:rsidR="00CA190E" w:rsidRPr="004165CB" w:rsidTr="005B37F1">
        <w:tc>
          <w:tcPr>
            <w:tcW w:w="10065" w:type="dxa"/>
            <w:tcBorders>
              <w:bottom w:val="single" w:sz="4" w:space="0" w:color="auto"/>
            </w:tcBorders>
            <w:shd w:val="clear" w:color="auto" w:fill="auto"/>
          </w:tcPr>
          <w:p w:rsidR="004C43BE" w:rsidRDefault="005C2850" w:rsidP="005C2850">
            <w:pPr>
              <w:pStyle w:val="ListParagraph"/>
              <w:numPr>
                <w:ilvl w:val="1"/>
                <w:numId w:val="2"/>
              </w:numPr>
              <w:ind w:left="743" w:hanging="743"/>
              <w:rPr>
                <w:rFonts w:asciiTheme="minorHAnsi" w:hAnsiTheme="minorHAnsi" w:cs="Arial"/>
                <w:b/>
                <w:sz w:val="22"/>
                <w:szCs w:val="22"/>
              </w:rPr>
            </w:pPr>
            <w:r w:rsidRPr="00B45A4D">
              <w:rPr>
                <w:rFonts w:asciiTheme="minorHAnsi" w:hAnsiTheme="minorHAnsi" w:cs="Arial"/>
                <w:b/>
                <w:sz w:val="22"/>
                <w:szCs w:val="22"/>
              </w:rPr>
              <w:t>Applicable Quality Requirements</w:t>
            </w:r>
          </w:p>
          <w:p w:rsidR="005B37F1" w:rsidRPr="00B45A4D" w:rsidRDefault="005B37F1" w:rsidP="005B37F1">
            <w:pPr>
              <w:pStyle w:val="ListParagraph"/>
              <w:ind w:left="743"/>
              <w:rPr>
                <w:rFonts w:asciiTheme="minorHAnsi" w:hAnsiTheme="minorHAnsi" w:cs="Arial"/>
                <w:b/>
                <w:sz w:val="22"/>
                <w:szCs w:val="22"/>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699"/>
              <w:gridCol w:w="2108"/>
              <w:gridCol w:w="1050"/>
              <w:gridCol w:w="1699"/>
              <w:gridCol w:w="1134"/>
              <w:gridCol w:w="1419"/>
              <w:gridCol w:w="1701"/>
            </w:tblGrid>
            <w:tr w:rsidR="005B37F1" w:rsidRPr="006B4740" w:rsidTr="005B37F1">
              <w:trPr>
                <w:trHeight w:val="431"/>
                <w:tblHeader/>
              </w:trPr>
              <w:tc>
                <w:tcPr>
                  <w:tcW w:w="356" w:type="pct"/>
                  <w:tcBorders>
                    <w:top w:val="single" w:sz="4" w:space="0" w:color="808080"/>
                    <w:left w:val="single" w:sz="4" w:space="0" w:color="808080"/>
                    <w:bottom w:val="single" w:sz="4" w:space="0" w:color="808080"/>
                    <w:right w:val="single" w:sz="4" w:space="0" w:color="808080"/>
                  </w:tcBorders>
                  <w:shd w:val="clear" w:color="auto" w:fill="595959"/>
                </w:tcPr>
                <w:p w:rsidR="005B37F1" w:rsidRPr="009032A4" w:rsidRDefault="005B37F1" w:rsidP="005B37F1">
                  <w:pPr>
                    <w:spacing w:after="0"/>
                    <w:rPr>
                      <w:rFonts w:eastAsia="Times New Roman" w:cs="Arial"/>
                      <w:bCs/>
                      <w:i/>
                      <w:color w:val="FFFFFF"/>
                      <w:sz w:val="18"/>
                      <w:szCs w:val="18"/>
                    </w:rPr>
                  </w:pPr>
                </w:p>
              </w:tc>
              <w:tc>
                <w:tcPr>
                  <w:tcW w:w="1074" w:type="pct"/>
                  <w:tcBorders>
                    <w:top w:val="single" w:sz="4" w:space="0" w:color="808080"/>
                    <w:left w:val="single" w:sz="4" w:space="0" w:color="808080"/>
                    <w:bottom w:val="single" w:sz="4" w:space="0" w:color="808080"/>
                    <w:right w:val="single" w:sz="4" w:space="0" w:color="808080"/>
                  </w:tcBorders>
                  <w:shd w:val="clear" w:color="auto" w:fill="595959"/>
                </w:tcPr>
                <w:p w:rsidR="005B37F1" w:rsidRPr="009032A4" w:rsidRDefault="005B37F1" w:rsidP="005B37F1">
                  <w:pPr>
                    <w:spacing w:after="0"/>
                    <w:rPr>
                      <w:rFonts w:eastAsia="Times New Roman" w:cs="Arial"/>
                      <w:bCs/>
                      <w:i/>
                      <w:color w:val="FFFFFF"/>
                      <w:sz w:val="18"/>
                      <w:szCs w:val="18"/>
                    </w:rPr>
                  </w:pPr>
                  <w:r w:rsidRPr="009032A4">
                    <w:rPr>
                      <w:rFonts w:eastAsia="Times New Roman" w:cs="Arial"/>
                      <w:bCs/>
                      <w:i/>
                      <w:color w:val="FFFFFF"/>
                      <w:sz w:val="18"/>
                      <w:szCs w:val="18"/>
                    </w:rPr>
                    <w:t>Quality and Performance Indicators</w:t>
                  </w:r>
                </w:p>
              </w:tc>
              <w:tc>
                <w:tcPr>
                  <w:tcW w:w="535" w:type="pct"/>
                  <w:tcBorders>
                    <w:top w:val="single" w:sz="4" w:space="0" w:color="808080"/>
                    <w:left w:val="single" w:sz="4" w:space="0" w:color="808080"/>
                    <w:bottom w:val="single" w:sz="4" w:space="0" w:color="808080"/>
                    <w:right w:val="single" w:sz="4" w:space="0" w:color="808080"/>
                  </w:tcBorders>
                  <w:shd w:val="clear" w:color="auto" w:fill="595959"/>
                </w:tcPr>
                <w:p w:rsidR="005B37F1" w:rsidRPr="009032A4" w:rsidRDefault="005B37F1" w:rsidP="005B37F1">
                  <w:pPr>
                    <w:spacing w:after="0"/>
                    <w:rPr>
                      <w:rFonts w:eastAsia="Times New Roman" w:cs="Arial"/>
                      <w:bCs/>
                      <w:i/>
                      <w:color w:val="FFFFFF"/>
                      <w:sz w:val="18"/>
                      <w:szCs w:val="18"/>
                    </w:rPr>
                  </w:pPr>
                  <w:r w:rsidRPr="009032A4">
                    <w:rPr>
                      <w:rFonts w:eastAsia="Times New Roman" w:cs="Arial"/>
                      <w:bCs/>
                      <w:i/>
                      <w:color w:val="FFFFFF"/>
                      <w:sz w:val="18"/>
                      <w:szCs w:val="18"/>
                    </w:rPr>
                    <w:t>Threshold</w:t>
                  </w:r>
                </w:p>
              </w:tc>
              <w:tc>
                <w:tcPr>
                  <w:tcW w:w="866" w:type="pct"/>
                  <w:tcBorders>
                    <w:top w:val="single" w:sz="4" w:space="0" w:color="808080"/>
                    <w:left w:val="single" w:sz="4" w:space="0" w:color="808080"/>
                    <w:bottom w:val="single" w:sz="4" w:space="0" w:color="808080"/>
                    <w:right w:val="single" w:sz="4" w:space="0" w:color="808080"/>
                  </w:tcBorders>
                  <w:shd w:val="clear" w:color="auto" w:fill="595959"/>
                </w:tcPr>
                <w:p w:rsidR="005B37F1" w:rsidRPr="009032A4" w:rsidRDefault="005B37F1" w:rsidP="005B37F1">
                  <w:pPr>
                    <w:spacing w:after="0"/>
                    <w:rPr>
                      <w:rFonts w:eastAsia="Times New Roman" w:cs="Arial"/>
                      <w:bCs/>
                      <w:i/>
                      <w:color w:val="FFFFFF"/>
                      <w:sz w:val="18"/>
                      <w:szCs w:val="18"/>
                    </w:rPr>
                  </w:pPr>
                  <w:r w:rsidRPr="009032A4">
                    <w:rPr>
                      <w:rFonts w:eastAsia="Times New Roman" w:cs="Arial"/>
                      <w:bCs/>
                      <w:i/>
                      <w:color w:val="FFFFFF"/>
                      <w:sz w:val="18"/>
                      <w:szCs w:val="18"/>
                    </w:rPr>
                    <w:t>Method of Measurement</w:t>
                  </w:r>
                </w:p>
              </w:tc>
              <w:tc>
                <w:tcPr>
                  <w:tcW w:w="578" w:type="pct"/>
                  <w:tcBorders>
                    <w:top w:val="single" w:sz="4" w:space="0" w:color="808080"/>
                    <w:left w:val="single" w:sz="4" w:space="0" w:color="808080"/>
                    <w:bottom w:val="single" w:sz="4" w:space="0" w:color="808080"/>
                    <w:right w:val="single" w:sz="4" w:space="0" w:color="808080"/>
                  </w:tcBorders>
                  <w:shd w:val="clear" w:color="auto" w:fill="595959"/>
                  <w:vAlign w:val="center"/>
                </w:tcPr>
                <w:p w:rsidR="005B37F1" w:rsidRPr="009032A4" w:rsidRDefault="005B37F1" w:rsidP="005B37F1">
                  <w:pPr>
                    <w:spacing w:after="0"/>
                    <w:rPr>
                      <w:rFonts w:eastAsia="Times New Roman" w:cs="Arial"/>
                      <w:bCs/>
                      <w:i/>
                      <w:color w:val="FFFFFF"/>
                      <w:sz w:val="18"/>
                      <w:szCs w:val="18"/>
                    </w:rPr>
                  </w:pPr>
                  <w:r w:rsidRPr="009032A4">
                    <w:rPr>
                      <w:rFonts w:eastAsia="Times New Roman" w:cs="Arial"/>
                      <w:bCs/>
                      <w:i/>
                      <w:color w:val="FFFFFF"/>
                      <w:sz w:val="18"/>
                      <w:szCs w:val="18"/>
                    </w:rPr>
                    <w:t>Frequency</w:t>
                  </w:r>
                </w:p>
              </w:tc>
              <w:tc>
                <w:tcPr>
                  <w:tcW w:w="723" w:type="pct"/>
                  <w:tcBorders>
                    <w:top w:val="single" w:sz="4" w:space="0" w:color="808080"/>
                    <w:left w:val="single" w:sz="4" w:space="0" w:color="808080"/>
                    <w:bottom w:val="single" w:sz="4" w:space="0" w:color="808080"/>
                    <w:right w:val="single" w:sz="4" w:space="0" w:color="808080"/>
                  </w:tcBorders>
                  <w:shd w:val="clear" w:color="auto" w:fill="595959"/>
                </w:tcPr>
                <w:p w:rsidR="005B37F1" w:rsidRPr="009032A4" w:rsidRDefault="005B37F1" w:rsidP="005B37F1">
                  <w:pPr>
                    <w:spacing w:after="0"/>
                    <w:rPr>
                      <w:rFonts w:eastAsia="Times New Roman" w:cs="Arial"/>
                      <w:bCs/>
                      <w:i/>
                      <w:color w:val="FFFFFF"/>
                      <w:sz w:val="18"/>
                      <w:szCs w:val="18"/>
                    </w:rPr>
                  </w:pPr>
                  <w:r w:rsidRPr="009032A4">
                    <w:rPr>
                      <w:rFonts w:eastAsia="Times New Roman" w:cs="Arial"/>
                      <w:bCs/>
                      <w:i/>
                      <w:color w:val="FFFFFF"/>
                      <w:sz w:val="18"/>
                      <w:szCs w:val="18"/>
                    </w:rPr>
                    <w:t>Consequence of Breach</w:t>
                  </w:r>
                </w:p>
              </w:tc>
              <w:tc>
                <w:tcPr>
                  <w:tcW w:w="867" w:type="pct"/>
                  <w:tcBorders>
                    <w:top w:val="single" w:sz="4" w:space="0" w:color="808080"/>
                    <w:left w:val="single" w:sz="4" w:space="0" w:color="808080"/>
                    <w:bottom w:val="single" w:sz="4" w:space="0" w:color="808080"/>
                    <w:right w:val="single" w:sz="4" w:space="0" w:color="808080"/>
                  </w:tcBorders>
                  <w:shd w:val="clear" w:color="auto" w:fill="595959"/>
                </w:tcPr>
                <w:p w:rsidR="005B37F1" w:rsidRPr="009032A4" w:rsidRDefault="005B37F1" w:rsidP="005B37F1">
                  <w:pPr>
                    <w:spacing w:after="0"/>
                    <w:rPr>
                      <w:rFonts w:eastAsia="Times New Roman" w:cs="Arial"/>
                      <w:bCs/>
                      <w:i/>
                      <w:color w:val="FFFFFF"/>
                      <w:sz w:val="18"/>
                      <w:szCs w:val="18"/>
                    </w:rPr>
                  </w:pPr>
                  <w:r w:rsidRPr="009032A4">
                    <w:rPr>
                      <w:rFonts w:eastAsia="Times New Roman" w:cs="Arial"/>
                      <w:bCs/>
                      <w:i/>
                      <w:color w:val="FFFFFF"/>
                      <w:sz w:val="18"/>
                      <w:szCs w:val="18"/>
                    </w:rPr>
                    <w:t>Information Source</w:t>
                  </w:r>
                </w:p>
              </w:tc>
            </w:tr>
            <w:tr w:rsidR="005B37F1" w:rsidRPr="006B4740" w:rsidTr="005B37F1">
              <w:trPr>
                <w:trHeight w:val="431"/>
              </w:trPr>
              <w:tc>
                <w:tcPr>
                  <w:tcW w:w="356" w:type="pct"/>
                  <w:tcBorders>
                    <w:top w:val="single" w:sz="4" w:space="0" w:color="808080"/>
                    <w:left w:val="single" w:sz="4" w:space="0" w:color="808080"/>
                    <w:bottom w:val="single" w:sz="4" w:space="0" w:color="808080"/>
                    <w:right w:val="single" w:sz="4" w:space="0" w:color="808080"/>
                  </w:tcBorders>
                  <w:vAlign w:val="center"/>
                </w:tcPr>
                <w:p w:rsidR="005B37F1" w:rsidRPr="009032A4" w:rsidRDefault="005B37F1" w:rsidP="005B37F1">
                  <w:pPr>
                    <w:spacing w:after="0"/>
                    <w:rPr>
                      <w:rFonts w:eastAsia="Times New Roman" w:cstheme="minorHAnsi"/>
                      <w:bCs/>
                      <w:sz w:val="18"/>
                      <w:szCs w:val="18"/>
                    </w:rPr>
                  </w:pPr>
                  <w:r w:rsidRPr="009032A4">
                    <w:rPr>
                      <w:rFonts w:eastAsia="Times New Roman" w:cstheme="minorHAnsi"/>
                      <w:bCs/>
                      <w:sz w:val="18"/>
                      <w:szCs w:val="18"/>
                    </w:rPr>
                    <w:t>5.1.1</w:t>
                  </w:r>
                </w:p>
              </w:tc>
              <w:tc>
                <w:tcPr>
                  <w:tcW w:w="1074" w:type="pct"/>
                  <w:tcBorders>
                    <w:top w:val="single" w:sz="4" w:space="0" w:color="808080"/>
                    <w:left w:val="single" w:sz="4" w:space="0" w:color="808080"/>
                    <w:bottom w:val="single" w:sz="4" w:space="0" w:color="808080"/>
                    <w:right w:val="single" w:sz="4" w:space="0" w:color="808080"/>
                  </w:tcBorders>
                  <w:shd w:val="clear" w:color="auto" w:fill="auto"/>
                  <w:vAlign w:val="center"/>
                </w:tcPr>
                <w:p w:rsidR="005B37F1" w:rsidRPr="009032A4" w:rsidRDefault="005B37F1" w:rsidP="005B37F1">
                  <w:pPr>
                    <w:spacing w:after="0"/>
                    <w:rPr>
                      <w:rFonts w:eastAsia="Times New Roman" w:cstheme="minorHAnsi"/>
                      <w:bCs/>
                      <w:sz w:val="18"/>
                      <w:szCs w:val="18"/>
                    </w:rPr>
                  </w:pPr>
                  <w:r w:rsidRPr="009032A4">
                    <w:rPr>
                      <w:rFonts w:eastAsia="Times New Roman" w:cstheme="minorHAnsi"/>
                      <w:bCs/>
                      <w:sz w:val="18"/>
                      <w:szCs w:val="18"/>
                    </w:rPr>
                    <w:t>Interventions made during reviews with details documented</w:t>
                  </w:r>
                  <w:r w:rsidR="00D83850">
                    <w:rPr>
                      <w:rFonts w:eastAsia="Times New Roman" w:cstheme="minorHAnsi"/>
                      <w:bCs/>
                      <w:sz w:val="18"/>
                      <w:szCs w:val="18"/>
                    </w:rPr>
                    <w:t xml:space="preserve"> (including switches to licensed products; dose changes)</w:t>
                  </w:r>
                </w:p>
              </w:tc>
              <w:tc>
                <w:tcPr>
                  <w:tcW w:w="535" w:type="pct"/>
                  <w:tcBorders>
                    <w:top w:val="single" w:sz="4" w:space="0" w:color="808080"/>
                    <w:left w:val="single" w:sz="4" w:space="0" w:color="808080"/>
                    <w:bottom w:val="single" w:sz="4" w:space="0" w:color="808080"/>
                    <w:right w:val="single" w:sz="4" w:space="0" w:color="808080"/>
                  </w:tcBorders>
                  <w:shd w:val="clear" w:color="auto" w:fill="auto"/>
                  <w:vAlign w:val="center"/>
                </w:tcPr>
                <w:p w:rsidR="005B37F1" w:rsidRPr="009032A4" w:rsidRDefault="005B37F1" w:rsidP="005B37F1">
                  <w:pPr>
                    <w:spacing w:after="0"/>
                    <w:rPr>
                      <w:rFonts w:eastAsia="Times New Roman" w:cstheme="minorHAnsi"/>
                      <w:bCs/>
                      <w:i/>
                      <w:sz w:val="18"/>
                      <w:szCs w:val="18"/>
                    </w:rPr>
                  </w:pPr>
                  <w:r w:rsidRPr="009032A4">
                    <w:rPr>
                      <w:rFonts w:eastAsia="Times New Roman" w:cstheme="minorHAnsi"/>
                      <w:bCs/>
                      <w:sz w:val="18"/>
                      <w:szCs w:val="18"/>
                    </w:rPr>
                    <w:t>100%</w:t>
                  </w:r>
                </w:p>
              </w:tc>
              <w:tc>
                <w:tcPr>
                  <w:tcW w:w="866" w:type="pct"/>
                  <w:tcBorders>
                    <w:top w:val="single" w:sz="4" w:space="0" w:color="808080"/>
                    <w:left w:val="single" w:sz="4" w:space="0" w:color="808080"/>
                    <w:bottom w:val="single" w:sz="4" w:space="0" w:color="808080"/>
                    <w:right w:val="single" w:sz="4" w:space="0" w:color="808080"/>
                  </w:tcBorders>
                  <w:shd w:val="clear" w:color="auto" w:fill="auto"/>
                  <w:vAlign w:val="center"/>
                </w:tcPr>
                <w:p w:rsidR="005B37F1" w:rsidRPr="009032A4" w:rsidRDefault="005B37F1" w:rsidP="005B37F1">
                  <w:pPr>
                    <w:spacing w:after="0"/>
                    <w:rPr>
                      <w:rFonts w:eastAsia="Times New Roman" w:cstheme="minorHAnsi"/>
                      <w:bCs/>
                      <w:sz w:val="18"/>
                      <w:szCs w:val="18"/>
                    </w:rPr>
                  </w:pPr>
                  <w:r w:rsidRPr="009032A4">
                    <w:rPr>
                      <w:rFonts w:eastAsia="Times New Roman" w:cstheme="minorHAnsi"/>
                      <w:bCs/>
                      <w:sz w:val="18"/>
                      <w:szCs w:val="18"/>
                    </w:rPr>
                    <w:t>Report by provider of the types of interventions</w:t>
                  </w:r>
                </w:p>
              </w:tc>
              <w:tc>
                <w:tcPr>
                  <w:tcW w:w="578" w:type="pct"/>
                  <w:tcBorders>
                    <w:top w:val="single" w:sz="4" w:space="0" w:color="808080"/>
                    <w:left w:val="single" w:sz="4" w:space="0" w:color="808080"/>
                    <w:bottom w:val="single" w:sz="4" w:space="0" w:color="808080"/>
                    <w:right w:val="single" w:sz="4" w:space="0" w:color="808080"/>
                  </w:tcBorders>
                  <w:vAlign w:val="center"/>
                </w:tcPr>
                <w:p w:rsidR="005B37F1" w:rsidRPr="009032A4" w:rsidRDefault="005B37F1" w:rsidP="005B37F1">
                  <w:pPr>
                    <w:spacing w:after="0"/>
                    <w:rPr>
                      <w:rFonts w:eastAsia="Times New Roman" w:cstheme="minorHAnsi"/>
                      <w:bCs/>
                      <w:sz w:val="18"/>
                      <w:szCs w:val="18"/>
                    </w:rPr>
                  </w:pPr>
                  <w:r w:rsidRPr="009032A4">
                    <w:rPr>
                      <w:rFonts w:eastAsia="Times New Roman" w:cstheme="minorHAnsi"/>
                      <w:bCs/>
                      <w:sz w:val="18"/>
                      <w:szCs w:val="18"/>
                    </w:rPr>
                    <w:t>Quarterly</w:t>
                  </w:r>
                </w:p>
              </w:tc>
              <w:tc>
                <w:tcPr>
                  <w:tcW w:w="723" w:type="pct"/>
                  <w:tcBorders>
                    <w:top w:val="single" w:sz="4" w:space="0" w:color="808080"/>
                    <w:left w:val="single" w:sz="4" w:space="0" w:color="808080"/>
                    <w:bottom w:val="single" w:sz="4" w:space="0" w:color="808080"/>
                    <w:right w:val="single" w:sz="4" w:space="0" w:color="808080"/>
                  </w:tcBorders>
                  <w:vAlign w:val="center"/>
                </w:tcPr>
                <w:p w:rsidR="005B37F1" w:rsidRPr="009032A4" w:rsidRDefault="005B37F1" w:rsidP="005B37F1">
                  <w:pPr>
                    <w:spacing w:after="0"/>
                    <w:rPr>
                      <w:rFonts w:eastAsia="Times New Roman" w:cstheme="minorHAnsi"/>
                      <w:bCs/>
                      <w:sz w:val="18"/>
                      <w:szCs w:val="18"/>
                    </w:rPr>
                  </w:pPr>
                  <w:r w:rsidRPr="009032A4">
                    <w:rPr>
                      <w:rFonts w:eastAsia="Times New Roman" w:cstheme="minorHAnsi"/>
                      <w:bCs/>
                      <w:sz w:val="18"/>
                      <w:szCs w:val="18"/>
                    </w:rPr>
                    <w:t>As per Contract Clause 28 of the NHS Standard Contract</w:t>
                  </w:r>
                </w:p>
              </w:tc>
              <w:tc>
                <w:tcPr>
                  <w:tcW w:w="867" w:type="pct"/>
                  <w:tcBorders>
                    <w:top w:val="single" w:sz="4" w:space="0" w:color="808080"/>
                    <w:left w:val="single" w:sz="4" w:space="0" w:color="808080"/>
                    <w:bottom w:val="single" w:sz="4" w:space="0" w:color="808080"/>
                    <w:right w:val="single" w:sz="4" w:space="0" w:color="808080"/>
                  </w:tcBorders>
                  <w:vAlign w:val="center"/>
                </w:tcPr>
                <w:p w:rsidR="005B37F1" w:rsidRPr="009032A4" w:rsidRDefault="00D83850" w:rsidP="005B37F1">
                  <w:pPr>
                    <w:spacing w:after="0"/>
                    <w:rPr>
                      <w:rFonts w:eastAsia="Times New Roman" w:cstheme="minorHAnsi"/>
                      <w:bCs/>
                      <w:sz w:val="18"/>
                      <w:szCs w:val="18"/>
                    </w:rPr>
                  </w:pPr>
                  <w:r>
                    <w:rPr>
                      <w:rFonts w:eastAsia="Times New Roman" w:cstheme="minorHAnsi"/>
                      <w:bCs/>
                      <w:sz w:val="18"/>
                      <w:szCs w:val="18"/>
                    </w:rPr>
                    <w:t>To be provided by specialist pharmacy team</w:t>
                  </w:r>
                </w:p>
              </w:tc>
            </w:tr>
            <w:tr w:rsidR="005B37F1" w:rsidRPr="006B4740" w:rsidTr="005B37F1">
              <w:trPr>
                <w:trHeight w:val="1521"/>
              </w:trPr>
              <w:tc>
                <w:tcPr>
                  <w:tcW w:w="356" w:type="pct"/>
                  <w:tcBorders>
                    <w:top w:val="single" w:sz="4" w:space="0" w:color="808080"/>
                    <w:left w:val="single" w:sz="4" w:space="0" w:color="808080"/>
                    <w:bottom w:val="single" w:sz="4" w:space="0" w:color="808080"/>
                    <w:right w:val="single" w:sz="4" w:space="0" w:color="808080"/>
                  </w:tcBorders>
                  <w:vAlign w:val="center"/>
                </w:tcPr>
                <w:p w:rsidR="005B37F1" w:rsidRPr="009032A4" w:rsidRDefault="005B37F1" w:rsidP="005B37F1">
                  <w:pPr>
                    <w:spacing w:after="0"/>
                    <w:rPr>
                      <w:rFonts w:eastAsia="Times New Roman" w:cstheme="minorHAnsi"/>
                      <w:bCs/>
                      <w:sz w:val="18"/>
                      <w:szCs w:val="18"/>
                    </w:rPr>
                  </w:pPr>
                  <w:r w:rsidRPr="009032A4">
                    <w:rPr>
                      <w:rFonts w:eastAsia="Times New Roman" w:cstheme="minorHAnsi"/>
                      <w:bCs/>
                      <w:sz w:val="18"/>
                      <w:szCs w:val="18"/>
                    </w:rPr>
                    <w:t>5.1.2</w:t>
                  </w:r>
                </w:p>
              </w:tc>
              <w:tc>
                <w:tcPr>
                  <w:tcW w:w="1074" w:type="pct"/>
                  <w:tcBorders>
                    <w:top w:val="single" w:sz="4" w:space="0" w:color="808080"/>
                    <w:left w:val="single" w:sz="4" w:space="0" w:color="808080"/>
                    <w:bottom w:val="single" w:sz="4" w:space="0" w:color="808080"/>
                    <w:right w:val="single" w:sz="4" w:space="0" w:color="808080"/>
                  </w:tcBorders>
                  <w:shd w:val="clear" w:color="auto" w:fill="auto"/>
                  <w:vAlign w:val="center"/>
                </w:tcPr>
                <w:p w:rsidR="005B37F1" w:rsidRPr="009032A4" w:rsidRDefault="00D83850" w:rsidP="005B37F1">
                  <w:pPr>
                    <w:spacing w:after="0"/>
                    <w:rPr>
                      <w:rFonts w:eastAsia="Times New Roman" w:cstheme="minorHAnsi"/>
                      <w:bCs/>
                      <w:sz w:val="18"/>
                      <w:szCs w:val="18"/>
                    </w:rPr>
                  </w:pPr>
                  <w:r>
                    <w:rPr>
                      <w:rFonts w:eastAsia="Times New Roman" w:cstheme="minorHAnsi"/>
                      <w:bCs/>
                      <w:sz w:val="18"/>
                      <w:szCs w:val="18"/>
                    </w:rPr>
                    <w:t>Develop and undertake a</w:t>
                  </w:r>
                  <w:r w:rsidR="005B37F1" w:rsidRPr="009032A4">
                    <w:rPr>
                      <w:rFonts w:eastAsia="Times New Roman" w:cstheme="minorHAnsi"/>
                      <w:bCs/>
                      <w:sz w:val="18"/>
                      <w:szCs w:val="18"/>
                    </w:rPr>
                    <w:t xml:space="preserve"> patient satisfaction survey 3 months after all patients have been transferred to the new service</w:t>
                  </w:r>
                  <w:r w:rsidR="00013D11">
                    <w:rPr>
                      <w:rFonts w:eastAsia="Times New Roman" w:cstheme="minorHAnsi"/>
                      <w:bCs/>
                      <w:sz w:val="18"/>
                      <w:szCs w:val="18"/>
                    </w:rPr>
                    <w:t xml:space="preserve">. Any areas of concern </w:t>
                  </w:r>
                  <w:r w:rsidR="00475BE8">
                    <w:rPr>
                      <w:rFonts w:eastAsia="Times New Roman" w:cstheme="minorHAnsi"/>
                      <w:bCs/>
                      <w:sz w:val="18"/>
                      <w:szCs w:val="18"/>
                    </w:rPr>
                    <w:t xml:space="preserve">or identified for improvement </w:t>
                  </w:r>
                  <w:r w:rsidR="00013D11">
                    <w:rPr>
                      <w:rFonts w:eastAsia="Times New Roman" w:cstheme="minorHAnsi"/>
                      <w:bCs/>
                      <w:sz w:val="18"/>
                      <w:szCs w:val="18"/>
                    </w:rPr>
                    <w:t>will have a clear and comprehensive action plan.</w:t>
                  </w:r>
                </w:p>
              </w:tc>
              <w:tc>
                <w:tcPr>
                  <w:tcW w:w="535" w:type="pct"/>
                  <w:tcBorders>
                    <w:top w:val="single" w:sz="4" w:space="0" w:color="808080"/>
                    <w:left w:val="single" w:sz="4" w:space="0" w:color="808080"/>
                    <w:bottom w:val="single" w:sz="4" w:space="0" w:color="808080"/>
                    <w:right w:val="single" w:sz="4" w:space="0" w:color="808080"/>
                  </w:tcBorders>
                  <w:shd w:val="clear" w:color="auto" w:fill="auto"/>
                  <w:vAlign w:val="center"/>
                </w:tcPr>
                <w:p w:rsidR="005B37F1" w:rsidRPr="009032A4" w:rsidRDefault="00D83850" w:rsidP="005B37F1">
                  <w:pPr>
                    <w:spacing w:after="0"/>
                    <w:ind w:left="32"/>
                    <w:rPr>
                      <w:rFonts w:eastAsia="Times New Roman" w:cstheme="minorHAnsi"/>
                      <w:bCs/>
                      <w:sz w:val="18"/>
                      <w:szCs w:val="18"/>
                    </w:rPr>
                  </w:pPr>
                  <w:r>
                    <w:rPr>
                      <w:rFonts w:eastAsia="Times New Roman" w:cstheme="minorHAnsi"/>
                      <w:bCs/>
                      <w:sz w:val="18"/>
                      <w:szCs w:val="18"/>
                    </w:rPr>
                    <w:t>100%</w:t>
                  </w:r>
                </w:p>
              </w:tc>
              <w:tc>
                <w:tcPr>
                  <w:tcW w:w="866" w:type="pct"/>
                  <w:tcBorders>
                    <w:top w:val="single" w:sz="4" w:space="0" w:color="808080"/>
                    <w:left w:val="single" w:sz="4" w:space="0" w:color="808080"/>
                    <w:bottom w:val="single" w:sz="4" w:space="0" w:color="808080"/>
                    <w:right w:val="single" w:sz="4" w:space="0" w:color="808080"/>
                  </w:tcBorders>
                  <w:shd w:val="clear" w:color="auto" w:fill="auto"/>
                  <w:vAlign w:val="center"/>
                </w:tcPr>
                <w:p w:rsidR="005B37F1" w:rsidRPr="009032A4" w:rsidRDefault="005B37F1" w:rsidP="005B37F1">
                  <w:pPr>
                    <w:spacing w:after="0"/>
                    <w:rPr>
                      <w:rFonts w:eastAsia="Times New Roman" w:cstheme="minorHAnsi"/>
                      <w:bCs/>
                      <w:sz w:val="18"/>
                      <w:szCs w:val="18"/>
                    </w:rPr>
                  </w:pPr>
                  <w:r w:rsidRPr="009032A4">
                    <w:rPr>
                      <w:rFonts w:eastAsia="Times New Roman" w:cstheme="minorHAnsi"/>
                      <w:bCs/>
                      <w:sz w:val="18"/>
                      <w:szCs w:val="18"/>
                    </w:rPr>
                    <w:t>Patient Satisfaction Report</w:t>
                  </w:r>
                </w:p>
              </w:tc>
              <w:tc>
                <w:tcPr>
                  <w:tcW w:w="578" w:type="pct"/>
                  <w:tcBorders>
                    <w:top w:val="single" w:sz="4" w:space="0" w:color="808080"/>
                    <w:left w:val="single" w:sz="4" w:space="0" w:color="808080"/>
                    <w:bottom w:val="single" w:sz="4" w:space="0" w:color="808080"/>
                    <w:right w:val="single" w:sz="4" w:space="0" w:color="808080"/>
                  </w:tcBorders>
                  <w:vAlign w:val="center"/>
                </w:tcPr>
                <w:p w:rsidR="005B37F1" w:rsidRPr="009032A4" w:rsidRDefault="00D83850" w:rsidP="005B37F1">
                  <w:pPr>
                    <w:spacing w:after="0"/>
                    <w:rPr>
                      <w:rFonts w:eastAsia="Times New Roman" w:cstheme="minorHAnsi"/>
                      <w:bCs/>
                      <w:sz w:val="18"/>
                      <w:szCs w:val="18"/>
                    </w:rPr>
                  </w:pPr>
                  <w:r>
                    <w:rPr>
                      <w:rFonts w:eastAsia="Times New Roman" w:cstheme="minorHAnsi"/>
                      <w:bCs/>
                      <w:sz w:val="18"/>
                      <w:szCs w:val="18"/>
                    </w:rPr>
                    <w:t>Quarter 1 and Annual thereafter</w:t>
                  </w:r>
                </w:p>
              </w:tc>
              <w:tc>
                <w:tcPr>
                  <w:tcW w:w="723" w:type="pct"/>
                  <w:tcBorders>
                    <w:top w:val="single" w:sz="4" w:space="0" w:color="808080"/>
                    <w:left w:val="single" w:sz="4" w:space="0" w:color="808080"/>
                    <w:bottom w:val="single" w:sz="4" w:space="0" w:color="808080"/>
                    <w:right w:val="single" w:sz="4" w:space="0" w:color="808080"/>
                  </w:tcBorders>
                  <w:vAlign w:val="center"/>
                </w:tcPr>
                <w:p w:rsidR="005B37F1" w:rsidRPr="009032A4" w:rsidRDefault="005B37F1" w:rsidP="005B37F1">
                  <w:pPr>
                    <w:spacing w:after="0"/>
                    <w:rPr>
                      <w:rFonts w:eastAsia="Times New Roman" w:cstheme="minorHAnsi"/>
                      <w:bCs/>
                      <w:sz w:val="18"/>
                      <w:szCs w:val="18"/>
                    </w:rPr>
                  </w:pPr>
                  <w:r w:rsidRPr="009032A4">
                    <w:rPr>
                      <w:rFonts w:eastAsia="Times New Roman" w:cstheme="minorHAnsi"/>
                      <w:bCs/>
                      <w:sz w:val="18"/>
                      <w:szCs w:val="18"/>
                    </w:rPr>
                    <w:t>As per Contract Clause 28 of the NHS Standard Contract</w:t>
                  </w:r>
                </w:p>
              </w:tc>
              <w:tc>
                <w:tcPr>
                  <w:tcW w:w="867" w:type="pct"/>
                  <w:tcBorders>
                    <w:top w:val="single" w:sz="4" w:space="0" w:color="808080"/>
                    <w:left w:val="single" w:sz="4" w:space="0" w:color="808080"/>
                    <w:bottom w:val="single" w:sz="4" w:space="0" w:color="808080"/>
                    <w:right w:val="single" w:sz="4" w:space="0" w:color="808080"/>
                  </w:tcBorders>
                  <w:vAlign w:val="center"/>
                </w:tcPr>
                <w:p w:rsidR="005B37F1" w:rsidRDefault="00D83850" w:rsidP="005B37F1">
                  <w:pPr>
                    <w:spacing w:after="0"/>
                    <w:rPr>
                      <w:rFonts w:eastAsia="Times New Roman" w:cstheme="minorHAnsi"/>
                      <w:bCs/>
                      <w:sz w:val="18"/>
                      <w:szCs w:val="18"/>
                    </w:rPr>
                  </w:pPr>
                  <w:r>
                    <w:rPr>
                      <w:rFonts w:eastAsia="Times New Roman" w:cstheme="minorHAnsi"/>
                      <w:bCs/>
                      <w:sz w:val="18"/>
                      <w:szCs w:val="18"/>
                    </w:rPr>
                    <w:t>To be provided by specialist pharmacy team</w:t>
                  </w:r>
                </w:p>
                <w:p w:rsidR="00F512BC" w:rsidRDefault="00F512BC" w:rsidP="005B37F1">
                  <w:pPr>
                    <w:spacing w:after="0"/>
                    <w:rPr>
                      <w:rFonts w:eastAsia="Times New Roman" w:cstheme="minorHAnsi"/>
                      <w:bCs/>
                      <w:sz w:val="18"/>
                      <w:szCs w:val="18"/>
                    </w:rPr>
                  </w:pPr>
                </w:p>
                <w:p w:rsidR="00F512BC" w:rsidRPr="009032A4" w:rsidRDefault="00F512BC" w:rsidP="005B37F1">
                  <w:pPr>
                    <w:spacing w:after="0"/>
                    <w:rPr>
                      <w:rFonts w:eastAsia="Times New Roman" w:cstheme="minorHAnsi"/>
                      <w:bCs/>
                      <w:sz w:val="18"/>
                      <w:szCs w:val="18"/>
                    </w:rPr>
                  </w:pPr>
                </w:p>
              </w:tc>
            </w:tr>
          </w:tbl>
          <w:p w:rsidR="005B37F1" w:rsidRPr="00B45A4D" w:rsidRDefault="005B37F1" w:rsidP="005B37F1">
            <w:pPr>
              <w:spacing w:after="0"/>
              <w:jc w:val="both"/>
              <w:rPr>
                <w:rFonts w:cs="Arial"/>
                <w:sz w:val="22"/>
                <w:szCs w:val="22"/>
              </w:rPr>
            </w:pPr>
          </w:p>
        </w:tc>
      </w:tr>
      <w:tr w:rsidR="005B37F1" w:rsidRPr="005B37F1" w:rsidTr="005B37F1">
        <w:tc>
          <w:tcPr>
            <w:tcW w:w="10065" w:type="dxa"/>
            <w:shd w:val="clear" w:color="auto" w:fill="404040" w:themeFill="text1" w:themeFillTint="BF"/>
          </w:tcPr>
          <w:p w:rsidR="005B37F1" w:rsidRPr="005B37F1" w:rsidRDefault="005B37F1" w:rsidP="004165CB">
            <w:pPr>
              <w:spacing w:after="0"/>
              <w:rPr>
                <w:rFonts w:cstheme="minorHAnsi"/>
                <w:b/>
                <w:color w:val="F79646" w:themeColor="accent6"/>
                <w:sz w:val="22"/>
                <w:szCs w:val="22"/>
              </w:rPr>
            </w:pPr>
            <w:r w:rsidRPr="005B37F1">
              <w:rPr>
                <w:rFonts w:cstheme="minorHAnsi"/>
                <w:b/>
                <w:color w:val="F79646" w:themeColor="accent6"/>
                <w:sz w:val="22"/>
                <w:szCs w:val="22"/>
              </w:rPr>
              <w:t>6. Applicable Performance Requirements</w:t>
            </w:r>
          </w:p>
        </w:tc>
      </w:tr>
      <w:tr w:rsidR="005B37F1" w:rsidRPr="005B37F1" w:rsidTr="005B37F1">
        <w:tc>
          <w:tcPr>
            <w:tcW w:w="10065" w:type="dxa"/>
            <w:shd w:val="clear" w:color="auto" w:fill="auto"/>
          </w:tcPr>
          <w:p w:rsidR="005B37F1" w:rsidRPr="005B37F1" w:rsidRDefault="005B37F1" w:rsidP="005B37F1">
            <w:pPr>
              <w:spacing w:after="0"/>
              <w:ind w:left="743" w:hanging="743"/>
              <w:rPr>
                <w:rFonts w:cstheme="minorHAnsi"/>
                <w:b/>
                <w:color w:val="000000" w:themeColor="text1"/>
                <w:sz w:val="22"/>
                <w:szCs w:val="22"/>
              </w:rPr>
            </w:pPr>
            <w:r w:rsidRPr="005B37F1">
              <w:rPr>
                <w:rFonts w:cstheme="minorHAnsi"/>
                <w:b/>
                <w:color w:val="000000" w:themeColor="text1"/>
                <w:sz w:val="22"/>
                <w:szCs w:val="22"/>
              </w:rPr>
              <w:t>6.1         Applicable Performance Requirements</w:t>
            </w:r>
          </w:p>
          <w:p w:rsidR="005B37F1" w:rsidRDefault="005B37F1" w:rsidP="004165CB">
            <w:pPr>
              <w:spacing w:after="0"/>
              <w:rPr>
                <w:rFonts w:cstheme="minorHAnsi"/>
                <w:b/>
                <w:color w:val="000000" w:themeColor="text1"/>
                <w:sz w:val="22"/>
                <w:szCs w:val="22"/>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698"/>
              <w:gridCol w:w="2107"/>
              <w:gridCol w:w="1191"/>
              <w:gridCol w:w="1701"/>
              <w:gridCol w:w="991"/>
              <w:gridCol w:w="1419"/>
              <w:gridCol w:w="1703"/>
            </w:tblGrid>
            <w:tr w:rsidR="005B37F1" w:rsidRPr="00EF6E3A" w:rsidTr="00D83850">
              <w:trPr>
                <w:trHeight w:val="431"/>
                <w:tblHeader/>
              </w:trPr>
              <w:tc>
                <w:tcPr>
                  <w:tcW w:w="356" w:type="pct"/>
                  <w:tcBorders>
                    <w:top w:val="single" w:sz="4" w:space="0" w:color="808080"/>
                    <w:left w:val="single" w:sz="4" w:space="0" w:color="808080"/>
                    <w:bottom w:val="single" w:sz="4" w:space="0" w:color="808080"/>
                    <w:right w:val="single" w:sz="4" w:space="0" w:color="808080"/>
                  </w:tcBorders>
                  <w:shd w:val="clear" w:color="auto" w:fill="595959"/>
                </w:tcPr>
                <w:p w:rsidR="005B37F1" w:rsidRPr="00EF6E3A" w:rsidRDefault="005B37F1" w:rsidP="005B37F1">
                  <w:pPr>
                    <w:spacing w:after="0"/>
                    <w:rPr>
                      <w:rFonts w:eastAsia="Times New Roman" w:cs="Arial"/>
                      <w:bCs/>
                      <w:i/>
                      <w:color w:val="FFFFFF"/>
                      <w:sz w:val="18"/>
                      <w:szCs w:val="18"/>
                    </w:rPr>
                  </w:pPr>
                </w:p>
              </w:tc>
              <w:tc>
                <w:tcPr>
                  <w:tcW w:w="1074" w:type="pct"/>
                  <w:tcBorders>
                    <w:top w:val="single" w:sz="4" w:space="0" w:color="808080"/>
                    <w:left w:val="single" w:sz="4" w:space="0" w:color="808080"/>
                    <w:bottom w:val="single" w:sz="4" w:space="0" w:color="808080"/>
                    <w:right w:val="single" w:sz="4" w:space="0" w:color="808080"/>
                  </w:tcBorders>
                  <w:shd w:val="clear" w:color="auto" w:fill="595959"/>
                </w:tcPr>
                <w:p w:rsidR="005B37F1" w:rsidRPr="00EF6E3A" w:rsidRDefault="005B37F1" w:rsidP="005B37F1">
                  <w:pPr>
                    <w:spacing w:after="0"/>
                    <w:rPr>
                      <w:rFonts w:eastAsia="Times New Roman" w:cs="Arial"/>
                      <w:bCs/>
                      <w:i/>
                      <w:color w:val="FFFFFF"/>
                      <w:sz w:val="18"/>
                      <w:szCs w:val="18"/>
                    </w:rPr>
                  </w:pPr>
                  <w:r w:rsidRPr="00EF6E3A">
                    <w:rPr>
                      <w:rFonts w:eastAsia="Times New Roman" w:cs="Arial"/>
                      <w:bCs/>
                      <w:i/>
                      <w:color w:val="FFFFFF"/>
                      <w:sz w:val="18"/>
                      <w:szCs w:val="18"/>
                    </w:rPr>
                    <w:t>Quality and Performance Indicators</w:t>
                  </w:r>
                </w:p>
              </w:tc>
              <w:tc>
                <w:tcPr>
                  <w:tcW w:w="607" w:type="pct"/>
                  <w:tcBorders>
                    <w:top w:val="single" w:sz="4" w:space="0" w:color="808080"/>
                    <w:left w:val="single" w:sz="4" w:space="0" w:color="808080"/>
                    <w:bottom w:val="single" w:sz="4" w:space="0" w:color="808080"/>
                    <w:right w:val="single" w:sz="4" w:space="0" w:color="808080"/>
                  </w:tcBorders>
                  <w:shd w:val="clear" w:color="auto" w:fill="595959"/>
                </w:tcPr>
                <w:p w:rsidR="005B37F1" w:rsidRPr="00EF6E3A" w:rsidRDefault="005B37F1" w:rsidP="005B37F1">
                  <w:pPr>
                    <w:spacing w:after="0"/>
                    <w:rPr>
                      <w:rFonts w:eastAsia="Times New Roman" w:cs="Arial"/>
                      <w:bCs/>
                      <w:i/>
                      <w:color w:val="FFFFFF"/>
                      <w:sz w:val="18"/>
                      <w:szCs w:val="18"/>
                    </w:rPr>
                  </w:pPr>
                  <w:r w:rsidRPr="00EF6E3A">
                    <w:rPr>
                      <w:rFonts w:eastAsia="Times New Roman" w:cs="Arial"/>
                      <w:bCs/>
                      <w:i/>
                      <w:color w:val="FFFFFF"/>
                      <w:sz w:val="18"/>
                      <w:szCs w:val="18"/>
                    </w:rPr>
                    <w:t>Threshold</w:t>
                  </w:r>
                </w:p>
              </w:tc>
              <w:tc>
                <w:tcPr>
                  <w:tcW w:w="867" w:type="pct"/>
                  <w:tcBorders>
                    <w:top w:val="single" w:sz="4" w:space="0" w:color="808080"/>
                    <w:left w:val="single" w:sz="4" w:space="0" w:color="808080"/>
                    <w:bottom w:val="single" w:sz="4" w:space="0" w:color="808080"/>
                    <w:right w:val="single" w:sz="4" w:space="0" w:color="808080"/>
                  </w:tcBorders>
                  <w:shd w:val="clear" w:color="auto" w:fill="595959"/>
                </w:tcPr>
                <w:p w:rsidR="005B37F1" w:rsidRPr="00EF6E3A" w:rsidRDefault="005B37F1" w:rsidP="005B37F1">
                  <w:pPr>
                    <w:spacing w:after="0"/>
                    <w:rPr>
                      <w:rFonts w:eastAsia="Times New Roman" w:cs="Arial"/>
                      <w:bCs/>
                      <w:i/>
                      <w:color w:val="FFFFFF"/>
                      <w:sz w:val="18"/>
                      <w:szCs w:val="18"/>
                    </w:rPr>
                  </w:pPr>
                  <w:r w:rsidRPr="00EF6E3A">
                    <w:rPr>
                      <w:rFonts w:eastAsia="Times New Roman" w:cs="Arial"/>
                      <w:bCs/>
                      <w:i/>
                      <w:color w:val="FFFFFF"/>
                      <w:sz w:val="18"/>
                      <w:szCs w:val="18"/>
                    </w:rPr>
                    <w:t>Method of Measurement</w:t>
                  </w:r>
                </w:p>
              </w:tc>
              <w:tc>
                <w:tcPr>
                  <w:tcW w:w="505" w:type="pct"/>
                  <w:tcBorders>
                    <w:top w:val="single" w:sz="4" w:space="0" w:color="808080"/>
                    <w:left w:val="single" w:sz="4" w:space="0" w:color="808080"/>
                    <w:bottom w:val="single" w:sz="4" w:space="0" w:color="808080"/>
                    <w:right w:val="single" w:sz="4" w:space="0" w:color="808080"/>
                  </w:tcBorders>
                  <w:shd w:val="clear" w:color="auto" w:fill="595959"/>
                  <w:vAlign w:val="center"/>
                </w:tcPr>
                <w:p w:rsidR="005B37F1" w:rsidRPr="00EF6E3A" w:rsidRDefault="005B37F1" w:rsidP="005B37F1">
                  <w:pPr>
                    <w:spacing w:after="0"/>
                    <w:rPr>
                      <w:rFonts w:eastAsia="Times New Roman" w:cs="Arial"/>
                      <w:bCs/>
                      <w:i/>
                      <w:color w:val="FFFFFF"/>
                      <w:sz w:val="18"/>
                      <w:szCs w:val="18"/>
                    </w:rPr>
                  </w:pPr>
                  <w:r w:rsidRPr="00EF6E3A">
                    <w:rPr>
                      <w:rFonts w:eastAsia="Times New Roman" w:cs="Arial"/>
                      <w:bCs/>
                      <w:i/>
                      <w:color w:val="FFFFFF"/>
                      <w:sz w:val="18"/>
                      <w:szCs w:val="18"/>
                    </w:rPr>
                    <w:t>Frequency</w:t>
                  </w:r>
                </w:p>
              </w:tc>
              <w:tc>
                <w:tcPr>
                  <w:tcW w:w="723" w:type="pct"/>
                  <w:tcBorders>
                    <w:top w:val="single" w:sz="4" w:space="0" w:color="808080"/>
                    <w:left w:val="single" w:sz="4" w:space="0" w:color="808080"/>
                    <w:bottom w:val="single" w:sz="4" w:space="0" w:color="808080"/>
                    <w:right w:val="single" w:sz="4" w:space="0" w:color="808080"/>
                  </w:tcBorders>
                  <w:shd w:val="clear" w:color="auto" w:fill="595959"/>
                </w:tcPr>
                <w:p w:rsidR="005B37F1" w:rsidRPr="00EF6E3A" w:rsidRDefault="005B37F1" w:rsidP="005B37F1">
                  <w:pPr>
                    <w:spacing w:after="0"/>
                    <w:rPr>
                      <w:rFonts w:eastAsia="Times New Roman" w:cs="Arial"/>
                      <w:bCs/>
                      <w:i/>
                      <w:color w:val="FFFFFF"/>
                      <w:sz w:val="18"/>
                      <w:szCs w:val="18"/>
                    </w:rPr>
                  </w:pPr>
                  <w:r w:rsidRPr="00EF6E3A">
                    <w:rPr>
                      <w:rFonts w:eastAsia="Times New Roman" w:cs="Arial"/>
                      <w:bCs/>
                      <w:i/>
                      <w:color w:val="FFFFFF"/>
                      <w:sz w:val="18"/>
                      <w:szCs w:val="18"/>
                    </w:rPr>
                    <w:t>Consequence of Breach</w:t>
                  </w:r>
                </w:p>
              </w:tc>
              <w:tc>
                <w:tcPr>
                  <w:tcW w:w="868" w:type="pct"/>
                  <w:tcBorders>
                    <w:top w:val="single" w:sz="4" w:space="0" w:color="808080"/>
                    <w:left w:val="single" w:sz="4" w:space="0" w:color="808080"/>
                    <w:bottom w:val="single" w:sz="4" w:space="0" w:color="808080"/>
                    <w:right w:val="single" w:sz="4" w:space="0" w:color="808080"/>
                  </w:tcBorders>
                  <w:shd w:val="clear" w:color="auto" w:fill="595959"/>
                </w:tcPr>
                <w:p w:rsidR="005B37F1" w:rsidRPr="00EF6E3A" w:rsidRDefault="005B37F1" w:rsidP="005B37F1">
                  <w:pPr>
                    <w:spacing w:after="0"/>
                    <w:rPr>
                      <w:rFonts w:eastAsia="Times New Roman" w:cs="Arial"/>
                      <w:bCs/>
                      <w:i/>
                      <w:color w:val="FFFFFF"/>
                      <w:sz w:val="18"/>
                      <w:szCs w:val="18"/>
                    </w:rPr>
                  </w:pPr>
                  <w:r w:rsidRPr="00EF6E3A">
                    <w:rPr>
                      <w:rFonts w:eastAsia="Times New Roman" w:cs="Arial"/>
                      <w:bCs/>
                      <w:i/>
                      <w:color w:val="FFFFFF"/>
                      <w:sz w:val="18"/>
                      <w:szCs w:val="18"/>
                    </w:rPr>
                    <w:t>Information Source</w:t>
                  </w:r>
                </w:p>
              </w:tc>
            </w:tr>
            <w:tr w:rsidR="005B37F1" w:rsidRPr="00EF6E3A" w:rsidTr="00D83850">
              <w:trPr>
                <w:trHeight w:val="431"/>
              </w:trPr>
              <w:tc>
                <w:tcPr>
                  <w:tcW w:w="356" w:type="pct"/>
                  <w:tcBorders>
                    <w:top w:val="single" w:sz="4" w:space="0" w:color="808080"/>
                    <w:left w:val="single" w:sz="4" w:space="0" w:color="808080"/>
                    <w:bottom w:val="single" w:sz="4" w:space="0" w:color="808080"/>
                    <w:right w:val="single" w:sz="4" w:space="0" w:color="808080"/>
                  </w:tcBorders>
                  <w:vAlign w:val="center"/>
                </w:tcPr>
                <w:p w:rsidR="005B37F1" w:rsidRPr="00EF6E3A" w:rsidRDefault="005B37F1" w:rsidP="005B37F1">
                  <w:pPr>
                    <w:spacing w:after="0"/>
                    <w:rPr>
                      <w:rFonts w:eastAsia="Times New Roman" w:cstheme="minorHAnsi"/>
                      <w:bCs/>
                      <w:sz w:val="18"/>
                      <w:szCs w:val="18"/>
                    </w:rPr>
                  </w:pPr>
                  <w:r w:rsidRPr="00EF6E3A">
                    <w:rPr>
                      <w:rFonts w:eastAsia="Times New Roman" w:cstheme="minorHAnsi"/>
                      <w:bCs/>
                      <w:sz w:val="18"/>
                      <w:szCs w:val="18"/>
                    </w:rPr>
                    <w:t>6.1.1</w:t>
                  </w:r>
                </w:p>
              </w:tc>
              <w:tc>
                <w:tcPr>
                  <w:tcW w:w="1074" w:type="pct"/>
                  <w:tcBorders>
                    <w:top w:val="single" w:sz="4" w:space="0" w:color="808080"/>
                    <w:left w:val="single" w:sz="4" w:space="0" w:color="808080"/>
                    <w:bottom w:val="single" w:sz="4" w:space="0" w:color="808080"/>
                    <w:right w:val="single" w:sz="4" w:space="0" w:color="808080"/>
                  </w:tcBorders>
                  <w:shd w:val="clear" w:color="auto" w:fill="auto"/>
                  <w:vAlign w:val="center"/>
                </w:tcPr>
                <w:p w:rsidR="005B37F1" w:rsidRPr="00EF6E3A" w:rsidRDefault="005B37F1" w:rsidP="005B37F1">
                  <w:pPr>
                    <w:spacing w:after="0"/>
                    <w:rPr>
                      <w:rFonts w:eastAsia="Times New Roman" w:cstheme="minorHAnsi"/>
                      <w:bCs/>
                      <w:sz w:val="18"/>
                      <w:szCs w:val="18"/>
                    </w:rPr>
                  </w:pPr>
                  <w:r w:rsidRPr="00EF6E3A">
                    <w:rPr>
                      <w:rFonts w:eastAsia="Times New Roman" w:cstheme="minorHAnsi"/>
                      <w:bCs/>
                      <w:sz w:val="18"/>
                      <w:szCs w:val="18"/>
                    </w:rPr>
                    <w:t xml:space="preserve">Number of patients transferred from GP prescribing to the new system </w:t>
                  </w:r>
                </w:p>
              </w:tc>
              <w:tc>
                <w:tcPr>
                  <w:tcW w:w="607" w:type="pct"/>
                  <w:tcBorders>
                    <w:top w:val="single" w:sz="4" w:space="0" w:color="808080"/>
                    <w:left w:val="single" w:sz="4" w:space="0" w:color="808080"/>
                    <w:bottom w:val="single" w:sz="4" w:space="0" w:color="808080"/>
                    <w:right w:val="single" w:sz="4" w:space="0" w:color="808080"/>
                  </w:tcBorders>
                  <w:shd w:val="clear" w:color="auto" w:fill="auto"/>
                  <w:vAlign w:val="center"/>
                </w:tcPr>
                <w:p w:rsidR="005B37F1" w:rsidRPr="00EF6E3A" w:rsidRDefault="005B37F1" w:rsidP="005B37F1">
                  <w:pPr>
                    <w:spacing w:after="0"/>
                    <w:rPr>
                      <w:rFonts w:eastAsia="Times New Roman" w:cstheme="minorHAnsi"/>
                      <w:bCs/>
                      <w:sz w:val="18"/>
                      <w:szCs w:val="18"/>
                    </w:rPr>
                  </w:pPr>
                  <w:r w:rsidRPr="00EF6E3A">
                    <w:rPr>
                      <w:rFonts w:eastAsia="Times New Roman" w:cstheme="minorHAnsi"/>
                      <w:bCs/>
                      <w:sz w:val="18"/>
                      <w:szCs w:val="18"/>
                    </w:rPr>
                    <w:t xml:space="preserve">100% of patients transferred </w:t>
                  </w:r>
                </w:p>
              </w:tc>
              <w:tc>
                <w:tcPr>
                  <w:tcW w:w="867" w:type="pct"/>
                  <w:tcBorders>
                    <w:top w:val="single" w:sz="4" w:space="0" w:color="808080"/>
                    <w:left w:val="single" w:sz="4" w:space="0" w:color="808080"/>
                    <w:bottom w:val="single" w:sz="4" w:space="0" w:color="808080"/>
                    <w:right w:val="single" w:sz="4" w:space="0" w:color="808080"/>
                  </w:tcBorders>
                  <w:shd w:val="clear" w:color="auto" w:fill="auto"/>
                  <w:vAlign w:val="center"/>
                </w:tcPr>
                <w:p w:rsidR="005B37F1" w:rsidRPr="00EF6E3A" w:rsidRDefault="005B37F1" w:rsidP="005B37F1">
                  <w:pPr>
                    <w:spacing w:after="0"/>
                    <w:rPr>
                      <w:rFonts w:eastAsia="Times New Roman" w:cstheme="minorHAnsi"/>
                      <w:bCs/>
                      <w:sz w:val="18"/>
                      <w:szCs w:val="18"/>
                    </w:rPr>
                  </w:pPr>
                  <w:r w:rsidRPr="00EF6E3A">
                    <w:rPr>
                      <w:rFonts w:eastAsia="Times New Roman" w:cstheme="minorHAnsi"/>
                      <w:bCs/>
                      <w:sz w:val="18"/>
                      <w:szCs w:val="18"/>
                    </w:rPr>
                    <w:t>Report for the duration of the transfer period</w:t>
                  </w:r>
                </w:p>
              </w:tc>
              <w:tc>
                <w:tcPr>
                  <w:tcW w:w="505" w:type="pct"/>
                  <w:tcBorders>
                    <w:top w:val="single" w:sz="4" w:space="0" w:color="808080"/>
                    <w:left w:val="single" w:sz="4" w:space="0" w:color="808080"/>
                    <w:bottom w:val="single" w:sz="4" w:space="0" w:color="808080"/>
                    <w:right w:val="single" w:sz="4" w:space="0" w:color="808080"/>
                  </w:tcBorders>
                  <w:vAlign w:val="center"/>
                </w:tcPr>
                <w:p w:rsidR="005B37F1" w:rsidRPr="00EF6E3A" w:rsidRDefault="005B37F1" w:rsidP="005B37F1">
                  <w:pPr>
                    <w:spacing w:after="0"/>
                    <w:rPr>
                      <w:rFonts w:eastAsia="Times New Roman" w:cstheme="minorHAnsi"/>
                      <w:bCs/>
                      <w:sz w:val="18"/>
                      <w:szCs w:val="18"/>
                    </w:rPr>
                  </w:pPr>
                  <w:r w:rsidRPr="00EF6E3A">
                    <w:rPr>
                      <w:rFonts w:eastAsia="Times New Roman" w:cstheme="minorHAnsi"/>
                      <w:bCs/>
                      <w:sz w:val="18"/>
                      <w:szCs w:val="18"/>
                    </w:rPr>
                    <w:t>Monthly</w:t>
                  </w:r>
                </w:p>
              </w:tc>
              <w:tc>
                <w:tcPr>
                  <w:tcW w:w="723" w:type="pct"/>
                  <w:tcBorders>
                    <w:top w:val="single" w:sz="4" w:space="0" w:color="808080"/>
                    <w:left w:val="single" w:sz="4" w:space="0" w:color="808080"/>
                    <w:bottom w:val="single" w:sz="4" w:space="0" w:color="808080"/>
                    <w:right w:val="single" w:sz="4" w:space="0" w:color="808080"/>
                  </w:tcBorders>
                  <w:vAlign w:val="center"/>
                </w:tcPr>
                <w:p w:rsidR="005B37F1" w:rsidRPr="00EF6E3A" w:rsidRDefault="005B37F1" w:rsidP="005B37F1">
                  <w:pPr>
                    <w:spacing w:after="0"/>
                    <w:rPr>
                      <w:rFonts w:eastAsia="Times New Roman" w:cstheme="minorHAnsi"/>
                      <w:bCs/>
                      <w:sz w:val="18"/>
                      <w:szCs w:val="18"/>
                    </w:rPr>
                  </w:pPr>
                  <w:r w:rsidRPr="00EF6E3A">
                    <w:rPr>
                      <w:rFonts w:eastAsia="Times New Roman" w:cstheme="minorHAnsi"/>
                      <w:bCs/>
                      <w:sz w:val="18"/>
                      <w:szCs w:val="18"/>
                    </w:rPr>
                    <w:t>As per Contract Clause 28 of the NHS Standard Contract</w:t>
                  </w:r>
                </w:p>
              </w:tc>
              <w:tc>
                <w:tcPr>
                  <w:tcW w:w="868" w:type="pct"/>
                  <w:tcBorders>
                    <w:top w:val="single" w:sz="4" w:space="0" w:color="808080"/>
                    <w:left w:val="single" w:sz="4" w:space="0" w:color="808080"/>
                    <w:bottom w:val="single" w:sz="4" w:space="0" w:color="808080"/>
                    <w:right w:val="single" w:sz="4" w:space="0" w:color="808080"/>
                  </w:tcBorders>
                  <w:vAlign w:val="center"/>
                </w:tcPr>
                <w:p w:rsidR="005B37F1" w:rsidRPr="00EF6E3A" w:rsidRDefault="00D83850" w:rsidP="005B37F1">
                  <w:pPr>
                    <w:spacing w:after="0"/>
                    <w:rPr>
                      <w:rFonts w:eastAsia="Times New Roman" w:cstheme="minorHAnsi"/>
                      <w:bCs/>
                      <w:sz w:val="18"/>
                      <w:szCs w:val="18"/>
                    </w:rPr>
                  </w:pPr>
                  <w:r>
                    <w:rPr>
                      <w:rFonts w:eastAsia="Times New Roman" w:cstheme="minorHAnsi"/>
                      <w:bCs/>
                      <w:sz w:val="18"/>
                      <w:szCs w:val="18"/>
                    </w:rPr>
                    <w:t>To be provided by specialist pharmacy team</w:t>
                  </w:r>
                </w:p>
              </w:tc>
            </w:tr>
            <w:tr w:rsidR="005B37F1" w:rsidRPr="00EF6E3A" w:rsidTr="00D83850">
              <w:trPr>
                <w:trHeight w:val="431"/>
              </w:trPr>
              <w:tc>
                <w:tcPr>
                  <w:tcW w:w="356" w:type="pct"/>
                  <w:tcBorders>
                    <w:top w:val="single" w:sz="4" w:space="0" w:color="808080"/>
                    <w:left w:val="single" w:sz="4" w:space="0" w:color="808080"/>
                    <w:bottom w:val="single" w:sz="4" w:space="0" w:color="808080"/>
                    <w:right w:val="single" w:sz="4" w:space="0" w:color="808080"/>
                  </w:tcBorders>
                  <w:vAlign w:val="center"/>
                </w:tcPr>
                <w:p w:rsidR="005B37F1" w:rsidRPr="00EF6E3A" w:rsidRDefault="005B37F1" w:rsidP="005B37F1">
                  <w:pPr>
                    <w:spacing w:after="0"/>
                    <w:rPr>
                      <w:rFonts w:eastAsia="Times New Roman" w:cstheme="minorHAnsi"/>
                      <w:bCs/>
                      <w:sz w:val="18"/>
                      <w:szCs w:val="18"/>
                    </w:rPr>
                  </w:pPr>
                  <w:r w:rsidRPr="00EF6E3A">
                    <w:rPr>
                      <w:rFonts w:eastAsia="Times New Roman" w:cstheme="minorHAnsi"/>
                      <w:bCs/>
                      <w:sz w:val="18"/>
                      <w:szCs w:val="18"/>
                    </w:rPr>
                    <w:t>6.1.2</w:t>
                  </w:r>
                </w:p>
              </w:tc>
              <w:tc>
                <w:tcPr>
                  <w:tcW w:w="1074" w:type="pct"/>
                  <w:tcBorders>
                    <w:top w:val="single" w:sz="4" w:space="0" w:color="808080"/>
                    <w:left w:val="single" w:sz="4" w:space="0" w:color="808080"/>
                    <w:bottom w:val="single" w:sz="4" w:space="0" w:color="808080"/>
                    <w:right w:val="single" w:sz="4" w:space="0" w:color="808080"/>
                  </w:tcBorders>
                  <w:shd w:val="clear" w:color="auto" w:fill="auto"/>
                  <w:vAlign w:val="center"/>
                </w:tcPr>
                <w:p w:rsidR="005B37F1" w:rsidRPr="00EF6E3A" w:rsidRDefault="00D83850" w:rsidP="00D83850">
                  <w:pPr>
                    <w:spacing w:after="0"/>
                    <w:rPr>
                      <w:rFonts w:eastAsia="Times New Roman" w:cstheme="minorHAnsi"/>
                      <w:bCs/>
                      <w:sz w:val="18"/>
                      <w:szCs w:val="18"/>
                    </w:rPr>
                  </w:pPr>
                  <w:r>
                    <w:rPr>
                      <w:rFonts w:eastAsia="Times New Roman" w:cstheme="minorHAnsi"/>
                      <w:bCs/>
                      <w:sz w:val="18"/>
                      <w:szCs w:val="18"/>
                    </w:rPr>
                    <w:t>Number of interventions logged</w:t>
                  </w:r>
                  <w:r w:rsidR="005B37F1" w:rsidRPr="00EF6E3A">
                    <w:rPr>
                      <w:rFonts w:eastAsia="Times New Roman" w:cstheme="minorHAnsi"/>
                      <w:bCs/>
                      <w:sz w:val="18"/>
                      <w:szCs w:val="18"/>
                    </w:rPr>
                    <w:t xml:space="preserve"> </w:t>
                  </w:r>
                  <w:r>
                    <w:rPr>
                      <w:rFonts w:eastAsia="Times New Roman" w:cstheme="minorHAnsi"/>
                      <w:bCs/>
                      <w:sz w:val="18"/>
                      <w:szCs w:val="18"/>
                    </w:rPr>
                    <w:t>with detail of each.</w:t>
                  </w:r>
                </w:p>
              </w:tc>
              <w:tc>
                <w:tcPr>
                  <w:tcW w:w="607" w:type="pct"/>
                  <w:tcBorders>
                    <w:top w:val="single" w:sz="4" w:space="0" w:color="808080"/>
                    <w:left w:val="single" w:sz="4" w:space="0" w:color="808080"/>
                    <w:bottom w:val="single" w:sz="4" w:space="0" w:color="808080"/>
                    <w:right w:val="single" w:sz="4" w:space="0" w:color="808080"/>
                  </w:tcBorders>
                  <w:shd w:val="clear" w:color="auto" w:fill="auto"/>
                  <w:vAlign w:val="center"/>
                </w:tcPr>
                <w:p w:rsidR="005B37F1" w:rsidRPr="00EF6E3A" w:rsidRDefault="00D83850" w:rsidP="005B37F1">
                  <w:pPr>
                    <w:spacing w:after="0"/>
                    <w:rPr>
                      <w:rFonts w:eastAsia="Times New Roman" w:cstheme="minorHAnsi"/>
                      <w:bCs/>
                      <w:sz w:val="18"/>
                      <w:szCs w:val="18"/>
                    </w:rPr>
                  </w:pPr>
                  <w:r>
                    <w:rPr>
                      <w:rFonts w:eastAsia="Times New Roman" w:cstheme="minorHAnsi"/>
                      <w:bCs/>
                      <w:sz w:val="18"/>
                      <w:szCs w:val="18"/>
                    </w:rPr>
                    <w:t>100%</w:t>
                  </w:r>
                </w:p>
              </w:tc>
              <w:tc>
                <w:tcPr>
                  <w:tcW w:w="867" w:type="pct"/>
                  <w:tcBorders>
                    <w:top w:val="single" w:sz="4" w:space="0" w:color="808080"/>
                    <w:left w:val="single" w:sz="4" w:space="0" w:color="808080"/>
                    <w:bottom w:val="single" w:sz="4" w:space="0" w:color="808080"/>
                    <w:right w:val="single" w:sz="4" w:space="0" w:color="808080"/>
                  </w:tcBorders>
                  <w:shd w:val="clear" w:color="auto" w:fill="auto"/>
                  <w:vAlign w:val="center"/>
                </w:tcPr>
                <w:p w:rsidR="005B37F1" w:rsidRPr="00EF6E3A" w:rsidRDefault="00D83850" w:rsidP="005B37F1">
                  <w:pPr>
                    <w:spacing w:after="0"/>
                    <w:rPr>
                      <w:rFonts w:eastAsia="Times New Roman" w:cstheme="minorHAnsi"/>
                      <w:bCs/>
                      <w:sz w:val="18"/>
                      <w:szCs w:val="18"/>
                    </w:rPr>
                  </w:pPr>
                  <w:r>
                    <w:rPr>
                      <w:rFonts w:eastAsia="Times New Roman" w:cstheme="minorHAnsi"/>
                      <w:bCs/>
                      <w:sz w:val="18"/>
                      <w:szCs w:val="18"/>
                    </w:rPr>
                    <w:t>Ongoing clinical audit</w:t>
                  </w:r>
                </w:p>
              </w:tc>
              <w:tc>
                <w:tcPr>
                  <w:tcW w:w="505" w:type="pct"/>
                  <w:tcBorders>
                    <w:top w:val="single" w:sz="4" w:space="0" w:color="808080"/>
                    <w:left w:val="single" w:sz="4" w:space="0" w:color="808080"/>
                    <w:bottom w:val="single" w:sz="4" w:space="0" w:color="808080"/>
                    <w:right w:val="single" w:sz="4" w:space="0" w:color="808080"/>
                  </w:tcBorders>
                  <w:vAlign w:val="center"/>
                </w:tcPr>
                <w:p w:rsidR="005B37F1" w:rsidRPr="00EF6E3A" w:rsidRDefault="005B37F1" w:rsidP="005B37F1">
                  <w:pPr>
                    <w:spacing w:after="0"/>
                    <w:rPr>
                      <w:rFonts w:eastAsia="Times New Roman" w:cstheme="minorHAnsi"/>
                      <w:bCs/>
                      <w:sz w:val="18"/>
                      <w:szCs w:val="18"/>
                    </w:rPr>
                  </w:pPr>
                  <w:r w:rsidRPr="00EF6E3A">
                    <w:rPr>
                      <w:rFonts w:eastAsia="Times New Roman" w:cstheme="minorHAnsi"/>
                      <w:bCs/>
                      <w:sz w:val="18"/>
                      <w:szCs w:val="18"/>
                    </w:rPr>
                    <w:t xml:space="preserve">Quarterly </w:t>
                  </w:r>
                </w:p>
              </w:tc>
              <w:tc>
                <w:tcPr>
                  <w:tcW w:w="723" w:type="pct"/>
                  <w:tcBorders>
                    <w:top w:val="single" w:sz="4" w:space="0" w:color="808080"/>
                    <w:left w:val="single" w:sz="4" w:space="0" w:color="808080"/>
                    <w:bottom w:val="single" w:sz="4" w:space="0" w:color="808080"/>
                    <w:right w:val="single" w:sz="4" w:space="0" w:color="808080"/>
                  </w:tcBorders>
                  <w:vAlign w:val="center"/>
                </w:tcPr>
                <w:p w:rsidR="005B37F1" w:rsidRPr="00EF6E3A" w:rsidRDefault="005B37F1" w:rsidP="005B37F1">
                  <w:pPr>
                    <w:spacing w:after="0"/>
                    <w:rPr>
                      <w:rFonts w:eastAsia="Times New Roman" w:cstheme="minorHAnsi"/>
                      <w:bCs/>
                      <w:sz w:val="18"/>
                      <w:szCs w:val="18"/>
                    </w:rPr>
                  </w:pPr>
                  <w:r w:rsidRPr="00EF6E3A">
                    <w:rPr>
                      <w:rFonts w:eastAsia="Times New Roman" w:cstheme="minorHAnsi"/>
                      <w:bCs/>
                      <w:sz w:val="18"/>
                      <w:szCs w:val="18"/>
                    </w:rPr>
                    <w:t>As per Contract Clause 28 of the NHS Standard Contract</w:t>
                  </w:r>
                </w:p>
              </w:tc>
              <w:tc>
                <w:tcPr>
                  <w:tcW w:w="868" w:type="pct"/>
                  <w:tcBorders>
                    <w:top w:val="single" w:sz="4" w:space="0" w:color="808080"/>
                    <w:left w:val="single" w:sz="4" w:space="0" w:color="808080"/>
                    <w:bottom w:val="single" w:sz="4" w:space="0" w:color="808080"/>
                    <w:right w:val="single" w:sz="4" w:space="0" w:color="808080"/>
                  </w:tcBorders>
                  <w:vAlign w:val="center"/>
                </w:tcPr>
                <w:p w:rsidR="005B37F1" w:rsidRPr="00EF6E3A" w:rsidRDefault="00D83850" w:rsidP="005B37F1">
                  <w:pPr>
                    <w:spacing w:after="0"/>
                    <w:rPr>
                      <w:rFonts w:eastAsia="Times New Roman" w:cstheme="minorHAnsi"/>
                      <w:bCs/>
                      <w:sz w:val="18"/>
                      <w:szCs w:val="18"/>
                    </w:rPr>
                  </w:pPr>
                  <w:r>
                    <w:rPr>
                      <w:rFonts w:eastAsia="Times New Roman" w:cstheme="minorHAnsi"/>
                      <w:bCs/>
                      <w:sz w:val="18"/>
                      <w:szCs w:val="18"/>
                    </w:rPr>
                    <w:t>To be provided by specialist pharmacy team</w:t>
                  </w:r>
                </w:p>
              </w:tc>
            </w:tr>
            <w:tr w:rsidR="00F512BC" w:rsidRPr="00EF6E3A" w:rsidTr="00D83850">
              <w:trPr>
                <w:trHeight w:val="431"/>
              </w:trPr>
              <w:tc>
                <w:tcPr>
                  <w:tcW w:w="356" w:type="pct"/>
                  <w:tcBorders>
                    <w:top w:val="single" w:sz="4" w:space="0" w:color="808080"/>
                    <w:left w:val="single" w:sz="4" w:space="0" w:color="808080"/>
                    <w:bottom w:val="single" w:sz="4" w:space="0" w:color="808080"/>
                    <w:right w:val="single" w:sz="4" w:space="0" w:color="808080"/>
                  </w:tcBorders>
                  <w:vAlign w:val="center"/>
                </w:tcPr>
                <w:p w:rsidR="00F512BC" w:rsidRPr="00EF6E3A" w:rsidRDefault="006340C8" w:rsidP="005B37F1">
                  <w:pPr>
                    <w:spacing w:after="0"/>
                    <w:rPr>
                      <w:rFonts w:eastAsia="Times New Roman" w:cstheme="minorHAnsi"/>
                      <w:bCs/>
                      <w:sz w:val="18"/>
                      <w:szCs w:val="18"/>
                    </w:rPr>
                  </w:pPr>
                  <w:r>
                    <w:rPr>
                      <w:rFonts w:eastAsia="Times New Roman" w:cstheme="minorHAnsi"/>
                      <w:bCs/>
                      <w:sz w:val="18"/>
                      <w:szCs w:val="18"/>
                    </w:rPr>
                    <w:t>6.1.3</w:t>
                  </w:r>
                </w:p>
              </w:tc>
              <w:tc>
                <w:tcPr>
                  <w:tcW w:w="1074" w:type="pct"/>
                  <w:tcBorders>
                    <w:top w:val="single" w:sz="4" w:space="0" w:color="808080"/>
                    <w:left w:val="single" w:sz="4" w:space="0" w:color="808080"/>
                    <w:bottom w:val="single" w:sz="4" w:space="0" w:color="808080"/>
                    <w:right w:val="single" w:sz="4" w:space="0" w:color="808080"/>
                  </w:tcBorders>
                  <w:shd w:val="clear" w:color="auto" w:fill="auto"/>
                  <w:vAlign w:val="center"/>
                </w:tcPr>
                <w:p w:rsidR="00F512BC" w:rsidRDefault="00F512BC" w:rsidP="005B37F1">
                  <w:pPr>
                    <w:spacing w:after="0"/>
                    <w:rPr>
                      <w:rFonts w:eastAsia="Times New Roman" w:cstheme="minorHAnsi"/>
                      <w:bCs/>
                      <w:sz w:val="18"/>
                      <w:szCs w:val="18"/>
                    </w:rPr>
                  </w:pPr>
                  <w:r>
                    <w:rPr>
                      <w:rFonts w:eastAsia="Times New Roman" w:cstheme="minorHAnsi"/>
                      <w:bCs/>
                      <w:sz w:val="18"/>
                      <w:szCs w:val="18"/>
                    </w:rPr>
                    <w:t>Same day delivery in emergency situations and 24 hour delivery from authorisation for all other prescriptions.</w:t>
                  </w:r>
                </w:p>
              </w:tc>
              <w:tc>
                <w:tcPr>
                  <w:tcW w:w="607" w:type="pct"/>
                  <w:tcBorders>
                    <w:top w:val="single" w:sz="4" w:space="0" w:color="808080"/>
                    <w:left w:val="single" w:sz="4" w:space="0" w:color="808080"/>
                    <w:bottom w:val="single" w:sz="4" w:space="0" w:color="808080"/>
                    <w:right w:val="single" w:sz="4" w:space="0" w:color="808080"/>
                  </w:tcBorders>
                  <w:shd w:val="clear" w:color="auto" w:fill="auto"/>
                  <w:vAlign w:val="center"/>
                </w:tcPr>
                <w:p w:rsidR="00F512BC" w:rsidRPr="00EF6E3A" w:rsidRDefault="00F512BC" w:rsidP="00D83850">
                  <w:pPr>
                    <w:spacing w:after="0"/>
                    <w:rPr>
                      <w:rFonts w:eastAsia="Times New Roman" w:cstheme="minorHAnsi"/>
                      <w:bCs/>
                      <w:sz w:val="18"/>
                      <w:szCs w:val="18"/>
                    </w:rPr>
                  </w:pPr>
                  <w:r>
                    <w:rPr>
                      <w:rFonts w:eastAsia="Times New Roman" w:cstheme="minorHAnsi"/>
                      <w:bCs/>
                      <w:sz w:val="18"/>
                      <w:szCs w:val="18"/>
                    </w:rPr>
                    <w:t>100%</w:t>
                  </w:r>
                </w:p>
              </w:tc>
              <w:tc>
                <w:tcPr>
                  <w:tcW w:w="867" w:type="pct"/>
                  <w:tcBorders>
                    <w:top w:val="single" w:sz="4" w:space="0" w:color="808080"/>
                    <w:left w:val="single" w:sz="4" w:space="0" w:color="808080"/>
                    <w:bottom w:val="single" w:sz="4" w:space="0" w:color="808080"/>
                    <w:right w:val="single" w:sz="4" w:space="0" w:color="808080"/>
                  </w:tcBorders>
                  <w:shd w:val="clear" w:color="auto" w:fill="auto"/>
                  <w:vAlign w:val="center"/>
                </w:tcPr>
                <w:p w:rsidR="00F512BC" w:rsidRDefault="00F512BC" w:rsidP="005B37F1">
                  <w:pPr>
                    <w:spacing w:after="0"/>
                    <w:rPr>
                      <w:rFonts w:eastAsia="Times New Roman" w:cstheme="minorHAnsi"/>
                      <w:bCs/>
                      <w:sz w:val="18"/>
                      <w:szCs w:val="18"/>
                    </w:rPr>
                  </w:pPr>
                  <w:r>
                    <w:rPr>
                      <w:rFonts w:eastAsia="Times New Roman" w:cstheme="minorHAnsi"/>
                      <w:bCs/>
                      <w:sz w:val="18"/>
                      <w:szCs w:val="18"/>
                    </w:rPr>
                    <w:t>Ongoing clinical audit</w:t>
                  </w:r>
                </w:p>
              </w:tc>
              <w:tc>
                <w:tcPr>
                  <w:tcW w:w="505" w:type="pct"/>
                  <w:tcBorders>
                    <w:top w:val="single" w:sz="4" w:space="0" w:color="808080"/>
                    <w:left w:val="single" w:sz="4" w:space="0" w:color="808080"/>
                    <w:bottom w:val="single" w:sz="4" w:space="0" w:color="808080"/>
                    <w:right w:val="single" w:sz="4" w:space="0" w:color="808080"/>
                  </w:tcBorders>
                  <w:vAlign w:val="center"/>
                </w:tcPr>
                <w:p w:rsidR="00F512BC" w:rsidRPr="00EF6E3A" w:rsidRDefault="00F512BC" w:rsidP="005B37F1">
                  <w:pPr>
                    <w:spacing w:after="0"/>
                    <w:rPr>
                      <w:rFonts w:eastAsia="Times New Roman" w:cstheme="minorHAnsi"/>
                      <w:bCs/>
                      <w:sz w:val="18"/>
                      <w:szCs w:val="18"/>
                    </w:rPr>
                  </w:pPr>
                  <w:r>
                    <w:rPr>
                      <w:rFonts w:eastAsia="Times New Roman" w:cstheme="minorHAnsi"/>
                      <w:bCs/>
                      <w:sz w:val="18"/>
                      <w:szCs w:val="18"/>
                    </w:rPr>
                    <w:t>Quarterly</w:t>
                  </w:r>
                </w:p>
              </w:tc>
              <w:tc>
                <w:tcPr>
                  <w:tcW w:w="723" w:type="pct"/>
                  <w:tcBorders>
                    <w:top w:val="single" w:sz="4" w:space="0" w:color="808080"/>
                    <w:left w:val="single" w:sz="4" w:space="0" w:color="808080"/>
                    <w:bottom w:val="single" w:sz="4" w:space="0" w:color="808080"/>
                    <w:right w:val="single" w:sz="4" w:space="0" w:color="808080"/>
                  </w:tcBorders>
                  <w:vAlign w:val="center"/>
                </w:tcPr>
                <w:p w:rsidR="00F512BC" w:rsidRPr="00EF6E3A" w:rsidRDefault="00F512BC" w:rsidP="005B37F1">
                  <w:pPr>
                    <w:spacing w:after="0"/>
                    <w:rPr>
                      <w:rFonts w:eastAsia="Times New Roman" w:cstheme="minorHAnsi"/>
                      <w:bCs/>
                      <w:sz w:val="18"/>
                      <w:szCs w:val="18"/>
                    </w:rPr>
                  </w:pPr>
                  <w:r w:rsidRPr="00EF6E3A">
                    <w:rPr>
                      <w:rFonts w:eastAsia="Times New Roman" w:cstheme="minorHAnsi"/>
                      <w:bCs/>
                      <w:sz w:val="18"/>
                      <w:szCs w:val="18"/>
                    </w:rPr>
                    <w:t>As per Contract Clause 28 of the NHS Standard Contract</w:t>
                  </w:r>
                </w:p>
              </w:tc>
              <w:tc>
                <w:tcPr>
                  <w:tcW w:w="868" w:type="pct"/>
                  <w:tcBorders>
                    <w:top w:val="single" w:sz="4" w:space="0" w:color="808080"/>
                    <w:left w:val="single" w:sz="4" w:space="0" w:color="808080"/>
                    <w:bottom w:val="single" w:sz="4" w:space="0" w:color="808080"/>
                    <w:right w:val="single" w:sz="4" w:space="0" w:color="808080"/>
                  </w:tcBorders>
                  <w:vAlign w:val="center"/>
                </w:tcPr>
                <w:p w:rsidR="00F512BC" w:rsidRDefault="00F512BC" w:rsidP="005B37F1">
                  <w:pPr>
                    <w:spacing w:after="0"/>
                    <w:rPr>
                      <w:rFonts w:eastAsia="Times New Roman" w:cstheme="minorHAnsi"/>
                      <w:bCs/>
                      <w:sz w:val="18"/>
                      <w:szCs w:val="18"/>
                    </w:rPr>
                  </w:pPr>
                  <w:r>
                    <w:rPr>
                      <w:rFonts w:eastAsia="Times New Roman" w:cstheme="minorHAnsi"/>
                      <w:bCs/>
                      <w:sz w:val="18"/>
                      <w:szCs w:val="18"/>
                    </w:rPr>
                    <w:t>To be provided by specialist pharmacy team</w:t>
                  </w:r>
                </w:p>
              </w:tc>
            </w:tr>
            <w:tr w:rsidR="005B37F1" w:rsidRPr="00EF6E3A" w:rsidTr="005B37F1">
              <w:trPr>
                <w:trHeight w:val="431"/>
              </w:trPr>
              <w:tc>
                <w:tcPr>
                  <w:tcW w:w="5000" w:type="pct"/>
                  <w:gridSpan w:val="7"/>
                  <w:tcBorders>
                    <w:top w:val="single" w:sz="4" w:space="0" w:color="808080"/>
                    <w:left w:val="nil"/>
                    <w:bottom w:val="nil"/>
                    <w:right w:val="nil"/>
                  </w:tcBorders>
                </w:tcPr>
                <w:p w:rsidR="00D83850" w:rsidRDefault="00D83850" w:rsidP="005B37F1">
                  <w:pPr>
                    <w:spacing w:after="0"/>
                    <w:rPr>
                      <w:rFonts w:cs="Arial"/>
                      <w:b/>
                      <w:sz w:val="22"/>
                      <w:szCs w:val="22"/>
                    </w:rPr>
                  </w:pPr>
                </w:p>
                <w:p w:rsidR="005B37F1" w:rsidRPr="00B45A4D" w:rsidRDefault="005B37F1" w:rsidP="005B37F1">
                  <w:pPr>
                    <w:spacing w:after="0"/>
                    <w:rPr>
                      <w:rFonts w:cs="Arial"/>
                      <w:b/>
                      <w:sz w:val="22"/>
                      <w:szCs w:val="22"/>
                    </w:rPr>
                  </w:pPr>
                  <w:r w:rsidRPr="00B45A4D">
                    <w:rPr>
                      <w:rFonts w:cs="Arial"/>
                      <w:b/>
                      <w:sz w:val="22"/>
                      <w:szCs w:val="22"/>
                    </w:rPr>
                    <w:t>Note: It is the responsibility of the Service Provider to ensure the data is collated and submitted to the Commissioner in a format that is easily manageable.</w:t>
                  </w:r>
                </w:p>
                <w:p w:rsidR="005B37F1" w:rsidRPr="00EF6E3A" w:rsidRDefault="005B37F1" w:rsidP="005B37F1">
                  <w:pPr>
                    <w:spacing w:after="0"/>
                    <w:rPr>
                      <w:rFonts w:eastAsia="Times New Roman" w:cstheme="minorHAnsi"/>
                      <w:bCs/>
                      <w:sz w:val="18"/>
                      <w:szCs w:val="18"/>
                    </w:rPr>
                  </w:pPr>
                </w:p>
              </w:tc>
            </w:tr>
          </w:tbl>
          <w:p w:rsidR="005B37F1" w:rsidRPr="005B37F1" w:rsidRDefault="005B37F1" w:rsidP="004165CB">
            <w:pPr>
              <w:spacing w:after="0"/>
              <w:rPr>
                <w:rFonts w:cstheme="minorHAnsi"/>
                <w:b/>
                <w:color w:val="000000" w:themeColor="text1"/>
                <w:sz w:val="22"/>
                <w:szCs w:val="22"/>
              </w:rPr>
            </w:pPr>
          </w:p>
        </w:tc>
      </w:tr>
      <w:tr w:rsidR="005B37F1" w:rsidRPr="005B37F1" w:rsidTr="005B37F1">
        <w:tc>
          <w:tcPr>
            <w:tcW w:w="10065" w:type="dxa"/>
            <w:shd w:val="clear" w:color="auto" w:fill="404040" w:themeFill="text1" w:themeFillTint="BF"/>
          </w:tcPr>
          <w:p w:rsidR="00FC5780" w:rsidRPr="005B37F1" w:rsidRDefault="005B37F1" w:rsidP="00815597">
            <w:pPr>
              <w:spacing w:after="0"/>
              <w:rPr>
                <w:rFonts w:cstheme="minorHAnsi"/>
                <w:b/>
                <w:color w:val="F79646" w:themeColor="accent6"/>
                <w:sz w:val="22"/>
                <w:szCs w:val="22"/>
              </w:rPr>
            </w:pPr>
            <w:r>
              <w:rPr>
                <w:rFonts w:cstheme="minorHAnsi"/>
                <w:b/>
                <w:color w:val="F79646" w:themeColor="accent6"/>
                <w:sz w:val="22"/>
                <w:szCs w:val="22"/>
              </w:rPr>
              <w:t>7</w:t>
            </w:r>
            <w:r w:rsidR="00CA190E" w:rsidRPr="005B37F1">
              <w:rPr>
                <w:rFonts w:cstheme="minorHAnsi"/>
                <w:b/>
                <w:color w:val="F79646" w:themeColor="accent6"/>
                <w:sz w:val="22"/>
                <w:szCs w:val="22"/>
              </w:rPr>
              <w:t>.</w:t>
            </w:r>
            <w:r w:rsidR="00815597">
              <w:rPr>
                <w:rFonts w:cstheme="minorHAnsi"/>
                <w:b/>
                <w:color w:val="F79646" w:themeColor="accent6"/>
                <w:sz w:val="22"/>
                <w:szCs w:val="22"/>
              </w:rPr>
              <w:t xml:space="preserve">  </w:t>
            </w:r>
            <w:r w:rsidR="00CA190E" w:rsidRPr="005B37F1">
              <w:rPr>
                <w:rFonts w:cstheme="minorHAnsi"/>
                <w:b/>
                <w:color w:val="F79646" w:themeColor="accent6"/>
                <w:sz w:val="22"/>
                <w:szCs w:val="22"/>
              </w:rPr>
              <w:t>Location of Provider Premises</w:t>
            </w:r>
          </w:p>
        </w:tc>
      </w:tr>
      <w:tr w:rsidR="00CA190E" w:rsidRPr="004165CB" w:rsidTr="005B37F1">
        <w:tc>
          <w:tcPr>
            <w:tcW w:w="10065" w:type="dxa"/>
            <w:tcBorders>
              <w:bottom w:val="single" w:sz="4" w:space="0" w:color="auto"/>
            </w:tcBorders>
            <w:shd w:val="clear" w:color="auto" w:fill="auto"/>
          </w:tcPr>
          <w:p w:rsidR="00CA190E" w:rsidRPr="00F36683" w:rsidRDefault="00F512BC" w:rsidP="00702278">
            <w:pPr>
              <w:spacing w:after="0"/>
              <w:rPr>
                <w:rFonts w:cs="Arial"/>
                <w:sz w:val="22"/>
                <w:szCs w:val="22"/>
              </w:rPr>
            </w:pPr>
            <w:r w:rsidRPr="00F36683">
              <w:rPr>
                <w:rFonts w:cs="Arial"/>
                <w:sz w:val="22"/>
                <w:szCs w:val="22"/>
              </w:rPr>
              <w:t>The</w:t>
            </w:r>
            <w:r w:rsidR="00D348BA" w:rsidRPr="00F36683">
              <w:rPr>
                <w:rFonts w:cs="Arial"/>
                <w:sz w:val="22"/>
                <w:szCs w:val="22"/>
              </w:rPr>
              <w:t>re</w:t>
            </w:r>
            <w:r w:rsidRPr="00F36683">
              <w:rPr>
                <w:rFonts w:cs="Arial"/>
                <w:sz w:val="22"/>
                <w:szCs w:val="22"/>
              </w:rPr>
              <w:t xml:space="preserve"> must be a robust distribution network across East Lancs and BwD CCGs that ensures delivery to individual</w:t>
            </w:r>
            <w:r w:rsidR="00D348BA" w:rsidRPr="00F36683">
              <w:rPr>
                <w:rFonts w:cs="Arial"/>
                <w:sz w:val="22"/>
                <w:szCs w:val="22"/>
              </w:rPr>
              <w:t xml:space="preserve"> patient’s homes where appropriate.</w:t>
            </w:r>
          </w:p>
        </w:tc>
      </w:tr>
      <w:tr w:rsidR="005B37F1" w:rsidRPr="005B37F1" w:rsidTr="005B37F1">
        <w:tc>
          <w:tcPr>
            <w:tcW w:w="10065" w:type="dxa"/>
            <w:shd w:val="clear" w:color="auto" w:fill="404040" w:themeFill="text1" w:themeFillTint="BF"/>
          </w:tcPr>
          <w:p w:rsidR="00CA190E" w:rsidRPr="00F512BC" w:rsidRDefault="005B37F1" w:rsidP="00815597">
            <w:pPr>
              <w:spacing w:after="0"/>
              <w:rPr>
                <w:rFonts w:cstheme="minorHAnsi"/>
                <w:b/>
                <w:color w:val="F79646" w:themeColor="accent6"/>
                <w:sz w:val="22"/>
                <w:szCs w:val="22"/>
              </w:rPr>
            </w:pPr>
            <w:r w:rsidRPr="00F512BC">
              <w:rPr>
                <w:rFonts w:cstheme="minorHAnsi"/>
                <w:b/>
                <w:color w:val="F79646" w:themeColor="accent6"/>
                <w:sz w:val="22"/>
                <w:szCs w:val="22"/>
              </w:rPr>
              <w:t>8</w:t>
            </w:r>
            <w:r w:rsidR="00CA190E" w:rsidRPr="00F512BC">
              <w:rPr>
                <w:rFonts w:cstheme="minorHAnsi"/>
                <w:b/>
                <w:color w:val="F79646" w:themeColor="accent6"/>
                <w:sz w:val="22"/>
                <w:szCs w:val="22"/>
              </w:rPr>
              <w:t>.</w:t>
            </w:r>
            <w:r w:rsidR="00815597" w:rsidRPr="00F512BC">
              <w:rPr>
                <w:rFonts w:cstheme="minorHAnsi"/>
                <w:b/>
                <w:color w:val="F79646" w:themeColor="accent6"/>
                <w:sz w:val="22"/>
                <w:szCs w:val="22"/>
              </w:rPr>
              <w:t xml:space="preserve">  </w:t>
            </w:r>
            <w:r w:rsidR="00CA190E" w:rsidRPr="00F512BC">
              <w:rPr>
                <w:rFonts w:cstheme="minorHAnsi"/>
                <w:b/>
                <w:color w:val="F79646" w:themeColor="accent6"/>
                <w:sz w:val="22"/>
                <w:szCs w:val="22"/>
              </w:rPr>
              <w:t>Individual Service User Placement</w:t>
            </w:r>
          </w:p>
        </w:tc>
      </w:tr>
      <w:tr w:rsidR="00CA190E" w:rsidRPr="004165CB" w:rsidTr="005B37F1">
        <w:trPr>
          <w:trHeight w:val="761"/>
        </w:trPr>
        <w:tc>
          <w:tcPr>
            <w:tcW w:w="10065" w:type="dxa"/>
            <w:shd w:val="clear" w:color="auto" w:fill="auto"/>
          </w:tcPr>
          <w:p w:rsidR="00702278" w:rsidRDefault="00702278" w:rsidP="004165CB">
            <w:pPr>
              <w:spacing w:after="0"/>
              <w:rPr>
                <w:rFonts w:cs="Arial"/>
                <w:sz w:val="22"/>
                <w:szCs w:val="22"/>
              </w:rPr>
            </w:pPr>
          </w:p>
          <w:p w:rsidR="00FE7007" w:rsidRPr="00B45A4D" w:rsidRDefault="005B37F1" w:rsidP="004165CB">
            <w:pPr>
              <w:spacing w:after="0"/>
              <w:rPr>
                <w:rFonts w:cs="Arial"/>
                <w:sz w:val="22"/>
                <w:szCs w:val="22"/>
              </w:rPr>
            </w:pPr>
            <w:r>
              <w:rPr>
                <w:rFonts w:cs="Arial"/>
                <w:sz w:val="22"/>
                <w:szCs w:val="22"/>
              </w:rPr>
              <w:t>Not applicable.</w:t>
            </w:r>
          </w:p>
        </w:tc>
      </w:tr>
      <w:tr w:rsidR="00815597" w:rsidRPr="00815597" w:rsidTr="00483F12">
        <w:tc>
          <w:tcPr>
            <w:tcW w:w="10065" w:type="dxa"/>
            <w:shd w:val="clear" w:color="auto" w:fill="404040" w:themeFill="text1" w:themeFillTint="BF"/>
          </w:tcPr>
          <w:p w:rsidR="005B37F1" w:rsidRPr="00815597" w:rsidRDefault="00815597" w:rsidP="00815597">
            <w:pPr>
              <w:spacing w:after="0"/>
              <w:ind w:left="743" w:hanging="743"/>
              <w:rPr>
                <w:rFonts w:cs="Arial"/>
                <w:b/>
                <w:color w:val="F79646" w:themeColor="accent6"/>
                <w:sz w:val="22"/>
                <w:szCs w:val="22"/>
              </w:rPr>
            </w:pPr>
            <w:r w:rsidRPr="00815597">
              <w:rPr>
                <w:rFonts w:cs="Arial"/>
                <w:b/>
                <w:color w:val="F79646" w:themeColor="accent6"/>
                <w:sz w:val="22"/>
                <w:szCs w:val="22"/>
              </w:rPr>
              <w:lastRenderedPageBreak/>
              <w:t>9.  Funding</w:t>
            </w:r>
          </w:p>
        </w:tc>
      </w:tr>
      <w:tr w:rsidR="005B37F1" w:rsidRPr="004165CB" w:rsidTr="005B37F1">
        <w:tc>
          <w:tcPr>
            <w:tcW w:w="10065" w:type="dxa"/>
            <w:shd w:val="clear" w:color="auto" w:fill="auto"/>
          </w:tcPr>
          <w:p w:rsidR="00815597" w:rsidRDefault="00815597" w:rsidP="00702278">
            <w:pPr>
              <w:spacing w:after="0"/>
              <w:rPr>
                <w:rFonts w:cs="Arial"/>
                <w:sz w:val="22"/>
                <w:szCs w:val="22"/>
              </w:rPr>
            </w:pPr>
          </w:p>
          <w:p w:rsidR="00815597" w:rsidRPr="00B45A4D" w:rsidRDefault="00815597" w:rsidP="00815597">
            <w:pPr>
              <w:spacing w:after="0"/>
              <w:ind w:left="743" w:hanging="743"/>
              <w:rPr>
                <w:rFonts w:cs="Arial"/>
                <w:sz w:val="22"/>
                <w:szCs w:val="22"/>
              </w:rPr>
            </w:pPr>
            <w:r>
              <w:rPr>
                <w:rFonts w:cs="Arial"/>
                <w:sz w:val="22"/>
                <w:szCs w:val="22"/>
              </w:rPr>
              <w:t>9.1</w:t>
            </w:r>
            <w:r w:rsidRPr="00B45A4D">
              <w:rPr>
                <w:rFonts w:cs="Arial"/>
                <w:sz w:val="22"/>
                <w:szCs w:val="22"/>
              </w:rPr>
              <w:tab/>
            </w:r>
            <w:r w:rsidRPr="00B45A4D">
              <w:rPr>
                <w:rFonts w:cs="Arial"/>
                <w:b/>
                <w:sz w:val="22"/>
                <w:szCs w:val="22"/>
              </w:rPr>
              <w:t>Funding</w:t>
            </w:r>
          </w:p>
          <w:p w:rsidR="00702278" w:rsidRDefault="00815597" w:rsidP="00815597">
            <w:pPr>
              <w:spacing w:after="0"/>
              <w:ind w:left="743" w:hanging="743"/>
              <w:rPr>
                <w:rFonts w:cs="Arial"/>
                <w:sz w:val="22"/>
                <w:szCs w:val="22"/>
              </w:rPr>
            </w:pPr>
            <w:r>
              <w:rPr>
                <w:rFonts w:cs="Arial"/>
                <w:sz w:val="22"/>
                <w:szCs w:val="22"/>
              </w:rPr>
              <w:tab/>
            </w:r>
            <w:r w:rsidR="00702278">
              <w:rPr>
                <w:rFonts w:cs="Arial"/>
                <w:sz w:val="22"/>
                <w:szCs w:val="22"/>
              </w:rPr>
              <w:t>The provider will re-charge the CCG for the cost of the drugs.</w:t>
            </w:r>
          </w:p>
          <w:p w:rsidR="00702278" w:rsidRDefault="00702278" w:rsidP="00815597">
            <w:pPr>
              <w:spacing w:after="0"/>
              <w:ind w:left="743" w:hanging="743"/>
              <w:rPr>
                <w:rFonts w:cs="Arial"/>
                <w:sz w:val="22"/>
                <w:szCs w:val="22"/>
              </w:rPr>
            </w:pPr>
            <w:r>
              <w:rPr>
                <w:rFonts w:cs="Arial"/>
                <w:sz w:val="22"/>
                <w:szCs w:val="22"/>
              </w:rPr>
              <w:t xml:space="preserve">               The CCG will remunerate the provider based on the procurement cost of the drug.</w:t>
            </w:r>
          </w:p>
          <w:p w:rsidR="00D348BA" w:rsidRDefault="00702278" w:rsidP="00D348BA">
            <w:pPr>
              <w:spacing w:after="0"/>
              <w:ind w:left="743" w:hanging="743"/>
              <w:rPr>
                <w:rFonts w:cs="Arial"/>
                <w:sz w:val="22"/>
                <w:szCs w:val="22"/>
              </w:rPr>
            </w:pPr>
            <w:r>
              <w:rPr>
                <w:rFonts w:cs="Arial"/>
                <w:sz w:val="22"/>
                <w:szCs w:val="22"/>
              </w:rPr>
              <w:t xml:space="preserve">               The annual cost of the contract for unlicensed specials available to the provider will be based on the most cost-effective prices available to the Commissioner for the list of drugs identified in appendix 1.</w:t>
            </w:r>
          </w:p>
          <w:p w:rsidR="00D348BA" w:rsidRDefault="00D348BA" w:rsidP="00D348BA">
            <w:pPr>
              <w:spacing w:after="0"/>
              <w:ind w:left="743" w:hanging="743"/>
              <w:rPr>
                <w:rFonts w:cs="Arial"/>
                <w:sz w:val="22"/>
                <w:szCs w:val="22"/>
              </w:rPr>
            </w:pPr>
            <w:r>
              <w:rPr>
                <w:rFonts w:cs="Arial"/>
                <w:sz w:val="22"/>
                <w:szCs w:val="22"/>
              </w:rPr>
              <w:t xml:space="preserve">              </w:t>
            </w:r>
            <w:r w:rsidR="00E60384">
              <w:rPr>
                <w:rFonts w:cs="Arial"/>
                <w:sz w:val="22"/>
                <w:szCs w:val="22"/>
              </w:rPr>
              <w:t xml:space="preserve">Interested parties will be expected to </w:t>
            </w:r>
            <w:r w:rsidR="00537BB8">
              <w:rPr>
                <w:rFonts w:cs="Arial"/>
                <w:sz w:val="22"/>
                <w:szCs w:val="22"/>
              </w:rPr>
              <w:t xml:space="preserve">provide the service which includes service delivery, cost and supply of the drugs plus delivery of drugs. </w:t>
            </w:r>
            <w:r w:rsidR="00A26602">
              <w:rPr>
                <w:rFonts w:cs="Arial"/>
                <w:sz w:val="22"/>
                <w:szCs w:val="22"/>
              </w:rPr>
              <w:t>Bids exceeding £</w:t>
            </w:r>
            <w:r w:rsidR="006340C8">
              <w:rPr>
                <w:rFonts w:cs="Arial"/>
                <w:sz w:val="22"/>
                <w:szCs w:val="22"/>
              </w:rPr>
              <w:t>180k</w:t>
            </w:r>
            <w:r w:rsidR="00A26602">
              <w:rPr>
                <w:rFonts w:cs="Arial"/>
                <w:sz w:val="22"/>
                <w:szCs w:val="22"/>
              </w:rPr>
              <w:t xml:space="preserve">/pa </w:t>
            </w:r>
            <w:r w:rsidR="00537BB8">
              <w:rPr>
                <w:rFonts w:cs="Arial"/>
                <w:sz w:val="22"/>
                <w:szCs w:val="22"/>
              </w:rPr>
              <w:t xml:space="preserve">in year one </w:t>
            </w:r>
            <w:r w:rsidR="00A26602">
              <w:rPr>
                <w:rFonts w:cs="Arial"/>
                <w:sz w:val="22"/>
                <w:szCs w:val="22"/>
              </w:rPr>
              <w:t>will not be considered.</w:t>
            </w:r>
            <w:r w:rsidR="00537BB8">
              <w:rPr>
                <w:rFonts w:cs="Arial"/>
                <w:sz w:val="22"/>
                <w:szCs w:val="22"/>
              </w:rPr>
              <w:t xml:space="preserve"> Bids exceeding the overall cost of the contract will not be considered.</w:t>
            </w:r>
          </w:p>
          <w:p w:rsidR="00537BB8" w:rsidRDefault="00537BB8" w:rsidP="00D348BA">
            <w:pPr>
              <w:spacing w:after="0"/>
              <w:ind w:left="743" w:hanging="743"/>
              <w:rPr>
                <w:rFonts w:cs="Arial"/>
                <w:sz w:val="22"/>
                <w:szCs w:val="22"/>
              </w:rPr>
            </w:pPr>
          </w:p>
          <w:p w:rsidR="00537BB8" w:rsidRDefault="00537BB8" w:rsidP="00D348BA">
            <w:pPr>
              <w:spacing w:after="0"/>
              <w:ind w:left="743" w:hanging="743"/>
              <w:rPr>
                <w:rFonts w:cs="Arial"/>
                <w:sz w:val="22"/>
                <w:szCs w:val="22"/>
              </w:rPr>
            </w:pPr>
            <w:r>
              <w:rPr>
                <w:rFonts w:cs="Arial"/>
                <w:sz w:val="22"/>
                <w:szCs w:val="22"/>
              </w:rPr>
              <w:t xml:space="preserve">9.2         The service element will be paid as one twelfth of the contract and the drugs will be reimbursed on a bi-monthly pass-through basis. This will be open to scrutiny and on the basis on access to patient level prescribing data. Invoices will need to be raised to the </w:t>
            </w:r>
            <w:r w:rsidR="005E48D8">
              <w:rPr>
                <w:rFonts w:cs="Arial"/>
                <w:sz w:val="22"/>
                <w:szCs w:val="22"/>
              </w:rPr>
              <w:t xml:space="preserve">individual </w:t>
            </w:r>
            <w:r>
              <w:rPr>
                <w:rFonts w:cs="Arial"/>
                <w:sz w:val="22"/>
                <w:szCs w:val="22"/>
              </w:rPr>
              <w:t>commissioner</w:t>
            </w:r>
            <w:r w:rsidR="005E48D8">
              <w:rPr>
                <w:rFonts w:cs="Arial"/>
                <w:sz w:val="22"/>
                <w:szCs w:val="22"/>
              </w:rPr>
              <w:t>s</w:t>
            </w:r>
            <w:r>
              <w:rPr>
                <w:rFonts w:cs="Arial"/>
                <w:sz w:val="22"/>
                <w:szCs w:val="22"/>
              </w:rPr>
              <w:t>.</w:t>
            </w:r>
            <w:r w:rsidR="00A8623C">
              <w:rPr>
                <w:rFonts w:cs="Arial"/>
                <w:sz w:val="22"/>
                <w:szCs w:val="22"/>
              </w:rPr>
              <w:t xml:space="preserve"> Re-charges must be inclusive of VAT if applicable and fall within the contract value.</w:t>
            </w:r>
          </w:p>
          <w:p w:rsidR="005B37F1" w:rsidRPr="00B45A4D" w:rsidRDefault="005B37F1" w:rsidP="00702278">
            <w:pPr>
              <w:spacing w:after="0"/>
              <w:rPr>
                <w:rFonts w:cs="Arial"/>
                <w:sz w:val="22"/>
                <w:szCs w:val="22"/>
              </w:rPr>
            </w:pPr>
          </w:p>
        </w:tc>
      </w:tr>
      <w:tr w:rsidR="00815597" w:rsidRPr="00815597" w:rsidTr="00483F12">
        <w:tc>
          <w:tcPr>
            <w:tcW w:w="10065" w:type="dxa"/>
            <w:shd w:val="clear" w:color="auto" w:fill="404040" w:themeFill="text1" w:themeFillTint="BF"/>
          </w:tcPr>
          <w:p w:rsidR="00815597" w:rsidRPr="00815597" w:rsidRDefault="00815597" w:rsidP="00815597">
            <w:pPr>
              <w:spacing w:after="0"/>
              <w:rPr>
                <w:rFonts w:cs="Arial"/>
                <w:b/>
                <w:bCs/>
                <w:color w:val="F79646" w:themeColor="accent6"/>
                <w:sz w:val="22"/>
                <w:szCs w:val="22"/>
                <w:lang w:val="en-GB"/>
              </w:rPr>
            </w:pPr>
            <w:r w:rsidRPr="00815597">
              <w:rPr>
                <w:rFonts w:cs="Arial"/>
                <w:b/>
                <w:bCs/>
                <w:color w:val="F79646" w:themeColor="accent6"/>
                <w:sz w:val="22"/>
                <w:szCs w:val="22"/>
                <w:lang w:val="en-GB"/>
              </w:rPr>
              <w:t>10. Period of Pilot</w:t>
            </w:r>
          </w:p>
        </w:tc>
      </w:tr>
      <w:tr w:rsidR="00815597" w:rsidRPr="004165CB" w:rsidTr="005B37F1">
        <w:tc>
          <w:tcPr>
            <w:tcW w:w="10065" w:type="dxa"/>
            <w:shd w:val="clear" w:color="auto" w:fill="auto"/>
          </w:tcPr>
          <w:p w:rsidR="00815597" w:rsidRPr="00702278" w:rsidRDefault="00815597" w:rsidP="00537BB8">
            <w:pPr>
              <w:spacing w:after="0"/>
              <w:rPr>
                <w:rFonts w:cs="Arial"/>
                <w:sz w:val="22"/>
                <w:szCs w:val="22"/>
                <w:lang w:val="en-GB"/>
              </w:rPr>
            </w:pPr>
            <w:r w:rsidRPr="00B45A4D">
              <w:rPr>
                <w:rFonts w:cs="Arial"/>
                <w:sz w:val="22"/>
                <w:szCs w:val="22"/>
                <w:lang w:val="en-GB"/>
              </w:rPr>
              <w:t>The service specification between NHS</w:t>
            </w:r>
            <w:r w:rsidR="00A26602">
              <w:rPr>
                <w:rFonts w:cs="Arial"/>
                <w:sz w:val="22"/>
                <w:szCs w:val="22"/>
                <w:lang w:val="en-GB"/>
              </w:rPr>
              <w:t xml:space="preserve"> EL and BwD CCGs and the provider is for 5</w:t>
            </w:r>
            <w:r w:rsidR="00702278">
              <w:rPr>
                <w:rFonts w:cs="Arial"/>
                <w:sz w:val="22"/>
                <w:szCs w:val="22"/>
                <w:lang w:val="en-GB"/>
              </w:rPr>
              <w:t xml:space="preserve"> years with an</w:t>
            </w:r>
            <w:r w:rsidR="000C47D9">
              <w:rPr>
                <w:rFonts w:cs="Arial"/>
                <w:sz w:val="22"/>
                <w:szCs w:val="22"/>
                <w:lang w:val="en-GB"/>
              </w:rPr>
              <w:t xml:space="preserve"> </w:t>
            </w:r>
            <w:r w:rsidR="00702278">
              <w:rPr>
                <w:rFonts w:cs="Arial"/>
                <w:sz w:val="22"/>
                <w:szCs w:val="22"/>
                <w:lang w:val="en-GB"/>
              </w:rPr>
              <w:t xml:space="preserve">opt out after </w:t>
            </w:r>
            <w:r w:rsidR="00A26602">
              <w:rPr>
                <w:rFonts w:cs="Arial"/>
                <w:sz w:val="22"/>
                <w:szCs w:val="22"/>
                <w:lang w:val="en-GB"/>
              </w:rPr>
              <w:t>year 1 and year 3</w:t>
            </w:r>
            <w:r w:rsidR="00702278">
              <w:rPr>
                <w:rFonts w:cs="Arial"/>
                <w:sz w:val="22"/>
                <w:szCs w:val="22"/>
                <w:lang w:val="en-GB"/>
              </w:rPr>
              <w:t>.</w:t>
            </w:r>
          </w:p>
        </w:tc>
      </w:tr>
    </w:tbl>
    <w:p w:rsidR="00C11824" w:rsidRDefault="00C11824"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F36683" w:rsidRDefault="00F36683" w:rsidP="004165CB">
      <w:pPr>
        <w:spacing w:after="0"/>
        <w:rPr>
          <w:sz w:val="22"/>
          <w:szCs w:val="22"/>
        </w:rPr>
      </w:pPr>
    </w:p>
    <w:p w:rsidR="000C47D9" w:rsidRDefault="000C47D9" w:rsidP="004165CB">
      <w:pPr>
        <w:spacing w:after="0"/>
        <w:rPr>
          <w:sz w:val="22"/>
          <w:szCs w:val="22"/>
        </w:rPr>
      </w:pPr>
    </w:p>
    <w:p w:rsidR="00F36683" w:rsidRPr="000C47D9" w:rsidRDefault="00F36683" w:rsidP="004165CB">
      <w:pPr>
        <w:spacing w:after="0"/>
        <w:rPr>
          <w:b/>
          <w:sz w:val="22"/>
          <w:szCs w:val="22"/>
          <w:u w:val="single"/>
        </w:rPr>
      </w:pPr>
      <w:r w:rsidRPr="000C47D9">
        <w:rPr>
          <w:b/>
          <w:sz w:val="22"/>
          <w:szCs w:val="22"/>
          <w:u w:val="single"/>
        </w:rPr>
        <w:t>Appendix 1: List of Unlicensed Pharmaceutical Specials included within the services specification</w:t>
      </w:r>
    </w:p>
    <w:p w:rsidR="00F36683" w:rsidRDefault="00F36683" w:rsidP="004165CB">
      <w:pPr>
        <w:spacing w:after="0"/>
        <w:rPr>
          <w:sz w:val="22"/>
          <w:szCs w:val="22"/>
        </w:rPr>
      </w:pPr>
      <w:r w:rsidRPr="00F36683">
        <w:rPr>
          <w:sz w:val="22"/>
          <w:szCs w:val="22"/>
        </w:rPr>
        <w:t xml:space="preserve"> (NB. This is not exclusive and additional items may be added and/or removed)</w:t>
      </w:r>
    </w:p>
    <w:p w:rsidR="003D76D3" w:rsidRDefault="003D76D3" w:rsidP="004165CB">
      <w:pPr>
        <w:spacing w:after="0"/>
        <w:rPr>
          <w:sz w:val="22"/>
          <w:szCs w:val="22"/>
        </w:rPr>
      </w:pPr>
    </w:p>
    <w:tbl>
      <w:tblPr>
        <w:tblW w:w="5685" w:type="dxa"/>
        <w:tblInd w:w="93" w:type="dxa"/>
        <w:tblLook w:val="04A0" w:firstRow="1" w:lastRow="0" w:firstColumn="1" w:lastColumn="0" w:noHBand="0" w:noVBand="1"/>
      </w:tblPr>
      <w:tblGrid>
        <w:gridCol w:w="4126"/>
        <w:gridCol w:w="1559"/>
      </w:tblGrid>
      <w:tr w:rsidR="003D76D3" w:rsidRPr="003D76D3" w:rsidTr="0053673D">
        <w:trPr>
          <w:trHeight w:val="255"/>
        </w:trPr>
        <w:tc>
          <w:tcPr>
            <w:tcW w:w="4126" w:type="dxa"/>
            <w:tcBorders>
              <w:top w:val="single" w:sz="4" w:space="0" w:color="366092"/>
              <w:left w:val="single" w:sz="4" w:space="0" w:color="366092"/>
              <w:bottom w:val="single" w:sz="4" w:space="0" w:color="DCE6F1"/>
              <w:right w:val="nil"/>
            </w:tcBorders>
            <w:shd w:val="clear" w:color="366092" w:fill="366092"/>
            <w:noWrap/>
            <w:vAlign w:val="bottom"/>
            <w:hideMark/>
          </w:tcPr>
          <w:p w:rsidR="003D76D3" w:rsidRPr="003D76D3" w:rsidRDefault="0053673D" w:rsidP="003D76D3">
            <w:pPr>
              <w:spacing w:after="0"/>
              <w:rPr>
                <w:rFonts w:ascii="Arial" w:eastAsia="Times New Roman" w:hAnsi="Arial" w:cs="Arial"/>
                <w:color w:val="FFFFFF"/>
                <w:sz w:val="20"/>
                <w:lang w:val="en-GB" w:eastAsia="en-GB"/>
              </w:rPr>
            </w:pPr>
            <w:r w:rsidRPr="0053673D">
              <w:rPr>
                <w:rFonts w:ascii="Arial" w:eastAsia="Times New Roman" w:hAnsi="Arial" w:cs="Arial"/>
                <w:color w:val="FFFFFF"/>
                <w:sz w:val="20"/>
                <w:lang w:val="en-GB" w:eastAsia="en-GB"/>
              </w:rPr>
              <w:t xml:space="preserve">Drug Tariff </w:t>
            </w:r>
            <w:r w:rsidR="003D76D3" w:rsidRPr="003D76D3">
              <w:rPr>
                <w:rFonts w:ascii="Arial" w:eastAsia="Times New Roman" w:hAnsi="Arial" w:cs="Arial"/>
                <w:color w:val="FFFFFF"/>
                <w:sz w:val="20"/>
                <w:lang w:val="en-GB" w:eastAsia="en-GB"/>
              </w:rPr>
              <w:t>Special</w:t>
            </w:r>
          </w:p>
        </w:tc>
        <w:tc>
          <w:tcPr>
            <w:tcW w:w="1559" w:type="dxa"/>
            <w:tcBorders>
              <w:top w:val="single" w:sz="4" w:space="0" w:color="366092"/>
              <w:left w:val="nil"/>
              <w:bottom w:val="single" w:sz="4" w:space="0" w:color="DCE6F1"/>
              <w:right w:val="nil"/>
            </w:tcBorders>
            <w:shd w:val="clear" w:color="366092" w:fill="366092"/>
            <w:noWrap/>
            <w:vAlign w:val="bottom"/>
            <w:hideMark/>
          </w:tcPr>
          <w:p w:rsidR="003D76D3" w:rsidRPr="003D76D3" w:rsidRDefault="003D76D3" w:rsidP="003D76D3">
            <w:pPr>
              <w:spacing w:after="0"/>
              <w:jc w:val="center"/>
              <w:rPr>
                <w:rFonts w:ascii="Arial" w:eastAsia="Times New Roman" w:hAnsi="Arial" w:cs="Arial"/>
                <w:color w:val="FFFFFF"/>
                <w:sz w:val="20"/>
                <w:lang w:val="en-GB" w:eastAsia="en-GB"/>
              </w:rPr>
            </w:pPr>
            <w:r w:rsidRPr="003D76D3">
              <w:rPr>
                <w:rFonts w:ascii="Arial" w:eastAsia="Times New Roman" w:hAnsi="Arial" w:cs="Arial"/>
                <w:color w:val="FFFFFF"/>
                <w:sz w:val="20"/>
                <w:lang w:val="en-GB" w:eastAsia="en-GB"/>
              </w:rPr>
              <w:t>Total</w:t>
            </w:r>
            <w:r>
              <w:rPr>
                <w:rFonts w:ascii="Arial" w:eastAsia="Times New Roman" w:hAnsi="Arial" w:cs="Arial"/>
                <w:color w:val="FFFFFF"/>
                <w:sz w:val="20"/>
                <w:lang w:val="en-GB" w:eastAsia="en-GB"/>
              </w:rPr>
              <w:t xml:space="preserve"> Items</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Omeprazole Oral Susp</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359</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Chloral Hydrate Oral Soln</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216</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Diltiazem HCl Crm</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214</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Melatonin Oral Soln</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111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Glycopyrronium Brom Oral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110</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Spironol Oral Susp</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102</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Bisacodyl Rectal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73</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Sod Chlor Oral Soln</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65</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Diltiazem HCl Oint</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59</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Glycopyrronium Brom Oral Susp</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44</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Clopidogrel Oral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39</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Sertraline HCl Oral Susp</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37</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Tranexamic Acid Oral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36</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Dosulepin HCl Oral Soln</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36</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Hydrocort Oral Susp</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30</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Gliclazide Oral Susp</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28</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Ranitidine HCl Oral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28</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Pyridox HCl Oral Soln</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27</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Azathioprine Oral Susp</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27</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Chloroth Oral Susp</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26</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Lorazepam Oral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25</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Sod Chlor Eye Oint</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24</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Lansoprazole Oral Susp</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21</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Zopiclone Oral Soln</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Sod Benz Oral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20</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Carvedilol Oral Susp</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19</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Calc Carb Oral Susp</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18</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Salic Acid Oint</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15</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Ranitidine HCl Oral Susp</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15</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Flecainide Acet Oral Soln</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15</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Ciclosporin Eye Drops</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14</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Antacid/Oxetacaine Oral Susp</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13</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Bisoprolol Fumar Oral Susp</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13</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Hyoscine Hydrob Oral Susp</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13</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Diazoxide Oral Susp</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12</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Hydroxychlor Sulf Oral Susp</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12</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Sildenafil Oral Susp</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12</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Paraldehyde</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Flecainide Acet Oral Susp</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10</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Cyclizine HCl Oral Susp</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9</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Coal Tar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8</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Clindamycin HCl Oral Susp</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7</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Bendroflumethiazide Oral Susp</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7</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Fludrocort Acet Oral Susp</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7</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Arginine Oral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6</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Zonisamide Oral Susp</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6</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Sod Phenylbut Oral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6</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Phos/Sod Oral Soln</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6</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Indometacin Oral Susp</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5</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lastRenderedPageBreak/>
              <w:t>Prednisolone Sod Phos Eye Drops</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5</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Bisoprolol Fumar Oral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5</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Atrop Sulf Oral Soln</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5</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Amiodarone HCl Oral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4</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Colecal Oral Soln</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3</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Terbinafine HCl Oral Susp</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3</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Ergocalciferol Oral Soln</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3</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Lorazepam Oral Susp</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Levomeprom Mal Oral Susp</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Mag Glycerophos Oral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Doxazosin Mesil Oral Soln</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Glyceryl Trinit Oint</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Thiamine HCl Oral Soln</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Perindopril Erbumine Oral Susp</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Cyclizine HCl Oral Soln</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Coal Tar Oint</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Salic Acid</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Ferr Sulf Oral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Tranexamic Acid Mthwsh</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Eosin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Hypromellose Eye Drops</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Melatonin Oral Susp</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Nadolol Oral Susp</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Lido HCl Gel</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double" w:sz="6"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b/>
                <w:bCs/>
                <w:color w:val="000000"/>
                <w:sz w:val="20"/>
                <w:lang w:val="en-GB" w:eastAsia="en-GB"/>
              </w:rPr>
            </w:pPr>
            <w:r w:rsidRPr="003D76D3">
              <w:rPr>
                <w:rFonts w:ascii="Arial" w:eastAsia="Times New Roman" w:hAnsi="Arial" w:cs="Arial"/>
                <w:b/>
                <w:bCs/>
                <w:color w:val="000000"/>
                <w:sz w:val="20"/>
                <w:lang w:val="en-GB" w:eastAsia="en-GB"/>
              </w:rPr>
              <w:t>Grand Total</w:t>
            </w:r>
          </w:p>
        </w:tc>
        <w:tc>
          <w:tcPr>
            <w:tcW w:w="1559" w:type="dxa"/>
            <w:tcBorders>
              <w:top w:val="double" w:sz="6"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b/>
                <w:bCs/>
                <w:color w:val="000000"/>
                <w:sz w:val="20"/>
                <w:lang w:val="en-GB" w:eastAsia="en-GB"/>
              </w:rPr>
            </w:pPr>
            <w:r w:rsidRPr="003D76D3">
              <w:rPr>
                <w:rFonts w:ascii="Arial" w:eastAsia="Times New Roman" w:hAnsi="Arial" w:cs="Arial"/>
                <w:b/>
                <w:bCs/>
                <w:color w:val="000000"/>
                <w:sz w:val="20"/>
                <w:lang w:val="en-GB" w:eastAsia="en-GB"/>
              </w:rPr>
              <w:t>2087</w:t>
            </w:r>
          </w:p>
        </w:tc>
      </w:tr>
    </w:tbl>
    <w:p w:rsidR="003D76D3" w:rsidRDefault="003D76D3" w:rsidP="004165CB">
      <w:pPr>
        <w:spacing w:after="0"/>
        <w:rPr>
          <w:b/>
          <w:sz w:val="22"/>
          <w:szCs w:val="22"/>
        </w:rPr>
      </w:pPr>
    </w:p>
    <w:p w:rsidR="003D76D3" w:rsidRPr="003D76D3" w:rsidRDefault="003D76D3" w:rsidP="004165CB">
      <w:pPr>
        <w:spacing w:after="0"/>
        <w:rPr>
          <w:b/>
          <w:sz w:val="22"/>
          <w:szCs w:val="22"/>
        </w:rPr>
      </w:pPr>
    </w:p>
    <w:tbl>
      <w:tblPr>
        <w:tblW w:w="5685" w:type="dxa"/>
        <w:tblInd w:w="93" w:type="dxa"/>
        <w:tblLook w:val="04A0" w:firstRow="1" w:lastRow="0" w:firstColumn="1" w:lastColumn="0" w:noHBand="0" w:noVBand="1"/>
      </w:tblPr>
      <w:tblGrid>
        <w:gridCol w:w="4126"/>
        <w:gridCol w:w="1559"/>
      </w:tblGrid>
      <w:tr w:rsidR="003D76D3" w:rsidRPr="003D76D3" w:rsidTr="0053673D">
        <w:trPr>
          <w:trHeight w:val="255"/>
        </w:trPr>
        <w:tc>
          <w:tcPr>
            <w:tcW w:w="4126" w:type="dxa"/>
            <w:tcBorders>
              <w:top w:val="single" w:sz="4" w:space="0" w:color="366092"/>
              <w:left w:val="single" w:sz="4" w:space="0" w:color="366092"/>
              <w:bottom w:val="single" w:sz="4" w:space="0" w:color="DCE6F1"/>
              <w:right w:val="nil"/>
            </w:tcBorders>
            <w:shd w:val="clear" w:color="366092" w:fill="366092"/>
            <w:noWrap/>
            <w:vAlign w:val="bottom"/>
            <w:hideMark/>
          </w:tcPr>
          <w:p w:rsidR="003D76D3" w:rsidRPr="003D76D3" w:rsidRDefault="0053673D" w:rsidP="003D76D3">
            <w:pPr>
              <w:spacing w:after="0"/>
              <w:rPr>
                <w:rFonts w:ascii="Arial" w:eastAsia="Times New Roman" w:hAnsi="Arial" w:cs="Arial"/>
                <w:color w:val="FFFFFF"/>
                <w:sz w:val="20"/>
                <w:lang w:val="en-GB" w:eastAsia="en-GB"/>
              </w:rPr>
            </w:pPr>
            <w:r w:rsidRPr="0053673D">
              <w:rPr>
                <w:rFonts w:ascii="Arial" w:eastAsia="Times New Roman" w:hAnsi="Arial" w:cs="Arial"/>
                <w:color w:val="FFFFFF"/>
                <w:sz w:val="20"/>
                <w:lang w:val="en-GB" w:eastAsia="en-GB"/>
              </w:rPr>
              <w:t xml:space="preserve">Non Drug Tariff </w:t>
            </w:r>
            <w:r w:rsidR="003D76D3" w:rsidRPr="003D76D3">
              <w:rPr>
                <w:rFonts w:ascii="Arial" w:eastAsia="Times New Roman" w:hAnsi="Arial" w:cs="Arial"/>
                <w:color w:val="FFFFFF"/>
                <w:sz w:val="20"/>
                <w:lang w:val="en-GB" w:eastAsia="en-GB"/>
              </w:rPr>
              <w:t>Special</w:t>
            </w:r>
          </w:p>
        </w:tc>
        <w:tc>
          <w:tcPr>
            <w:tcW w:w="1559" w:type="dxa"/>
            <w:tcBorders>
              <w:top w:val="single" w:sz="4" w:space="0" w:color="366092"/>
              <w:left w:val="nil"/>
              <w:bottom w:val="single" w:sz="4" w:space="0" w:color="DCE6F1"/>
              <w:right w:val="nil"/>
            </w:tcBorders>
            <w:shd w:val="clear" w:color="366092" w:fill="366092"/>
            <w:noWrap/>
            <w:vAlign w:val="bottom"/>
            <w:hideMark/>
          </w:tcPr>
          <w:p w:rsidR="003D76D3" w:rsidRPr="003D76D3" w:rsidRDefault="003D76D3" w:rsidP="003D76D3">
            <w:pPr>
              <w:spacing w:after="0"/>
              <w:jc w:val="center"/>
              <w:rPr>
                <w:rFonts w:ascii="Arial" w:eastAsia="Times New Roman" w:hAnsi="Arial" w:cs="Arial"/>
                <w:color w:val="FFFFFF"/>
                <w:sz w:val="20"/>
                <w:lang w:val="en-GB" w:eastAsia="en-GB"/>
              </w:rPr>
            </w:pPr>
            <w:r w:rsidRPr="003D76D3">
              <w:rPr>
                <w:rFonts w:ascii="Arial" w:eastAsia="Times New Roman" w:hAnsi="Arial" w:cs="Arial"/>
                <w:color w:val="FFFFFF"/>
                <w:sz w:val="20"/>
                <w:lang w:val="en-GB" w:eastAsia="en-GB"/>
              </w:rPr>
              <w:t>Total</w:t>
            </w:r>
            <w:r>
              <w:rPr>
                <w:rFonts w:ascii="Arial" w:eastAsia="Times New Roman" w:hAnsi="Arial" w:cs="Arial"/>
                <w:color w:val="FFFFFF"/>
                <w:sz w:val="20"/>
                <w:lang w:val="en-GB" w:eastAsia="en-GB"/>
              </w:rPr>
              <w:t xml:space="preserve"> Items</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Phenobarb liquid</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185</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Vitamin D  (Colecalciferol)</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184</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(Unlicensed) (Melatonin Capsule)</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114</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Metolazone Tab</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112</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Mag Glycerophos Tab Chble</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101</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Midazolam liquid</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94</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Colecal Tab</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64</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Oxybutynin HCl liquid</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51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Liothyronine Sod Cap</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49</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Phytomenadione Tab</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43</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Melatonin Cap</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42</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Antepsin (Sucralfate)</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41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Pot Chlor Tab</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36</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Diazepam liquid</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35</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(Unlicensed) (Melatonin Tablet)</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30</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Riboflavin Cap</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27</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Pirenzepine Tab</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23</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Amisulpride liquid</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23</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Lansoprazole Oral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22</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Amitriptyline HCl liquid</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Glycopyrronium Brom liquid</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20</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Mag Ox Cap</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20</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Perphenazine Tab</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18</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Flunarizine HCl Cap</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17</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Losartan Pot Oral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15</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Arginine liquid</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15</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lastRenderedPageBreak/>
              <w:t>Benzatropine Mesil Tab</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15</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Irbesartan liquid</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14</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Fluoxetine HCl Tab</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14</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Acetylcy Tab</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14</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Azathioprine Oral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13</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Biotin Tab</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13</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Mepacrine HCl Tab</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13</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Lisinopril liquid</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13</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Theophylline liquid</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12</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Papaver HCl Inj</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12</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Lamberts L-Carnitine (Levocarnitine)</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12</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Amlodipine liquid</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Zonisamide Oral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11</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Chlorpromazine HCl Cap</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Sod Benz liquid</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10</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Spironol Oral Soln</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10</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Nadolol Oral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10</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Fosfomycin Trometamol Sachet</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10</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Hydrocort Suppos</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9</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Azathioprine liquid</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9</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Acetylcy Cap</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9</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Naltrexone HCl Cap</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9</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Coal Tar</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8</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Sod Phenylbut Oral Soln</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8</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Morph Sulf liquid</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8</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Colecal Cap</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7</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Sod Bicarb liquid</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7</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Diazepam Oral Soln</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7</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Mercaptamine HCl Eye Drops</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7</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Calamine &amp; Coal Tar Oint</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7</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Coal Tar Paste</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7</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Riboflavin Tab</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6</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Betameth Val Oint</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6</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Trihexyphenidyl HCl liquid</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6</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Methyl Sal Oint</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6</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Menthol In Aq Crm</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6</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Phenobarb Sod liquid</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6</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Hydroxychlor Sulf liquid</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5</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Lamotrigine liquid</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5</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Atrop Sulf Oral Soln</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5</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Spironol liquid</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4</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Hydchloroth Tab</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4</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Pentosan Polysulf Sod Cap</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3</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Levomeprom Mal Tab</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3</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Sod Chlor Neb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3</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Furosemide liquid</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3</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Disod Edetate Eye Drops</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3</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Entacapone liquid</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3</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Midazolam liquid Oromucosal</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3</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Chloroth liquid</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SunVit-D3 (Colecalciferol)</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Levothyrox Sod Cap</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Betameth Val Crm</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Trazodone HCl liquid</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lastRenderedPageBreak/>
              <w:t>Sod Phenylbut Cap</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Pyridostig Brom Tab</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Mag Glycerophos Tab</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Nystatin Oral Suspension</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Paracet liquid</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2</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Coal TarSoln</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Oxycodone HCl liquid</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Alum Acet Ear Drops</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Chlorpromazine HCl Tab</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Acitretin liquid</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Phenytoin Sod Oral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Nitrofurantoin liquid</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Phytomenadione liquid</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Hydralazine HCl liquid</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Haloperidol liquid</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Terbinafine HCl Oral Soln</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Dexameth liquid</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Mercaptopurine liquid</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Atorvastatin Oral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Sod Chlor Eye Drops</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Propranolol HCl liquid</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Nystatin Cap</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Propylene Glycol</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Benzoic Acid Co Oint</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Levamisole HCl Tab</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Stanozolol Tab</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Chloroth Tab</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Tamsulosin HCL Oral Soln</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Eosin Soln</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Hydrocort</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Salic Acid</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Tretinoin Crm</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Sildenafil liquid</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Metformin HCl liquid</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Gabapentin liquid</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DCE6F1"/>
              <w:left w:val="single" w:sz="4" w:space="0" w:color="366092"/>
              <w:bottom w:val="single" w:sz="4" w:space="0" w:color="DCE6F1"/>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Levothyrox Sod liquid</w:t>
            </w:r>
          </w:p>
        </w:tc>
        <w:tc>
          <w:tcPr>
            <w:tcW w:w="1559" w:type="dxa"/>
            <w:tcBorders>
              <w:top w:val="single" w:sz="4" w:space="0" w:color="DCE6F1"/>
              <w:left w:val="single" w:sz="4" w:space="0" w:color="366092"/>
              <w:bottom w:val="single" w:sz="4" w:space="0" w:color="DCE6F1"/>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single" w:sz="4"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Dithranol</w:t>
            </w:r>
          </w:p>
        </w:tc>
        <w:tc>
          <w:tcPr>
            <w:tcW w:w="1559" w:type="dxa"/>
            <w:tcBorders>
              <w:top w:val="single" w:sz="4"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color w:val="000000"/>
                <w:sz w:val="20"/>
                <w:lang w:val="en-GB" w:eastAsia="en-GB"/>
              </w:rPr>
            </w:pPr>
            <w:r w:rsidRPr="003D76D3">
              <w:rPr>
                <w:rFonts w:ascii="Arial" w:eastAsia="Times New Roman" w:hAnsi="Arial" w:cs="Arial"/>
                <w:color w:val="000000"/>
                <w:sz w:val="20"/>
                <w:lang w:val="en-GB" w:eastAsia="en-GB"/>
              </w:rPr>
              <w:t>1</w:t>
            </w:r>
          </w:p>
        </w:tc>
      </w:tr>
      <w:tr w:rsidR="003D76D3" w:rsidRPr="003D76D3" w:rsidTr="0053673D">
        <w:trPr>
          <w:trHeight w:val="255"/>
        </w:trPr>
        <w:tc>
          <w:tcPr>
            <w:tcW w:w="4126" w:type="dxa"/>
            <w:tcBorders>
              <w:top w:val="double" w:sz="6" w:space="0" w:color="366092"/>
              <w:left w:val="single" w:sz="4" w:space="0" w:color="366092"/>
              <w:bottom w:val="single" w:sz="4" w:space="0" w:color="366092"/>
              <w:right w:val="nil"/>
            </w:tcBorders>
            <w:shd w:val="clear" w:color="auto" w:fill="auto"/>
            <w:noWrap/>
            <w:vAlign w:val="bottom"/>
            <w:hideMark/>
          </w:tcPr>
          <w:p w:rsidR="003D76D3" w:rsidRPr="003D76D3" w:rsidRDefault="003D76D3" w:rsidP="003D76D3">
            <w:pPr>
              <w:spacing w:after="0"/>
              <w:rPr>
                <w:rFonts w:ascii="Arial" w:eastAsia="Times New Roman" w:hAnsi="Arial" w:cs="Arial"/>
                <w:b/>
                <w:bCs/>
                <w:color w:val="000000"/>
                <w:sz w:val="20"/>
                <w:lang w:val="en-GB" w:eastAsia="en-GB"/>
              </w:rPr>
            </w:pPr>
            <w:r w:rsidRPr="003D76D3">
              <w:rPr>
                <w:rFonts w:ascii="Arial" w:eastAsia="Times New Roman" w:hAnsi="Arial" w:cs="Arial"/>
                <w:b/>
                <w:bCs/>
                <w:color w:val="000000"/>
                <w:sz w:val="20"/>
                <w:lang w:val="en-GB" w:eastAsia="en-GB"/>
              </w:rPr>
              <w:t>Grand Total</w:t>
            </w:r>
          </w:p>
        </w:tc>
        <w:tc>
          <w:tcPr>
            <w:tcW w:w="1559" w:type="dxa"/>
            <w:tcBorders>
              <w:top w:val="double" w:sz="6" w:space="0" w:color="366092"/>
              <w:left w:val="single" w:sz="4" w:space="0" w:color="366092"/>
              <w:bottom w:val="single" w:sz="4" w:space="0" w:color="366092"/>
              <w:right w:val="single" w:sz="4" w:space="0" w:color="366092"/>
            </w:tcBorders>
            <w:shd w:val="clear" w:color="auto" w:fill="auto"/>
            <w:noWrap/>
            <w:vAlign w:val="bottom"/>
            <w:hideMark/>
          </w:tcPr>
          <w:p w:rsidR="003D76D3" w:rsidRPr="003D76D3" w:rsidRDefault="003D76D3" w:rsidP="003D76D3">
            <w:pPr>
              <w:spacing w:after="0"/>
              <w:jc w:val="center"/>
              <w:rPr>
                <w:rFonts w:ascii="Arial" w:eastAsia="Times New Roman" w:hAnsi="Arial" w:cs="Arial"/>
                <w:b/>
                <w:bCs/>
                <w:color w:val="000000"/>
                <w:sz w:val="20"/>
                <w:lang w:val="en-GB" w:eastAsia="en-GB"/>
              </w:rPr>
            </w:pPr>
            <w:r w:rsidRPr="003D76D3">
              <w:rPr>
                <w:rFonts w:ascii="Arial" w:eastAsia="Times New Roman" w:hAnsi="Arial" w:cs="Arial"/>
                <w:b/>
                <w:bCs/>
                <w:color w:val="000000"/>
                <w:sz w:val="20"/>
                <w:lang w:val="en-GB" w:eastAsia="en-GB"/>
              </w:rPr>
              <w:t>1854</w:t>
            </w:r>
          </w:p>
        </w:tc>
      </w:tr>
    </w:tbl>
    <w:p w:rsidR="003D76D3" w:rsidRPr="003D76D3" w:rsidRDefault="003D76D3" w:rsidP="003D76D3">
      <w:pPr>
        <w:spacing w:after="0"/>
        <w:rPr>
          <w:b/>
          <w:sz w:val="22"/>
          <w:szCs w:val="22"/>
        </w:rPr>
      </w:pPr>
    </w:p>
    <w:p w:rsidR="003D76D3" w:rsidRDefault="003D76D3" w:rsidP="004165CB">
      <w:pPr>
        <w:spacing w:after="0"/>
        <w:rPr>
          <w:sz w:val="22"/>
          <w:szCs w:val="22"/>
        </w:rPr>
      </w:pPr>
    </w:p>
    <w:p w:rsidR="003D76D3" w:rsidRPr="00F36683" w:rsidRDefault="003D76D3" w:rsidP="004165CB">
      <w:pPr>
        <w:spacing w:after="0"/>
        <w:rPr>
          <w:sz w:val="22"/>
          <w:szCs w:val="22"/>
        </w:rPr>
      </w:pPr>
    </w:p>
    <w:sectPr w:rsidR="003D76D3" w:rsidRPr="00F36683" w:rsidSect="000012DD">
      <w:footerReference w:type="default" r:id="rId9"/>
      <w:headerReference w:type="first" r:id="rId10"/>
      <w:footerReference w:type="first" r:id="rId11"/>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BB8" w:rsidRDefault="00537BB8" w:rsidP="00CA190E">
      <w:pPr>
        <w:spacing w:after="0"/>
      </w:pPr>
      <w:r>
        <w:separator/>
      </w:r>
    </w:p>
  </w:endnote>
  <w:endnote w:type="continuationSeparator" w:id="0">
    <w:p w:rsidR="00537BB8" w:rsidRDefault="00537BB8" w:rsidP="00CA19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BB8" w:rsidRPr="000671CA" w:rsidRDefault="00537BB8" w:rsidP="00290C23">
    <w:pPr>
      <w:pStyle w:val="Footer"/>
      <w:rPr>
        <w:sz w:val="18"/>
      </w:rPr>
    </w:pPr>
    <w:r>
      <w:rPr>
        <w:sz w:val="18"/>
      </w:rPr>
      <w:tab/>
    </w:r>
    <w:r w:rsidRPr="000671CA">
      <w:rPr>
        <w:sz w:val="18"/>
      </w:rPr>
      <w:t xml:space="preserve">Page </w:t>
    </w:r>
    <w:r w:rsidRPr="000671CA">
      <w:rPr>
        <w:b/>
        <w:sz w:val="18"/>
      </w:rPr>
      <w:fldChar w:fldCharType="begin"/>
    </w:r>
    <w:r w:rsidRPr="000671CA">
      <w:rPr>
        <w:b/>
        <w:sz w:val="18"/>
      </w:rPr>
      <w:instrText xml:space="preserve"> PAGE  \* Arabic  \* MERGEFORMAT </w:instrText>
    </w:r>
    <w:r w:rsidRPr="000671CA">
      <w:rPr>
        <w:b/>
        <w:sz w:val="18"/>
      </w:rPr>
      <w:fldChar w:fldCharType="separate"/>
    </w:r>
    <w:r w:rsidR="00C40964">
      <w:rPr>
        <w:b/>
        <w:noProof/>
        <w:sz w:val="18"/>
      </w:rPr>
      <w:t>9</w:t>
    </w:r>
    <w:r w:rsidRPr="000671CA">
      <w:rPr>
        <w:b/>
        <w:sz w:val="18"/>
      </w:rPr>
      <w:fldChar w:fldCharType="end"/>
    </w:r>
    <w:r w:rsidRPr="000671CA">
      <w:rPr>
        <w:sz w:val="18"/>
      </w:rPr>
      <w:t xml:space="preserve"> of </w:t>
    </w:r>
    <w:r w:rsidRPr="000671CA">
      <w:rPr>
        <w:b/>
        <w:sz w:val="18"/>
      </w:rPr>
      <w:fldChar w:fldCharType="begin"/>
    </w:r>
    <w:r w:rsidRPr="000671CA">
      <w:rPr>
        <w:b/>
        <w:sz w:val="18"/>
      </w:rPr>
      <w:instrText xml:space="preserve"> NUMPAGES  \* Arabic  \* MERGEFORMAT </w:instrText>
    </w:r>
    <w:r w:rsidRPr="000671CA">
      <w:rPr>
        <w:b/>
        <w:sz w:val="18"/>
      </w:rPr>
      <w:fldChar w:fldCharType="separate"/>
    </w:r>
    <w:r w:rsidR="00C40964">
      <w:rPr>
        <w:b/>
        <w:noProof/>
        <w:sz w:val="18"/>
      </w:rPr>
      <w:t>9</w:t>
    </w:r>
    <w:r w:rsidRPr="000671CA">
      <w:rPr>
        <w:b/>
        <w:sz w:val="18"/>
      </w:rPr>
      <w:fldChar w:fldCharType="end"/>
    </w:r>
  </w:p>
  <w:p w:rsidR="00537BB8" w:rsidRDefault="00537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BB8" w:rsidRPr="000671CA" w:rsidRDefault="00537BB8">
    <w:pPr>
      <w:pStyle w:val="Footer"/>
      <w:rPr>
        <w:sz w:val="18"/>
      </w:rPr>
    </w:pPr>
    <w:r>
      <w:rPr>
        <w:noProof/>
        <w:sz w:val="18"/>
        <w:lang w:val="en-GB" w:eastAsia="en-GB"/>
      </w:rPr>
      <mc:AlternateContent>
        <mc:Choice Requires="wps">
          <w:drawing>
            <wp:anchor distT="0" distB="0" distL="114300" distR="114300" simplePos="0" relativeHeight="251659264" behindDoc="0" locked="0" layoutInCell="1" allowOverlap="1" wp14:anchorId="43C14FAC" wp14:editId="6A1A4011">
              <wp:simplePos x="0" y="0"/>
              <wp:positionH relativeFrom="column">
                <wp:posOffset>19049</wp:posOffset>
              </wp:positionH>
              <wp:positionV relativeFrom="paragraph">
                <wp:posOffset>-114935</wp:posOffset>
              </wp:positionV>
              <wp:extent cx="5705475" cy="190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7054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F74EFD"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9.05pt" to="450.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" strokecolor="black [3040]"/>
          </w:pict>
        </mc:Fallback>
      </mc:AlternateContent>
    </w:r>
    <w:r>
      <w:rPr>
        <w:sz w:val="18"/>
      </w:rPr>
      <w:tab/>
    </w:r>
    <w:r w:rsidRPr="000671CA">
      <w:rPr>
        <w:sz w:val="18"/>
      </w:rPr>
      <w:t xml:space="preserve">Page </w:t>
    </w:r>
    <w:r w:rsidRPr="000671CA">
      <w:rPr>
        <w:b/>
        <w:sz w:val="18"/>
      </w:rPr>
      <w:fldChar w:fldCharType="begin"/>
    </w:r>
    <w:r w:rsidRPr="000671CA">
      <w:rPr>
        <w:b/>
        <w:sz w:val="18"/>
      </w:rPr>
      <w:instrText xml:space="preserve"> PAGE  \* Arabic  \* MERGEFORMAT </w:instrText>
    </w:r>
    <w:r w:rsidRPr="000671CA">
      <w:rPr>
        <w:b/>
        <w:sz w:val="18"/>
      </w:rPr>
      <w:fldChar w:fldCharType="separate"/>
    </w:r>
    <w:r w:rsidR="00C40964">
      <w:rPr>
        <w:b/>
        <w:noProof/>
        <w:sz w:val="18"/>
      </w:rPr>
      <w:t>1</w:t>
    </w:r>
    <w:r w:rsidRPr="000671CA">
      <w:rPr>
        <w:b/>
        <w:sz w:val="18"/>
      </w:rPr>
      <w:fldChar w:fldCharType="end"/>
    </w:r>
    <w:r w:rsidRPr="000671CA">
      <w:rPr>
        <w:sz w:val="18"/>
      </w:rPr>
      <w:t xml:space="preserve"> of </w:t>
    </w:r>
    <w:r w:rsidRPr="000671CA">
      <w:rPr>
        <w:b/>
        <w:sz w:val="18"/>
      </w:rPr>
      <w:fldChar w:fldCharType="begin"/>
    </w:r>
    <w:r w:rsidRPr="000671CA">
      <w:rPr>
        <w:b/>
        <w:sz w:val="18"/>
      </w:rPr>
      <w:instrText xml:space="preserve"> NUMPAGES  \* Arabic  \* MERGEFORMAT </w:instrText>
    </w:r>
    <w:r w:rsidRPr="000671CA">
      <w:rPr>
        <w:b/>
        <w:sz w:val="18"/>
      </w:rPr>
      <w:fldChar w:fldCharType="separate"/>
    </w:r>
    <w:r w:rsidR="00C40964">
      <w:rPr>
        <w:b/>
        <w:noProof/>
        <w:sz w:val="18"/>
      </w:rPr>
      <w:t>9</w:t>
    </w:r>
    <w:r w:rsidRPr="000671CA">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BB8" w:rsidRDefault="00537BB8" w:rsidP="00CA190E">
      <w:pPr>
        <w:spacing w:after="0"/>
      </w:pPr>
      <w:r>
        <w:separator/>
      </w:r>
    </w:p>
  </w:footnote>
  <w:footnote w:type="continuationSeparator" w:id="0">
    <w:p w:rsidR="00537BB8" w:rsidRDefault="00537BB8" w:rsidP="00CA19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6" w:type="dxa"/>
      <w:tblLayout w:type="fixed"/>
      <w:tblLook w:val="04A0" w:firstRow="1" w:lastRow="0" w:firstColumn="1" w:lastColumn="0" w:noHBand="0" w:noVBand="1"/>
    </w:tblPr>
    <w:tblGrid>
      <w:gridCol w:w="2919"/>
      <w:gridCol w:w="2920"/>
      <w:gridCol w:w="3767"/>
    </w:tblGrid>
    <w:tr w:rsidR="00537BB8" w:rsidTr="003D4C18">
      <w:tc>
        <w:tcPr>
          <w:tcW w:w="2919" w:type="dxa"/>
          <w:hideMark/>
        </w:tcPr>
        <w:p w:rsidR="00537BB8" w:rsidRDefault="00537BB8" w:rsidP="000671CA">
          <w:pPr>
            <w:pStyle w:val="Heading1"/>
            <w:jc w:val="center"/>
            <w:rPr>
              <w:noProof/>
            </w:rPr>
          </w:pPr>
        </w:p>
      </w:tc>
      <w:tc>
        <w:tcPr>
          <w:tcW w:w="2920" w:type="dxa"/>
          <w:hideMark/>
        </w:tcPr>
        <w:p w:rsidR="00537BB8" w:rsidRDefault="00537BB8" w:rsidP="000671CA">
          <w:pPr>
            <w:pStyle w:val="Heading1"/>
            <w:jc w:val="center"/>
            <w:rPr>
              <w:noProof/>
            </w:rPr>
          </w:pPr>
        </w:p>
      </w:tc>
      <w:tc>
        <w:tcPr>
          <w:tcW w:w="3767" w:type="dxa"/>
          <w:hideMark/>
        </w:tcPr>
        <w:p w:rsidR="00537BB8" w:rsidRDefault="00537BB8" w:rsidP="000671CA">
          <w:pPr>
            <w:pStyle w:val="Heading1"/>
            <w:ind w:right="-108"/>
            <w:jc w:val="center"/>
            <w:rPr>
              <w:noProof/>
              <w:lang w:val="en-GB"/>
            </w:rPr>
          </w:pPr>
        </w:p>
      </w:tc>
    </w:tr>
  </w:tbl>
  <w:p w:rsidR="00537BB8" w:rsidRDefault="00537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6A7A"/>
    <w:multiLevelType w:val="hybridMultilevel"/>
    <w:tmpl w:val="100A9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C0BC9"/>
    <w:multiLevelType w:val="hybridMultilevel"/>
    <w:tmpl w:val="BD76FE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EC0AA4"/>
    <w:multiLevelType w:val="multilevel"/>
    <w:tmpl w:val="F00C86BC"/>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A76A30"/>
    <w:multiLevelType w:val="hybridMultilevel"/>
    <w:tmpl w:val="CE9CAF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4E4833"/>
    <w:multiLevelType w:val="hybridMultilevel"/>
    <w:tmpl w:val="0F44006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374590"/>
    <w:multiLevelType w:val="multilevel"/>
    <w:tmpl w:val="D806E4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E62AB7"/>
    <w:multiLevelType w:val="hybridMultilevel"/>
    <w:tmpl w:val="BC1CF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EA3CFD"/>
    <w:multiLevelType w:val="hybridMultilevel"/>
    <w:tmpl w:val="C6AEA47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5A87A39"/>
    <w:multiLevelType w:val="multilevel"/>
    <w:tmpl w:val="FBFECE46"/>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DD0F06"/>
    <w:multiLevelType w:val="hybridMultilevel"/>
    <w:tmpl w:val="351E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8561F4"/>
    <w:multiLevelType w:val="multilevel"/>
    <w:tmpl w:val="265C19A8"/>
    <w:lvl w:ilvl="0">
      <w:start w:val="1"/>
      <w:numFmt w:val="decimal"/>
      <w:lvlText w:val="%1."/>
      <w:lvlJc w:val="left"/>
      <w:pPr>
        <w:ind w:left="1077" w:hanging="1077"/>
      </w:pPr>
      <w:rPr>
        <w:rFonts w:ascii="Arial" w:hAnsi="Arial" w:hint="default"/>
        <w:b/>
        <w:i w:val="0"/>
        <w:caps/>
        <w:color w:val="auto"/>
        <w:sz w:val="24"/>
      </w:rPr>
    </w:lvl>
    <w:lvl w:ilvl="1">
      <w:start w:val="1"/>
      <w:numFmt w:val="lowerRoman"/>
      <w:lvlText w:val="%2."/>
      <w:lvlJc w:val="right"/>
      <w:pPr>
        <w:tabs>
          <w:tab w:val="num" w:pos="1021"/>
        </w:tabs>
        <w:ind w:left="1077" w:hanging="1077"/>
      </w:pPr>
      <w:rPr>
        <w:rFonts w:hint="default"/>
        <w:b w:val="0"/>
        <w:i w:val="0"/>
        <w:sz w:val="22"/>
      </w:rPr>
    </w:lvl>
    <w:lvl w:ilvl="2">
      <w:start w:val="1"/>
      <w:numFmt w:val="decimal"/>
      <w:lvlText w:val="%1.%2.%3"/>
      <w:lvlJc w:val="left"/>
      <w:pPr>
        <w:ind w:left="1134" w:hanging="1134"/>
      </w:pPr>
      <w:rPr>
        <w:rFonts w:ascii="Arial" w:hAnsi="Arial" w:hint="default"/>
        <w:b w:val="0"/>
        <w:i w:val="0"/>
        <w:sz w:val="22"/>
      </w:rPr>
    </w:lvl>
    <w:lvl w:ilvl="3">
      <w:start w:val="1"/>
      <w:numFmt w:val="decimal"/>
      <w:lvlText w:val="%1.%2.%3.%4"/>
      <w:lvlJc w:val="left"/>
      <w:pPr>
        <w:ind w:left="1474" w:hanging="1474"/>
      </w:pPr>
      <w:rPr>
        <w:rFonts w:ascii="Arial" w:hAnsi="Arial" w:hint="default"/>
        <w:b w:val="0"/>
        <w:i w:val="0"/>
        <w:sz w:val="22"/>
      </w:rPr>
    </w:lvl>
    <w:lvl w:ilvl="4">
      <w:start w:val="1"/>
      <w:numFmt w:val="decimal"/>
      <w:lvlText w:val="%1.%2.%3.%4.%5"/>
      <w:lvlJc w:val="left"/>
      <w:pPr>
        <w:ind w:left="1928" w:hanging="1928"/>
      </w:pPr>
      <w:rPr>
        <w:rFonts w:ascii="Arial" w:hAnsi="Arial" w:hint="default"/>
        <w:b w:val="0"/>
        <w:i w:val="0"/>
        <w:sz w:val="22"/>
      </w:rPr>
    </w:lvl>
    <w:lvl w:ilvl="5">
      <w:start w:val="1"/>
      <w:numFmt w:val="decimal"/>
      <w:lvlText w:val="%1.%2.%3.%4.%5.%6"/>
      <w:lvlJc w:val="left"/>
      <w:pPr>
        <w:ind w:left="2268" w:hanging="2268"/>
      </w:pPr>
      <w:rPr>
        <w:rFonts w:ascii="Arial" w:hAnsi="Arial" w:hint="default"/>
        <w:b w:val="0"/>
        <w:i w:val="0"/>
        <w:sz w:val="22"/>
      </w:rPr>
    </w:lvl>
    <w:lvl w:ilvl="6">
      <w:start w:val="1"/>
      <w:numFmt w:val="decimal"/>
      <w:lvlText w:val="%1.%2.%3.%4.%5.%6.%7"/>
      <w:lvlJc w:val="left"/>
      <w:pPr>
        <w:ind w:left="2722" w:hanging="2722"/>
      </w:pPr>
      <w:rPr>
        <w:rFonts w:ascii="Arial" w:hAnsi="Arial" w:hint="default"/>
        <w:b w:val="0"/>
        <w:i w:val="0"/>
        <w:sz w:val="22"/>
      </w:rPr>
    </w:lvl>
    <w:lvl w:ilvl="7">
      <w:start w:val="1"/>
      <w:numFmt w:val="decimal"/>
      <w:lvlText w:val="%1.%2.%3.%4.%5.%6.%7.%8"/>
      <w:lvlJc w:val="left"/>
      <w:pPr>
        <w:ind w:left="3005" w:hanging="3005"/>
      </w:pPr>
      <w:rPr>
        <w:rFonts w:ascii="Arial" w:hAnsi="Arial" w:hint="default"/>
        <w:b w:val="0"/>
        <w:i w:val="0"/>
        <w:sz w:val="22"/>
      </w:rPr>
    </w:lvl>
    <w:lvl w:ilvl="8">
      <w:start w:val="1"/>
      <w:numFmt w:val="decimal"/>
      <w:lvlText w:val="%1.%2.%3.%4.%5.%6.%7.%8.%9"/>
      <w:lvlJc w:val="left"/>
      <w:pPr>
        <w:ind w:left="3402" w:hanging="3402"/>
      </w:pPr>
      <w:rPr>
        <w:rFonts w:ascii="Arial" w:hAnsi="Arial" w:hint="default"/>
        <w:b w:val="0"/>
        <w:i w:val="0"/>
        <w:sz w:val="22"/>
      </w:rPr>
    </w:lvl>
  </w:abstractNum>
  <w:abstractNum w:abstractNumId="12" w15:restartNumberingAfterBreak="0">
    <w:nsid w:val="5ADE52B6"/>
    <w:multiLevelType w:val="hybridMultilevel"/>
    <w:tmpl w:val="D8026A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2FD52DE"/>
    <w:multiLevelType w:val="hybridMultilevel"/>
    <w:tmpl w:val="9D2622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9F82132"/>
    <w:multiLevelType w:val="multilevel"/>
    <w:tmpl w:val="71089BCC"/>
    <w:lvl w:ilvl="0">
      <w:start w:val="3"/>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A22710A"/>
    <w:multiLevelType w:val="hybridMultilevel"/>
    <w:tmpl w:val="D50E0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7A3FF1"/>
    <w:multiLevelType w:val="hybridMultilevel"/>
    <w:tmpl w:val="99FCCB68"/>
    <w:lvl w:ilvl="0" w:tplc="3D00AEB4">
      <w:start w:val="2"/>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A04F7A"/>
    <w:multiLevelType w:val="multilevel"/>
    <w:tmpl w:val="79E49DD6"/>
    <w:lvl w:ilvl="0">
      <w:start w:val="3"/>
      <w:numFmt w:val="decimal"/>
      <w:lvlText w:val="%1"/>
      <w:lvlJc w:val="left"/>
      <w:pPr>
        <w:ind w:left="600" w:hanging="600"/>
      </w:pPr>
      <w:rPr>
        <w:rFonts w:hint="default"/>
        <w:color w:val="auto"/>
      </w:rPr>
    </w:lvl>
    <w:lvl w:ilvl="1">
      <w:start w:val="2"/>
      <w:numFmt w:val="decimal"/>
      <w:lvlText w:val="%1.%2"/>
      <w:lvlJc w:val="left"/>
      <w:pPr>
        <w:ind w:left="600" w:hanging="600"/>
      </w:pPr>
      <w:rPr>
        <w:rFonts w:hint="default"/>
        <w:color w:val="auto"/>
      </w:rPr>
    </w:lvl>
    <w:lvl w:ilvl="2">
      <w:start w:val="10"/>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6F31010A"/>
    <w:multiLevelType w:val="multilevel"/>
    <w:tmpl w:val="0AF23F7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02F14E2"/>
    <w:multiLevelType w:val="hybridMultilevel"/>
    <w:tmpl w:val="87A677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1A63293"/>
    <w:multiLevelType w:val="hybridMultilevel"/>
    <w:tmpl w:val="CC58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1C7E50"/>
    <w:multiLevelType w:val="multilevel"/>
    <w:tmpl w:val="3A60D45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D625C08"/>
    <w:multiLevelType w:val="hybridMultilevel"/>
    <w:tmpl w:val="EB1A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9"/>
  </w:num>
  <w:num w:numId="4">
    <w:abstractNumId w:val="16"/>
  </w:num>
  <w:num w:numId="5">
    <w:abstractNumId w:val="6"/>
  </w:num>
  <w:num w:numId="6">
    <w:abstractNumId w:val="7"/>
  </w:num>
  <w:num w:numId="7">
    <w:abstractNumId w:val="1"/>
  </w:num>
  <w:num w:numId="8">
    <w:abstractNumId w:val="12"/>
  </w:num>
  <w:num w:numId="9">
    <w:abstractNumId w:val="22"/>
  </w:num>
  <w:num w:numId="10">
    <w:abstractNumId w:val="14"/>
  </w:num>
  <w:num w:numId="11">
    <w:abstractNumId w:val="20"/>
  </w:num>
  <w:num w:numId="12">
    <w:abstractNumId w:val="19"/>
  </w:num>
  <w:num w:numId="13">
    <w:abstractNumId w:val="4"/>
  </w:num>
  <w:num w:numId="14">
    <w:abstractNumId w:val="17"/>
  </w:num>
  <w:num w:numId="15">
    <w:abstractNumId w:val="18"/>
  </w:num>
  <w:num w:numId="16">
    <w:abstractNumId w:val="2"/>
  </w:num>
  <w:num w:numId="17">
    <w:abstractNumId w:val="23"/>
  </w:num>
  <w:num w:numId="18">
    <w:abstractNumId w:val="0"/>
  </w:num>
  <w:num w:numId="19">
    <w:abstractNumId w:val="10"/>
  </w:num>
  <w:num w:numId="20">
    <w:abstractNumId w:val="3"/>
  </w:num>
  <w:num w:numId="21">
    <w:abstractNumId w:val="15"/>
  </w:num>
  <w:num w:numId="22">
    <w:abstractNumId w:val="13"/>
  </w:num>
  <w:num w:numId="23">
    <w:abstractNumId w:val="11"/>
  </w:num>
  <w:num w:numId="2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90E"/>
    <w:rsid w:val="000012DD"/>
    <w:rsid w:val="00013D11"/>
    <w:rsid w:val="000409B5"/>
    <w:rsid w:val="000671CA"/>
    <w:rsid w:val="000724DF"/>
    <w:rsid w:val="00075C51"/>
    <w:rsid w:val="000948A0"/>
    <w:rsid w:val="0009637E"/>
    <w:rsid w:val="000A64D6"/>
    <w:rsid w:val="000A7B85"/>
    <w:rsid w:val="000B0329"/>
    <w:rsid w:val="000B3F99"/>
    <w:rsid w:val="000C47D9"/>
    <w:rsid w:val="000C662E"/>
    <w:rsid w:val="000E0A88"/>
    <w:rsid w:val="000E2F9E"/>
    <w:rsid w:val="000F57C9"/>
    <w:rsid w:val="001026A8"/>
    <w:rsid w:val="0010301A"/>
    <w:rsid w:val="00114859"/>
    <w:rsid w:val="00131CF3"/>
    <w:rsid w:val="00137CE5"/>
    <w:rsid w:val="00141B5A"/>
    <w:rsid w:val="00141DFB"/>
    <w:rsid w:val="0016219B"/>
    <w:rsid w:val="001A2C3B"/>
    <w:rsid w:val="001B2C35"/>
    <w:rsid w:val="001B6643"/>
    <w:rsid w:val="001F2D5B"/>
    <w:rsid w:val="001F37AB"/>
    <w:rsid w:val="0021367B"/>
    <w:rsid w:val="00232578"/>
    <w:rsid w:val="00233E6D"/>
    <w:rsid w:val="00236D6A"/>
    <w:rsid w:val="0024585A"/>
    <w:rsid w:val="00253930"/>
    <w:rsid w:val="00276937"/>
    <w:rsid w:val="00282D20"/>
    <w:rsid w:val="002905A4"/>
    <w:rsid w:val="00290C23"/>
    <w:rsid w:val="002A586F"/>
    <w:rsid w:val="002A5A75"/>
    <w:rsid w:val="002B65DC"/>
    <w:rsid w:val="002D359C"/>
    <w:rsid w:val="002F2914"/>
    <w:rsid w:val="002F7C2F"/>
    <w:rsid w:val="003038BD"/>
    <w:rsid w:val="00320665"/>
    <w:rsid w:val="0032431C"/>
    <w:rsid w:val="00342E67"/>
    <w:rsid w:val="003515F5"/>
    <w:rsid w:val="00360CC2"/>
    <w:rsid w:val="00382E3C"/>
    <w:rsid w:val="003B39ED"/>
    <w:rsid w:val="003B5386"/>
    <w:rsid w:val="003D4C18"/>
    <w:rsid w:val="003D76D3"/>
    <w:rsid w:val="003E3459"/>
    <w:rsid w:val="003E4C68"/>
    <w:rsid w:val="00402055"/>
    <w:rsid w:val="00402328"/>
    <w:rsid w:val="004165CB"/>
    <w:rsid w:val="00427472"/>
    <w:rsid w:val="00434E5C"/>
    <w:rsid w:val="00463F47"/>
    <w:rsid w:val="004755BC"/>
    <w:rsid w:val="00475BE8"/>
    <w:rsid w:val="00477506"/>
    <w:rsid w:val="00483F12"/>
    <w:rsid w:val="00490FBE"/>
    <w:rsid w:val="00493252"/>
    <w:rsid w:val="004936AC"/>
    <w:rsid w:val="00493B0A"/>
    <w:rsid w:val="004A6FD4"/>
    <w:rsid w:val="004C43BE"/>
    <w:rsid w:val="004D38C2"/>
    <w:rsid w:val="004E668E"/>
    <w:rsid w:val="004E7E28"/>
    <w:rsid w:val="00525C60"/>
    <w:rsid w:val="0053673D"/>
    <w:rsid w:val="00537BB8"/>
    <w:rsid w:val="00540E4D"/>
    <w:rsid w:val="00541AA9"/>
    <w:rsid w:val="00541E4D"/>
    <w:rsid w:val="005553D4"/>
    <w:rsid w:val="00572785"/>
    <w:rsid w:val="00587536"/>
    <w:rsid w:val="00590586"/>
    <w:rsid w:val="00595D3B"/>
    <w:rsid w:val="005A5B4A"/>
    <w:rsid w:val="005B3110"/>
    <w:rsid w:val="005B37F1"/>
    <w:rsid w:val="005B44EE"/>
    <w:rsid w:val="005C20BA"/>
    <w:rsid w:val="005C2850"/>
    <w:rsid w:val="005C3A0F"/>
    <w:rsid w:val="005E48D8"/>
    <w:rsid w:val="005E4EAD"/>
    <w:rsid w:val="005F62F9"/>
    <w:rsid w:val="0060038D"/>
    <w:rsid w:val="006150FA"/>
    <w:rsid w:val="006255A7"/>
    <w:rsid w:val="00626B16"/>
    <w:rsid w:val="006275B4"/>
    <w:rsid w:val="00630AA6"/>
    <w:rsid w:val="00631DA9"/>
    <w:rsid w:val="006340C8"/>
    <w:rsid w:val="00634DC6"/>
    <w:rsid w:val="00642F77"/>
    <w:rsid w:val="00646CB3"/>
    <w:rsid w:val="006604F9"/>
    <w:rsid w:val="006606EA"/>
    <w:rsid w:val="006640C0"/>
    <w:rsid w:val="006B7F4F"/>
    <w:rsid w:val="006F0E09"/>
    <w:rsid w:val="00702278"/>
    <w:rsid w:val="00705D4B"/>
    <w:rsid w:val="00736475"/>
    <w:rsid w:val="00752D7F"/>
    <w:rsid w:val="00774E18"/>
    <w:rsid w:val="00776675"/>
    <w:rsid w:val="00792870"/>
    <w:rsid w:val="007974F2"/>
    <w:rsid w:val="007B2A78"/>
    <w:rsid w:val="007E0F8F"/>
    <w:rsid w:val="00800617"/>
    <w:rsid w:val="00814797"/>
    <w:rsid w:val="00815597"/>
    <w:rsid w:val="00820B00"/>
    <w:rsid w:val="00820F62"/>
    <w:rsid w:val="00821A8B"/>
    <w:rsid w:val="008254D2"/>
    <w:rsid w:val="008271A6"/>
    <w:rsid w:val="00850126"/>
    <w:rsid w:val="008807F3"/>
    <w:rsid w:val="00896B66"/>
    <w:rsid w:val="008A016C"/>
    <w:rsid w:val="008A1449"/>
    <w:rsid w:val="008A2194"/>
    <w:rsid w:val="008B41C4"/>
    <w:rsid w:val="008B7814"/>
    <w:rsid w:val="008E1026"/>
    <w:rsid w:val="0091184B"/>
    <w:rsid w:val="00925A17"/>
    <w:rsid w:val="00935DA5"/>
    <w:rsid w:val="00941134"/>
    <w:rsid w:val="00942625"/>
    <w:rsid w:val="00947425"/>
    <w:rsid w:val="00947C60"/>
    <w:rsid w:val="00981610"/>
    <w:rsid w:val="00986480"/>
    <w:rsid w:val="00990C95"/>
    <w:rsid w:val="009935FD"/>
    <w:rsid w:val="009A368F"/>
    <w:rsid w:val="009A57EA"/>
    <w:rsid w:val="009B1D32"/>
    <w:rsid w:val="009B4EF9"/>
    <w:rsid w:val="009B7838"/>
    <w:rsid w:val="009C1864"/>
    <w:rsid w:val="009E3362"/>
    <w:rsid w:val="009E467D"/>
    <w:rsid w:val="009F2251"/>
    <w:rsid w:val="009F46E9"/>
    <w:rsid w:val="00A06D27"/>
    <w:rsid w:val="00A0759F"/>
    <w:rsid w:val="00A25FF6"/>
    <w:rsid w:val="00A26602"/>
    <w:rsid w:val="00A43163"/>
    <w:rsid w:val="00A43422"/>
    <w:rsid w:val="00A46A00"/>
    <w:rsid w:val="00A654F2"/>
    <w:rsid w:val="00A74CD7"/>
    <w:rsid w:val="00A8623C"/>
    <w:rsid w:val="00AB10AC"/>
    <w:rsid w:val="00AD6D9F"/>
    <w:rsid w:val="00AE54B0"/>
    <w:rsid w:val="00AF2D09"/>
    <w:rsid w:val="00B1419B"/>
    <w:rsid w:val="00B235BB"/>
    <w:rsid w:val="00B35080"/>
    <w:rsid w:val="00B35211"/>
    <w:rsid w:val="00B35DC1"/>
    <w:rsid w:val="00B44341"/>
    <w:rsid w:val="00B44D67"/>
    <w:rsid w:val="00B45A4D"/>
    <w:rsid w:val="00B466B8"/>
    <w:rsid w:val="00B4779D"/>
    <w:rsid w:val="00B50FC0"/>
    <w:rsid w:val="00B65574"/>
    <w:rsid w:val="00B703D5"/>
    <w:rsid w:val="00B81E43"/>
    <w:rsid w:val="00BA27E6"/>
    <w:rsid w:val="00BA4BEF"/>
    <w:rsid w:val="00BB1B24"/>
    <w:rsid w:val="00BC51C6"/>
    <w:rsid w:val="00BD5DD1"/>
    <w:rsid w:val="00BD6132"/>
    <w:rsid w:val="00BE413E"/>
    <w:rsid w:val="00C061F7"/>
    <w:rsid w:val="00C10891"/>
    <w:rsid w:val="00C11824"/>
    <w:rsid w:val="00C1790E"/>
    <w:rsid w:val="00C275CF"/>
    <w:rsid w:val="00C40964"/>
    <w:rsid w:val="00C40F63"/>
    <w:rsid w:val="00C46B4C"/>
    <w:rsid w:val="00C52291"/>
    <w:rsid w:val="00C60F26"/>
    <w:rsid w:val="00C805AD"/>
    <w:rsid w:val="00C8321B"/>
    <w:rsid w:val="00C8416E"/>
    <w:rsid w:val="00CA190E"/>
    <w:rsid w:val="00CB1111"/>
    <w:rsid w:val="00CC0C26"/>
    <w:rsid w:val="00CD2E4F"/>
    <w:rsid w:val="00CE0701"/>
    <w:rsid w:val="00CF004F"/>
    <w:rsid w:val="00CF3EEF"/>
    <w:rsid w:val="00D212BE"/>
    <w:rsid w:val="00D348BA"/>
    <w:rsid w:val="00D4641F"/>
    <w:rsid w:val="00D83850"/>
    <w:rsid w:val="00D85A70"/>
    <w:rsid w:val="00D953B6"/>
    <w:rsid w:val="00DB5E9D"/>
    <w:rsid w:val="00DE3F66"/>
    <w:rsid w:val="00DE5CE8"/>
    <w:rsid w:val="00DE7F1F"/>
    <w:rsid w:val="00E334AF"/>
    <w:rsid w:val="00E34ABF"/>
    <w:rsid w:val="00E359CC"/>
    <w:rsid w:val="00E41434"/>
    <w:rsid w:val="00E42D46"/>
    <w:rsid w:val="00E43681"/>
    <w:rsid w:val="00E44572"/>
    <w:rsid w:val="00E448F6"/>
    <w:rsid w:val="00E60384"/>
    <w:rsid w:val="00E9496E"/>
    <w:rsid w:val="00E95A49"/>
    <w:rsid w:val="00EA1060"/>
    <w:rsid w:val="00EA15F1"/>
    <w:rsid w:val="00EB6096"/>
    <w:rsid w:val="00EC5BB3"/>
    <w:rsid w:val="00ED2867"/>
    <w:rsid w:val="00EE061E"/>
    <w:rsid w:val="00F04323"/>
    <w:rsid w:val="00F047CE"/>
    <w:rsid w:val="00F10E41"/>
    <w:rsid w:val="00F1644B"/>
    <w:rsid w:val="00F31D72"/>
    <w:rsid w:val="00F36683"/>
    <w:rsid w:val="00F43CCB"/>
    <w:rsid w:val="00F512BC"/>
    <w:rsid w:val="00F54BB3"/>
    <w:rsid w:val="00F609A6"/>
    <w:rsid w:val="00FC5780"/>
    <w:rsid w:val="00FD1663"/>
    <w:rsid w:val="00FD16D1"/>
    <w:rsid w:val="00FE6CD0"/>
    <w:rsid w:val="00FE7007"/>
    <w:rsid w:val="00FF5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12170E15-8765-4193-8402-FB951796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190E"/>
    <w:pPr>
      <w:spacing w:line="240" w:lineRule="auto"/>
    </w:pPr>
    <w:rPr>
      <w:rFonts w:eastAsiaTheme="minorEastAsia"/>
      <w:sz w:val="24"/>
      <w:szCs w:val="20"/>
      <w:lang w:val="en-US" w:eastAsia="ja-JP"/>
    </w:rPr>
  </w:style>
  <w:style w:type="paragraph" w:styleId="Heading1">
    <w:name w:val="heading 1"/>
    <w:basedOn w:val="Normal"/>
    <w:next w:val="Normal"/>
    <w:link w:val="Heading1Char"/>
    <w:qFormat/>
    <w:rsid w:val="00CA190E"/>
    <w:pPr>
      <w:keepNext/>
      <w:spacing w:after="0"/>
      <w:outlineLvl w:val="0"/>
    </w:pPr>
    <w:rPr>
      <w:rFonts w:ascii="Arial" w:eastAsia="Times New Roman" w:hAnsi="Arial" w:cs="Times New Roman"/>
      <w:b/>
      <w:bCs/>
      <w:sz w:val="22"/>
      <w:szCs w:val="2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190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A190E"/>
    <w:pPr>
      <w:spacing w:after="0"/>
      <w:ind w:left="720"/>
    </w:pPr>
    <w:rPr>
      <w:rFonts w:ascii="Times New Roman" w:eastAsia="Times New Roman" w:hAnsi="Times New Roman" w:cs="Times New Roman"/>
      <w:szCs w:val="24"/>
      <w:lang w:val="en-GB" w:eastAsia="en-GB"/>
    </w:rPr>
  </w:style>
  <w:style w:type="paragraph" w:styleId="Header">
    <w:name w:val="header"/>
    <w:basedOn w:val="Normal"/>
    <w:link w:val="HeaderChar"/>
    <w:uiPriority w:val="99"/>
    <w:unhideWhenUsed/>
    <w:rsid w:val="00CA190E"/>
    <w:pPr>
      <w:tabs>
        <w:tab w:val="center" w:pos="4513"/>
        <w:tab w:val="right" w:pos="9026"/>
      </w:tabs>
      <w:spacing w:after="0"/>
    </w:pPr>
  </w:style>
  <w:style w:type="character" w:customStyle="1" w:styleId="HeaderChar">
    <w:name w:val="Header Char"/>
    <w:basedOn w:val="DefaultParagraphFont"/>
    <w:link w:val="Header"/>
    <w:uiPriority w:val="99"/>
    <w:rsid w:val="00CA190E"/>
    <w:rPr>
      <w:rFonts w:eastAsiaTheme="minorEastAsia"/>
      <w:sz w:val="24"/>
      <w:szCs w:val="20"/>
      <w:lang w:val="en-US" w:eastAsia="ja-JP"/>
    </w:rPr>
  </w:style>
  <w:style w:type="paragraph" w:styleId="Footer">
    <w:name w:val="footer"/>
    <w:basedOn w:val="Normal"/>
    <w:link w:val="FooterChar"/>
    <w:uiPriority w:val="99"/>
    <w:unhideWhenUsed/>
    <w:rsid w:val="00CA190E"/>
    <w:pPr>
      <w:tabs>
        <w:tab w:val="center" w:pos="4513"/>
        <w:tab w:val="right" w:pos="9026"/>
      </w:tabs>
      <w:spacing w:after="0"/>
    </w:pPr>
  </w:style>
  <w:style w:type="character" w:customStyle="1" w:styleId="FooterChar">
    <w:name w:val="Footer Char"/>
    <w:basedOn w:val="DefaultParagraphFont"/>
    <w:link w:val="Footer"/>
    <w:uiPriority w:val="99"/>
    <w:rsid w:val="00CA190E"/>
    <w:rPr>
      <w:rFonts w:eastAsiaTheme="minorEastAsia"/>
      <w:sz w:val="24"/>
      <w:szCs w:val="20"/>
      <w:lang w:val="en-US" w:eastAsia="ja-JP"/>
    </w:rPr>
  </w:style>
  <w:style w:type="character" w:customStyle="1" w:styleId="Heading1Char">
    <w:name w:val="Heading 1 Char"/>
    <w:basedOn w:val="DefaultParagraphFont"/>
    <w:link w:val="Heading1"/>
    <w:rsid w:val="00CA190E"/>
    <w:rPr>
      <w:rFonts w:ascii="Arial" w:eastAsia="Times New Roman" w:hAnsi="Arial" w:cs="Times New Roman"/>
      <w:b/>
      <w:bCs/>
      <w:lang w:val="x-none"/>
    </w:rPr>
  </w:style>
  <w:style w:type="paragraph" w:styleId="BalloonText">
    <w:name w:val="Balloon Text"/>
    <w:basedOn w:val="Normal"/>
    <w:link w:val="BalloonTextChar"/>
    <w:uiPriority w:val="99"/>
    <w:semiHidden/>
    <w:unhideWhenUsed/>
    <w:rsid w:val="00CA190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90E"/>
    <w:rPr>
      <w:rFonts w:ascii="Tahoma" w:eastAsiaTheme="minorEastAsia" w:hAnsi="Tahoma" w:cs="Tahoma"/>
      <w:sz w:val="16"/>
      <w:szCs w:val="16"/>
      <w:lang w:val="en-US" w:eastAsia="ja-JP"/>
    </w:rPr>
  </w:style>
  <w:style w:type="character" w:styleId="Hyperlink">
    <w:name w:val="Hyperlink"/>
    <w:basedOn w:val="DefaultParagraphFont"/>
    <w:uiPriority w:val="99"/>
    <w:unhideWhenUsed/>
    <w:rsid w:val="004A6FD4"/>
    <w:rPr>
      <w:color w:val="0000FF" w:themeColor="hyperlink"/>
      <w:u w:val="single"/>
    </w:rPr>
  </w:style>
  <w:style w:type="paragraph" w:styleId="BodyText">
    <w:name w:val="Body Text"/>
    <w:basedOn w:val="Normal"/>
    <w:link w:val="BodyTextChar"/>
    <w:semiHidden/>
    <w:rsid w:val="008271A6"/>
    <w:pPr>
      <w:spacing w:after="0"/>
    </w:pPr>
    <w:rPr>
      <w:rFonts w:ascii="Arial" w:eastAsia="Times New Roman" w:hAnsi="Arial" w:cs="Arial"/>
      <w:sz w:val="22"/>
      <w:szCs w:val="22"/>
      <w:lang w:val="en-GB" w:eastAsia="en-US"/>
    </w:rPr>
  </w:style>
  <w:style w:type="character" w:customStyle="1" w:styleId="BodyTextChar">
    <w:name w:val="Body Text Char"/>
    <w:basedOn w:val="DefaultParagraphFont"/>
    <w:link w:val="BodyText"/>
    <w:semiHidden/>
    <w:rsid w:val="008271A6"/>
    <w:rPr>
      <w:rFonts w:ascii="Arial" w:eastAsia="Times New Roman" w:hAnsi="Arial" w:cs="Arial"/>
    </w:rPr>
  </w:style>
  <w:style w:type="paragraph" w:styleId="NormalWeb">
    <w:name w:val="Normal (Web)"/>
    <w:basedOn w:val="Normal"/>
    <w:uiPriority w:val="99"/>
    <w:rsid w:val="0010301A"/>
    <w:pPr>
      <w:spacing w:before="100" w:beforeAutospacing="1" w:after="100" w:afterAutospacing="1" w:line="360" w:lineRule="atLeast"/>
    </w:pPr>
    <w:rPr>
      <w:rFonts w:ascii="Arial" w:eastAsia="Times New Roman" w:hAnsi="Arial" w:cs="Arial"/>
      <w:color w:val="000000"/>
      <w:sz w:val="22"/>
      <w:szCs w:val="22"/>
      <w:lang w:val="en-GB" w:eastAsia="en-GB"/>
    </w:rPr>
  </w:style>
  <w:style w:type="character" w:styleId="FootnoteReference">
    <w:name w:val="footnote reference"/>
    <w:uiPriority w:val="99"/>
    <w:semiHidden/>
    <w:rsid w:val="00947C60"/>
    <w:rPr>
      <w:vertAlign w:val="superscript"/>
    </w:rPr>
  </w:style>
  <w:style w:type="paragraph" w:styleId="EndnoteText">
    <w:name w:val="endnote text"/>
    <w:basedOn w:val="Normal"/>
    <w:link w:val="EndnoteTextChar"/>
    <w:uiPriority w:val="99"/>
    <w:semiHidden/>
    <w:unhideWhenUsed/>
    <w:rsid w:val="00AF2D09"/>
    <w:pPr>
      <w:spacing w:after="0"/>
    </w:pPr>
    <w:rPr>
      <w:sz w:val="20"/>
    </w:rPr>
  </w:style>
  <w:style w:type="character" w:customStyle="1" w:styleId="EndnoteTextChar">
    <w:name w:val="Endnote Text Char"/>
    <w:basedOn w:val="DefaultParagraphFont"/>
    <w:link w:val="EndnoteText"/>
    <w:uiPriority w:val="99"/>
    <w:semiHidden/>
    <w:rsid w:val="00AF2D09"/>
    <w:rPr>
      <w:rFonts w:eastAsiaTheme="minorEastAsia"/>
      <w:sz w:val="20"/>
      <w:szCs w:val="20"/>
      <w:lang w:val="en-US" w:eastAsia="ja-JP"/>
    </w:rPr>
  </w:style>
  <w:style w:type="paragraph" w:styleId="FootnoteText">
    <w:name w:val="footnote text"/>
    <w:basedOn w:val="Normal"/>
    <w:link w:val="FootnoteTextChar"/>
    <w:uiPriority w:val="99"/>
    <w:semiHidden/>
    <w:unhideWhenUsed/>
    <w:rsid w:val="00AF2D09"/>
    <w:pPr>
      <w:spacing w:after="0"/>
    </w:pPr>
    <w:rPr>
      <w:sz w:val="20"/>
    </w:rPr>
  </w:style>
  <w:style w:type="character" w:customStyle="1" w:styleId="FootnoteTextChar">
    <w:name w:val="Footnote Text Char"/>
    <w:basedOn w:val="DefaultParagraphFont"/>
    <w:link w:val="FootnoteText"/>
    <w:uiPriority w:val="99"/>
    <w:semiHidden/>
    <w:rsid w:val="00AF2D09"/>
    <w:rPr>
      <w:rFonts w:eastAsiaTheme="minorEastAsia"/>
      <w:sz w:val="20"/>
      <w:szCs w:val="20"/>
      <w:lang w:val="en-US" w:eastAsia="ja-JP"/>
    </w:rPr>
  </w:style>
  <w:style w:type="character" w:styleId="EndnoteReference">
    <w:name w:val="endnote reference"/>
    <w:basedOn w:val="DefaultParagraphFont"/>
    <w:uiPriority w:val="99"/>
    <w:semiHidden/>
    <w:unhideWhenUsed/>
    <w:rsid w:val="00AF2D09"/>
    <w:rPr>
      <w:vertAlign w:val="superscript"/>
    </w:rPr>
  </w:style>
  <w:style w:type="character" w:styleId="FollowedHyperlink">
    <w:name w:val="FollowedHyperlink"/>
    <w:basedOn w:val="DefaultParagraphFont"/>
    <w:uiPriority w:val="99"/>
    <w:semiHidden/>
    <w:unhideWhenUsed/>
    <w:rsid w:val="00C8321B"/>
    <w:rPr>
      <w:color w:val="800080" w:themeColor="followedHyperlink"/>
      <w:u w:val="single"/>
    </w:rPr>
  </w:style>
  <w:style w:type="character" w:styleId="CommentReference">
    <w:name w:val="annotation reference"/>
    <w:basedOn w:val="DefaultParagraphFont"/>
    <w:uiPriority w:val="99"/>
    <w:semiHidden/>
    <w:unhideWhenUsed/>
    <w:rsid w:val="00141DFB"/>
    <w:rPr>
      <w:sz w:val="16"/>
      <w:szCs w:val="16"/>
    </w:rPr>
  </w:style>
  <w:style w:type="paragraph" w:styleId="CommentText">
    <w:name w:val="annotation text"/>
    <w:basedOn w:val="Normal"/>
    <w:link w:val="CommentTextChar"/>
    <w:uiPriority w:val="99"/>
    <w:semiHidden/>
    <w:unhideWhenUsed/>
    <w:rsid w:val="00141DFB"/>
    <w:rPr>
      <w:sz w:val="20"/>
    </w:rPr>
  </w:style>
  <w:style w:type="character" w:customStyle="1" w:styleId="CommentTextChar">
    <w:name w:val="Comment Text Char"/>
    <w:basedOn w:val="DefaultParagraphFont"/>
    <w:link w:val="CommentText"/>
    <w:uiPriority w:val="99"/>
    <w:semiHidden/>
    <w:rsid w:val="00141DFB"/>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141DFB"/>
    <w:rPr>
      <w:b/>
      <w:bCs/>
    </w:rPr>
  </w:style>
  <w:style w:type="character" w:customStyle="1" w:styleId="CommentSubjectChar">
    <w:name w:val="Comment Subject Char"/>
    <w:basedOn w:val="CommentTextChar"/>
    <w:link w:val="CommentSubject"/>
    <w:uiPriority w:val="99"/>
    <w:semiHidden/>
    <w:rsid w:val="00141DFB"/>
    <w:rPr>
      <w:rFonts w:eastAsiaTheme="minorEastAsia"/>
      <w:b/>
      <w:bCs/>
      <w:sz w:val="20"/>
      <w:szCs w:val="20"/>
      <w:lang w:val="en-US" w:eastAsia="ja-JP"/>
    </w:rPr>
  </w:style>
  <w:style w:type="paragraph" w:customStyle="1" w:styleId="xl63">
    <w:name w:val="xl63"/>
    <w:basedOn w:val="Normal"/>
    <w:rsid w:val="003D76D3"/>
    <w:pPr>
      <w:spacing w:before="100" w:beforeAutospacing="1" w:after="100" w:afterAutospacing="1"/>
      <w:jc w:val="center"/>
    </w:pPr>
    <w:rPr>
      <w:rFonts w:ascii="Times New Roman" w:eastAsia="Times New Roman" w:hAnsi="Times New Roman" w:cs="Times New Roman"/>
      <w:szCs w:val="24"/>
      <w:lang w:val="en-GB" w:eastAsia="en-GB"/>
    </w:rPr>
  </w:style>
  <w:style w:type="paragraph" w:customStyle="1" w:styleId="xl65">
    <w:name w:val="xl65"/>
    <w:basedOn w:val="Normal"/>
    <w:rsid w:val="003D76D3"/>
    <w:pPr>
      <w:spacing w:before="100" w:beforeAutospacing="1" w:after="100" w:afterAutospacing="1"/>
      <w:jc w:val="center"/>
    </w:pPr>
    <w:rPr>
      <w:rFonts w:ascii="Times New Roman" w:eastAsia="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066304">
      <w:bodyDiv w:val="1"/>
      <w:marLeft w:val="0"/>
      <w:marRight w:val="0"/>
      <w:marTop w:val="0"/>
      <w:marBottom w:val="0"/>
      <w:divBdr>
        <w:top w:val="none" w:sz="0" w:space="0" w:color="auto"/>
        <w:left w:val="none" w:sz="0" w:space="0" w:color="auto"/>
        <w:bottom w:val="none" w:sz="0" w:space="0" w:color="auto"/>
        <w:right w:val="none" w:sz="0" w:space="0" w:color="auto"/>
      </w:divBdr>
    </w:div>
    <w:div w:id="647903076">
      <w:bodyDiv w:val="1"/>
      <w:marLeft w:val="0"/>
      <w:marRight w:val="0"/>
      <w:marTop w:val="0"/>
      <w:marBottom w:val="0"/>
      <w:divBdr>
        <w:top w:val="none" w:sz="0" w:space="0" w:color="auto"/>
        <w:left w:val="none" w:sz="0" w:space="0" w:color="auto"/>
        <w:bottom w:val="none" w:sz="0" w:space="0" w:color="auto"/>
        <w:right w:val="none" w:sz="0" w:space="0" w:color="auto"/>
      </w:divBdr>
    </w:div>
    <w:div w:id="790171162">
      <w:bodyDiv w:val="1"/>
      <w:marLeft w:val="0"/>
      <w:marRight w:val="0"/>
      <w:marTop w:val="0"/>
      <w:marBottom w:val="0"/>
      <w:divBdr>
        <w:top w:val="none" w:sz="0" w:space="0" w:color="auto"/>
        <w:left w:val="none" w:sz="0" w:space="0" w:color="auto"/>
        <w:bottom w:val="none" w:sz="0" w:space="0" w:color="auto"/>
        <w:right w:val="none" w:sz="0" w:space="0" w:color="auto"/>
      </w:divBdr>
    </w:div>
    <w:div w:id="970788617">
      <w:bodyDiv w:val="1"/>
      <w:marLeft w:val="0"/>
      <w:marRight w:val="0"/>
      <w:marTop w:val="0"/>
      <w:marBottom w:val="0"/>
      <w:divBdr>
        <w:top w:val="none" w:sz="0" w:space="0" w:color="auto"/>
        <w:left w:val="none" w:sz="0" w:space="0" w:color="auto"/>
        <w:bottom w:val="none" w:sz="0" w:space="0" w:color="auto"/>
        <w:right w:val="none" w:sz="0" w:space="0" w:color="auto"/>
      </w:divBdr>
    </w:div>
    <w:div w:id="1124151772">
      <w:bodyDiv w:val="1"/>
      <w:marLeft w:val="0"/>
      <w:marRight w:val="0"/>
      <w:marTop w:val="0"/>
      <w:marBottom w:val="0"/>
      <w:divBdr>
        <w:top w:val="none" w:sz="0" w:space="0" w:color="auto"/>
        <w:left w:val="none" w:sz="0" w:space="0" w:color="auto"/>
        <w:bottom w:val="none" w:sz="0" w:space="0" w:color="auto"/>
        <w:right w:val="none" w:sz="0" w:space="0" w:color="auto"/>
      </w:divBdr>
    </w:div>
    <w:div w:id="1680620949">
      <w:bodyDiv w:val="1"/>
      <w:marLeft w:val="0"/>
      <w:marRight w:val="0"/>
      <w:marTop w:val="0"/>
      <w:marBottom w:val="0"/>
      <w:divBdr>
        <w:top w:val="none" w:sz="0" w:space="0" w:color="auto"/>
        <w:left w:val="none" w:sz="0" w:space="0" w:color="auto"/>
        <w:bottom w:val="none" w:sz="0" w:space="0" w:color="auto"/>
        <w:right w:val="none" w:sz="0" w:space="0" w:color="auto"/>
      </w:divBdr>
    </w:div>
    <w:div w:id="1762944638">
      <w:bodyDiv w:val="1"/>
      <w:marLeft w:val="0"/>
      <w:marRight w:val="0"/>
      <w:marTop w:val="0"/>
      <w:marBottom w:val="0"/>
      <w:divBdr>
        <w:top w:val="none" w:sz="0" w:space="0" w:color="auto"/>
        <w:left w:val="none" w:sz="0" w:space="0" w:color="auto"/>
        <w:bottom w:val="none" w:sz="0" w:space="0" w:color="auto"/>
        <w:right w:val="none" w:sz="0" w:space="0" w:color="auto"/>
      </w:divBdr>
    </w:div>
    <w:div w:id="1843205170">
      <w:bodyDiv w:val="1"/>
      <w:marLeft w:val="0"/>
      <w:marRight w:val="0"/>
      <w:marTop w:val="0"/>
      <w:marBottom w:val="0"/>
      <w:divBdr>
        <w:top w:val="none" w:sz="0" w:space="0" w:color="auto"/>
        <w:left w:val="none" w:sz="0" w:space="0" w:color="auto"/>
        <w:bottom w:val="none" w:sz="0" w:space="0" w:color="auto"/>
        <w:right w:val="none" w:sz="0" w:space="0" w:color="auto"/>
      </w:divBdr>
    </w:div>
    <w:div w:id="1886410702">
      <w:bodyDiv w:val="1"/>
      <w:marLeft w:val="0"/>
      <w:marRight w:val="0"/>
      <w:marTop w:val="0"/>
      <w:marBottom w:val="0"/>
      <w:divBdr>
        <w:top w:val="none" w:sz="0" w:space="0" w:color="auto"/>
        <w:left w:val="none" w:sz="0" w:space="0" w:color="auto"/>
        <w:bottom w:val="none" w:sz="0" w:space="0" w:color="auto"/>
        <w:right w:val="none" w:sz="0" w:space="0" w:color="auto"/>
      </w:divBdr>
    </w:div>
    <w:div w:id="1918250371">
      <w:bodyDiv w:val="1"/>
      <w:marLeft w:val="0"/>
      <w:marRight w:val="0"/>
      <w:marTop w:val="0"/>
      <w:marBottom w:val="0"/>
      <w:divBdr>
        <w:top w:val="none" w:sz="0" w:space="0" w:color="auto"/>
        <w:left w:val="none" w:sz="0" w:space="0" w:color="auto"/>
        <w:bottom w:val="none" w:sz="0" w:space="0" w:color="auto"/>
        <w:right w:val="none" w:sz="0" w:space="0" w:color="auto"/>
      </w:divBdr>
    </w:div>
    <w:div w:id="1954744595">
      <w:bodyDiv w:val="1"/>
      <w:marLeft w:val="0"/>
      <w:marRight w:val="0"/>
      <w:marTop w:val="0"/>
      <w:marBottom w:val="0"/>
      <w:divBdr>
        <w:top w:val="none" w:sz="0" w:space="0" w:color="auto"/>
        <w:left w:val="none" w:sz="0" w:space="0" w:color="auto"/>
        <w:bottom w:val="none" w:sz="0" w:space="0" w:color="auto"/>
        <w:right w:val="none" w:sz="0" w:space="0" w:color="auto"/>
      </w:divBdr>
    </w:div>
    <w:div w:id="1990789613">
      <w:bodyDiv w:val="1"/>
      <w:marLeft w:val="0"/>
      <w:marRight w:val="0"/>
      <w:marTop w:val="0"/>
      <w:marBottom w:val="0"/>
      <w:divBdr>
        <w:top w:val="none" w:sz="0" w:space="0" w:color="auto"/>
        <w:left w:val="none" w:sz="0" w:space="0" w:color="auto"/>
        <w:bottom w:val="none" w:sz="0" w:space="0" w:color="auto"/>
        <w:right w:val="none" w:sz="0" w:space="0" w:color="auto"/>
      </w:divBdr>
    </w:div>
    <w:div w:id="202986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mmb.nhs.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55A81-537A-4A12-B3C5-45DFB832B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2332</Words>
  <Characters>13296</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WHITS</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WHITS</dc:creator>
  <cp:lastModifiedBy>Newton Stephen (MLCSU)</cp:lastModifiedBy>
  <cp:revision>2</cp:revision>
  <cp:lastPrinted>2017-04-18T09:37:00Z</cp:lastPrinted>
  <dcterms:created xsi:type="dcterms:W3CDTF">2017-06-02T15:42:00Z</dcterms:created>
  <dcterms:modified xsi:type="dcterms:W3CDTF">2017-06-02T15:42:00Z</dcterms:modified>
</cp:coreProperties>
</file>