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lastRenderedPageBreak/>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lastRenderedPageBreak/>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lastRenderedPageBreak/>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lastRenderedPageBreak/>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w:t>
      </w:r>
      <w:r w:rsidRPr="00BF7661">
        <w:rPr>
          <w:rFonts w:cs="Arial"/>
          <w:szCs w:val="22"/>
        </w:rPr>
        <w:lastRenderedPageBreak/>
        <w:t xml:space="preserve">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lastRenderedPageBreak/>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lastRenderedPageBreak/>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lastRenderedPageBreak/>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 xml:space="preserve">ONR’s request, all documents, materials, information and other resources provided </w:t>
      </w:r>
      <w:r w:rsidR="006078F5" w:rsidRPr="00BF7661">
        <w:rPr>
          <w:rFonts w:cs="Arial"/>
          <w:szCs w:val="22"/>
        </w:rPr>
        <w:lastRenderedPageBreak/>
        <w:t>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w:t>
      </w:r>
      <w:r w:rsidRPr="00BF7661">
        <w:rPr>
          <w:rFonts w:cs="Arial"/>
          <w:color w:val="auto"/>
          <w:sz w:val="22"/>
          <w:szCs w:val="22"/>
        </w:rPr>
        <w:lastRenderedPageBreak/>
        <w:t xml:space="preserve">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lastRenderedPageBreak/>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lastRenderedPageBreak/>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D9060A">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D9060A">
              <w:rPr>
                <w:b/>
                <w:bCs/>
                <w:noProof/>
                <w:color w:val="auto"/>
                <w:sz w:val="16"/>
                <w:szCs w:val="16"/>
              </w:rPr>
              <w:t>46</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60A"/>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14848</Words>
  <Characters>79421</Characters>
  <Application>Microsoft Office Word</Application>
  <DocSecurity>4</DocSecurity>
  <Lines>661</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2019-05-24T13:10:00Z</dcterms:created>
  <dcterms:modified xsi:type="dcterms:W3CDTF">2019-05-24T13:10:00Z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