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E0C" w:rsidRDefault="00384E0C">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bookmarkStart w:id="0" w:name="_heading=h.gjdgxs" w:colFirst="0" w:colLast="0"/>
      <w:bookmarkEnd w:id="0"/>
    </w:p>
    <w:p w:rsidR="00384E0C" w:rsidRDefault="001733F3">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1 (Transparency Reports)</w:t>
      </w:r>
    </w:p>
    <w:p w:rsidR="00384E0C" w:rsidRDefault="001733F3">
      <w:pPr>
        <w:spacing w:after="0"/>
        <w:ind w:left="360" w:hanging="360"/>
        <w:rPr>
          <w:rFonts w:ascii="Arial" w:eastAsia="Arial" w:hAnsi="Arial" w:cs="Arial"/>
          <w:color w:val="000000"/>
          <w:sz w:val="24"/>
          <w:szCs w:val="24"/>
        </w:rPr>
      </w:pPr>
      <w:r>
        <w:rPr>
          <w:rFonts w:ascii="Arial" w:eastAsia="Arial" w:hAnsi="Arial" w:cs="Arial"/>
          <w:color w:val="000000"/>
          <w:sz w:val="24"/>
          <w:szCs w:val="24"/>
        </w:rPr>
        <w:t>1.1 The Supplier recognises that the Buyer is subject to PPN 01/17 (Updates to transparency principles v1.1 (</w:t>
      </w:r>
      <w:hyperlink r:id="rId7">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color w:val="000000"/>
          <w:sz w:val="24"/>
          <w:szCs w:val="24"/>
        </w:rPr>
        <w:t>). The Supplier shall comply with the provisions of this Schedule in order to assist the Buyer with its compliance with its obligations under that PPN.</w:t>
      </w:r>
    </w:p>
    <w:p w:rsidR="00384E0C" w:rsidRDefault="00384E0C">
      <w:pPr>
        <w:spacing w:after="0"/>
        <w:ind w:left="720" w:hanging="720"/>
        <w:rPr>
          <w:rFonts w:ascii="Arial" w:eastAsia="Arial" w:hAnsi="Arial" w:cs="Arial"/>
          <w:color w:val="000000"/>
          <w:sz w:val="24"/>
          <w:szCs w:val="24"/>
        </w:rPr>
      </w:pPr>
    </w:p>
    <w:p w:rsidR="00384E0C" w:rsidRDefault="001733F3">
      <w:pPr>
        <w:spacing w:after="0"/>
        <w:ind w:left="360" w:hanging="360"/>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rsidR="00384E0C" w:rsidRDefault="00384E0C">
      <w:pPr>
        <w:spacing w:after="0"/>
        <w:rPr>
          <w:rFonts w:ascii="Arial" w:eastAsia="Arial" w:hAnsi="Arial" w:cs="Arial"/>
          <w:color w:val="000000"/>
          <w:sz w:val="24"/>
          <w:szCs w:val="24"/>
        </w:rPr>
      </w:pPr>
    </w:p>
    <w:p w:rsidR="00384E0C" w:rsidRDefault="001733F3">
      <w:pPr>
        <w:spacing w:after="0"/>
        <w:ind w:left="360" w:hanging="360"/>
        <w:rPr>
          <w:rFonts w:ascii="Arial" w:eastAsia="Arial" w:hAnsi="Arial" w:cs="Arial"/>
          <w:color w:val="000000"/>
          <w:sz w:val="24"/>
          <w:szCs w:val="24"/>
        </w:rPr>
      </w:pPr>
      <w:r>
        <w:rPr>
          <w:rFonts w:ascii="Arial" w:eastAsia="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rsidR="00384E0C" w:rsidRDefault="00384E0C">
      <w:pPr>
        <w:spacing w:after="0"/>
        <w:ind w:left="720" w:hanging="720"/>
        <w:rPr>
          <w:rFonts w:ascii="Arial" w:eastAsia="Arial" w:hAnsi="Arial" w:cs="Arial"/>
          <w:color w:val="000000"/>
          <w:sz w:val="24"/>
          <w:szCs w:val="24"/>
        </w:rPr>
      </w:pPr>
    </w:p>
    <w:p w:rsidR="00384E0C" w:rsidRDefault="001733F3">
      <w:pPr>
        <w:spacing w:after="0"/>
        <w:ind w:left="360" w:hanging="360"/>
        <w:rPr>
          <w:rFonts w:ascii="Arial" w:eastAsia="Arial" w:hAnsi="Arial" w:cs="Arial"/>
          <w:color w:val="000000"/>
          <w:sz w:val="24"/>
          <w:szCs w:val="24"/>
        </w:rPr>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rsidR="00384E0C" w:rsidRDefault="001733F3">
      <w:pPr>
        <w:rPr>
          <w:rFonts w:ascii="Arial" w:eastAsia="Arial" w:hAnsi="Arial" w:cs="Arial"/>
          <w:color w:val="000000"/>
          <w:sz w:val="24"/>
          <w:szCs w:val="24"/>
        </w:rPr>
      </w:pPr>
      <w:r>
        <w:br w:type="page"/>
      </w:r>
    </w:p>
    <w:p w:rsidR="00384E0C" w:rsidRDefault="00384E0C">
      <w:pPr>
        <w:spacing w:after="0"/>
        <w:rPr>
          <w:rFonts w:ascii="Arial" w:eastAsia="Arial" w:hAnsi="Arial" w:cs="Arial"/>
          <w:color w:val="000000"/>
          <w:sz w:val="24"/>
          <w:szCs w:val="24"/>
        </w:rPr>
      </w:pPr>
    </w:p>
    <w:p w:rsidR="00384E0C" w:rsidRDefault="00384E0C">
      <w:pPr>
        <w:spacing w:after="0"/>
        <w:rPr>
          <w:rFonts w:ascii="Arial" w:eastAsia="Arial" w:hAnsi="Arial" w:cs="Arial"/>
          <w:color w:val="000000"/>
          <w:sz w:val="24"/>
          <w:szCs w:val="24"/>
        </w:rPr>
      </w:pPr>
    </w:p>
    <w:p w:rsidR="00384E0C" w:rsidRDefault="001733F3">
      <w:pPr>
        <w:pBdr>
          <w:top w:val="nil"/>
          <w:left w:val="nil"/>
          <w:bottom w:val="nil"/>
          <w:right w:val="nil"/>
          <w:between w:val="nil"/>
        </w:pBd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Annex A: List of Transparency Reports</w:t>
      </w:r>
    </w:p>
    <w:tbl>
      <w:tblPr>
        <w:tblStyle w:val="a"/>
        <w:tblW w:w="8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553"/>
        <w:gridCol w:w="2248"/>
        <w:gridCol w:w="2248"/>
      </w:tblGrid>
      <w:tr w:rsidR="00384E0C">
        <w:trPr>
          <w:trHeight w:val="123"/>
        </w:trPr>
        <w:tc>
          <w:tcPr>
            <w:tcW w:w="2943" w:type="dxa"/>
            <w:tcBorders>
              <w:top w:val="single" w:sz="4" w:space="0" w:color="000000"/>
              <w:left w:val="single" w:sz="4" w:space="0" w:color="000000"/>
              <w:bottom w:val="single" w:sz="4" w:space="0" w:color="000000"/>
              <w:right w:val="single" w:sz="4" w:space="0" w:color="000000"/>
            </w:tcBorders>
          </w:tcPr>
          <w:p w:rsidR="00384E0C" w:rsidRDefault="001733F3">
            <w:pPr>
              <w:spacing w:after="0"/>
              <w:rPr>
                <w:rFonts w:ascii="Arial" w:eastAsia="Arial" w:hAnsi="Arial" w:cs="Arial"/>
                <w:color w:val="000000"/>
                <w:sz w:val="24"/>
                <w:szCs w:val="24"/>
              </w:rPr>
            </w:pPr>
            <w:r>
              <w:rPr>
                <w:rFonts w:ascii="Arial" w:eastAsia="Arial" w:hAnsi="Arial" w:cs="Arial"/>
                <w:b/>
                <w:color w:val="000000"/>
                <w:sz w:val="24"/>
                <w:szCs w:val="24"/>
              </w:rPr>
              <w:t xml:space="preserve">Title </w:t>
            </w:r>
          </w:p>
        </w:tc>
        <w:tc>
          <w:tcPr>
            <w:tcW w:w="1553" w:type="dxa"/>
            <w:tcBorders>
              <w:top w:val="single" w:sz="4" w:space="0" w:color="000000"/>
              <w:left w:val="single" w:sz="4" w:space="0" w:color="000000"/>
              <w:bottom w:val="single" w:sz="4" w:space="0" w:color="000000"/>
              <w:right w:val="single" w:sz="4" w:space="0" w:color="000000"/>
            </w:tcBorders>
          </w:tcPr>
          <w:p w:rsidR="00384E0C" w:rsidRDefault="001733F3">
            <w:pPr>
              <w:spacing w:after="0"/>
              <w:rPr>
                <w:rFonts w:ascii="Arial" w:eastAsia="Arial" w:hAnsi="Arial" w:cs="Arial"/>
                <w:color w:val="000000"/>
                <w:sz w:val="24"/>
                <w:szCs w:val="24"/>
              </w:rPr>
            </w:pPr>
            <w:r>
              <w:rPr>
                <w:rFonts w:ascii="Arial" w:eastAsia="Arial" w:hAnsi="Arial" w:cs="Arial"/>
                <w:b/>
                <w:color w:val="000000"/>
                <w:sz w:val="24"/>
                <w:szCs w:val="24"/>
              </w:rPr>
              <w:t xml:space="preserve">Content </w:t>
            </w:r>
          </w:p>
        </w:tc>
        <w:tc>
          <w:tcPr>
            <w:tcW w:w="2248" w:type="dxa"/>
            <w:tcBorders>
              <w:top w:val="single" w:sz="4" w:space="0" w:color="000000"/>
              <w:left w:val="single" w:sz="4" w:space="0" w:color="000000"/>
              <w:bottom w:val="single" w:sz="4" w:space="0" w:color="000000"/>
              <w:right w:val="single" w:sz="4" w:space="0" w:color="000000"/>
            </w:tcBorders>
          </w:tcPr>
          <w:p w:rsidR="00384E0C" w:rsidRDefault="001733F3">
            <w:pPr>
              <w:spacing w:after="0"/>
              <w:rPr>
                <w:rFonts w:ascii="Arial" w:eastAsia="Arial" w:hAnsi="Arial" w:cs="Arial"/>
                <w:color w:val="000000"/>
                <w:sz w:val="24"/>
                <w:szCs w:val="24"/>
              </w:rPr>
            </w:pPr>
            <w:r>
              <w:rPr>
                <w:rFonts w:ascii="Arial" w:eastAsia="Arial" w:hAnsi="Arial" w:cs="Arial"/>
                <w:b/>
                <w:color w:val="000000"/>
                <w:sz w:val="24"/>
                <w:szCs w:val="24"/>
              </w:rPr>
              <w:t xml:space="preserve">Format </w:t>
            </w:r>
          </w:p>
        </w:tc>
        <w:tc>
          <w:tcPr>
            <w:tcW w:w="2248" w:type="dxa"/>
            <w:tcBorders>
              <w:top w:val="single" w:sz="4" w:space="0" w:color="000000"/>
              <w:left w:val="single" w:sz="4" w:space="0" w:color="000000"/>
              <w:bottom w:val="single" w:sz="4" w:space="0" w:color="000000"/>
              <w:right w:val="single" w:sz="4" w:space="0" w:color="000000"/>
            </w:tcBorders>
          </w:tcPr>
          <w:p w:rsidR="00384E0C" w:rsidRDefault="001733F3">
            <w:pPr>
              <w:spacing w:after="0"/>
              <w:rPr>
                <w:rFonts w:ascii="Arial" w:eastAsia="Arial" w:hAnsi="Arial" w:cs="Arial"/>
                <w:color w:val="000000"/>
                <w:sz w:val="24"/>
                <w:szCs w:val="24"/>
              </w:rPr>
            </w:pPr>
            <w:r>
              <w:rPr>
                <w:rFonts w:ascii="Arial" w:eastAsia="Arial" w:hAnsi="Arial" w:cs="Arial"/>
                <w:b/>
                <w:color w:val="000000"/>
                <w:sz w:val="24"/>
                <w:szCs w:val="24"/>
              </w:rPr>
              <w:t xml:space="preserve">Frequency </w:t>
            </w:r>
          </w:p>
        </w:tc>
      </w:tr>
      <w:tr w:rsidR="00384E0C">
        <w:trPr>
          <w:trHeight w:val="155"/>
        </w:trPr>
        <w:tc>
          <w:tcPr>
            <w:tcW w:w="2943" w:type="dxa"/>
            <w:tcBorders>
              <w:top w:val="single" w:sz="4" w:space="0" w:color="000000"/>
              <w:left w:val="single" w:sz="4" w:space="0" w:color="000000"/>
              <w:bottom w:val="single" w:sz="4" w:space="0" w:color="000000"/>
              <w:right w:val="single" w:sz="4" w:space="0" w:color="000000"/>
            </w:tcBorders>
          </w:tcPr>
          <w:p w:rsidR="00384E0C" w:rsidRPr="000378F1" w:rsidRDefault="001733F3">
            <w:pPr>
              <w:spacing w:after="0"/>
              <w:rPr>
                <w:rFonts w:ascii="Arial" w:eastAsia="Arial" w:hAnsi="Arial" w:cs="Arial"/>
                <w:color w:val="000000"/>
                <w:sz w:val="24"/>
                <w:szCs w:val="24"/>
              </w:rPr>
            </w:pPr>
            <w:r w:rsidRPr="000378F1">
              <w:rPr>
                <w:rFonts w:ascii="Arial" w:eastAsia="Arial" w:hAnsi="Arial" w:cs="Arial"/>
                <w:color w:val="000000"/>
                <w:sz w:val="24"/>
                <w:szCs w:val="24"/>
              </w:rPr>
              <w:t>Technical</w:t>
            </w:r>
          </w:p>
        </w:tc>
        <w:tc>
          <w:tcPr>
            <w:tcW w:w="1553" w:type="dxa"/>
            <w:tcBorders>
              <w:top w:val="single" w:sz="4" w:space="0" w:color="000000"/>
              <w:left w:val="single" w:sz="4" w:space="0" w:color="000000"/>
              <w:bottom w:val="single" w:sz="4" w:space="0" w:color="000000"/>
              <w:right w:val="single" w:sz="4" w:space="0" w:color="000000"/>
            </w:tcBorders>
          </w:tcPr>
          <w:p w:rsidR="00384E0C" w:rsidRPr="000378F1" w:rsidRDefault="00384E0C">
            <w:pPr>
              <w:spacing w:after="0"/>
              <w:rPr>
                <w:rFonts w:ascii="Arial" w:eastAsia="Arial" w:hAnsi="Arial" w:cs="Arial"/>
                <w:color w:val="000000"/>
                <w:sz w:val="24"/>
                <w:szCs w:val="24"/>
              </w:rPr>
            </w:pPr>
          </w:p>
          <w:p w:rsidR="00384E0C" w:rsidRPr="000378F1" w:rsidRDefault="00464D53">
            <w:pPr>
              <w:spacing w:after="0"/>
              <w:rPr>
                <w:rFonts w:ascii="Arial" w:eastAsia="Arial" w:hAnsi="Arial" w:cs="Arial"/>
                <w:color w:val="000000"/>
                <w:sz w:val="24"/>
                <w:szCs w:val="24"/>
              </w:rPr>
            </w:pPr>
            <w:r w:rsidRPr="000378F1">
              <w:rPr>
                <w:rFonts w:ascii="Arial" w:eastAsia="Arial" w:hAnsi="Arial" w:cs="Arial"/>
                <w:color w:val="000000"/>
                <w:sz w:val="24"/>
                <w:szCs w:val="24"/>
              </w:rPr>
              <w:t>Report outlining accuracy of geolocation of phones and accuracy of estimating actual people counts</w:t>
            </w:r>
            <w:r w:rsidR="000378F1">
              <w:rPr>
                <w:rFonts w:ascii="Arial" w:eastAsia="Arial" w:hAnsi="Arial" w:cs="Arial"/>
                <w:color w:val="000000"/>
                <w:sz w:val="24"/>
                <w:szCs w:val="24"/>
              </w:rPr>
              <w:t>.</w:t>
            </w:r>
          </w:p>
        </w:tc>
        <w:tc>
          <w:tcPr>
            <w:tcW w:w="2248" w:type="dxa"/>
            <w:tcBorders>
              <w:top w:val="single" w:sz="4" w:space="0" w:color="000000"/>
              <w:left w:val="single" w:sz="4" w:space="0" w:color="000000"/>
              <w:bottom w:val="single" w:sz="4" w:space="0" w:color="000000"/>
              <w:right w:val="single" w:sz="4" w:space="0" w:color="000000"/>
            </w:tcBorders>
          </w:tcPr>
          <w:p w:rsidR="00384E0C" w:rsidRPr="000378F1" w:rsidRDefault="00384E0C">
            <w:pPr>
              <w:spacing w:after="0"/>
              <w:rPr>
                <w:rFonts w:ascii="Arial" w:eastAsia="Arial" w:hAnsi="Arial" w:cs="Arial"/>
                <w:color w:val="000000"/>
                <w:sz w:val="24"/>
                <w:szCs w:val="24"/>
              </w:rPr>
            </w:pPr>
          </w:p>
          <w:p w:rsidR="00384E0C" w:rsidRDefault="00464D53">
            <w:pPr>
              <w:spacing w:after="0"/>
              <w:rPr>
                <w:rFonts w:ascii="Arial" w:eastAsia="Arial" w:hAnsi="Arial" w:cs="Arial"/>
                <w:color w:val="000000"/>
                <w:sz w:val="24"/>
                <w:szCs w:val="24"/>
              </w:rPr>
            </w:pPr>
            <w:r w:rsidRPr="000378F1">
              <w:rPr>
                <w:rFonts w:ascii="Arial" w:eastAsia="Arial" w:hAnsi="Arial" w:cs="Arial"/>
                <w:color w:val="000000"/>
                <w:sz w:val="24"/>
                <w:szCs w:val="24"/>
              </w:rPr>
              <w:t>Report</w:t>
            </w:r>
          </w:p>
        </w:tc>
        <w:tc>
          <w:tcPr>
            <w:tcW w:w="2248" w:type="dxa"/>
            <w:tcBorders>
              <w:top w:val="single" w:sz="4" w:space="0" w:color="000000"/>
              <w:left w:val="single" w:sz="4" w:space="0" w:color="000000"/>
              <w:bottom w:val="single" w:sz="4" w:space="0" w:color="000000"/>
              <w:right w:val="single" w:sz="4" w:space="0" w:color="000000"/>
            </w:tcBorders>
          </w:tcPr>
          <w:p w:rsidR="00384E0C" w:rsidRPr="000378F1" w:rsidRDefault="00384E0C">
            <w:pPr>
              <w:spacing w:after="0"/>
              <w:rPr>
                <w:rFonts w:ascii="Arial" w:eastAsia="Arial" w:hAnsi="Arial" w:cs="Arial"/>
                <w:color w:val="000000"/>
                <w:sz w:val="24"/>
                <w:szCs w:val="24"/>
              </w:rPr>
            </w:pPr>
          </w:p>
          <w:p w:rsidR="00384E0C" w:rsidRDefault="00464D53">
            <w:pPr>
              <w:spacing w:after="0"/>
              <w:rPr>
                <w:rFonts w:ascii="Arial" w:eastAsia="Arial" w:hAnsi="Arial" w:cs="Arial"/>
                <w:color w:val="000000"/>
                <w:sz w:val="24"/>
                <w:szCs w:val="24"/>
              </w:rPr>
            </w:pPr>
            <w:r w:rsidRPr="000378F1">
              <w:rPr>
                <w:rFonts w:ascii="Arial" w:eastAsia="Arial" w:hAnsi="Arial" w:cs="Arial"/>
                <w:color w:val="000000"/>
                <w:sz w:val="24"/>
                <w:szCs w:val="24"/>
              </w:rPr>
              <w:t>Up to twice per annum</w:t>
            </w:r>
          </w:p>
        </w:tc>
      </w:tr>
      <w:tr w:rsidR="00384E0C">
        <w:trPr>
          <w:trHeight w:val="214"/>
        </w:trPr>
        <w:tc>
          <w:tcPr>
            <w:tcW w:w="2943" w:type="dxa"/>
            <w:tcBorders>
              <w:top w:val="single" w:sz="4" w:space="0" w:color="000000"/>
              <w:left w:val="single" w:sz="4" w:space="0" w:color="000000"/>
              <w:bottom w:val="single" w:sz="4" w:space="0" w:color="000000"/>
              <w:right w:val="single" w:sz="4" w:space="0" w:color="000000"/>
            </w:tcBorders>
          </w:tcPr>
          <w:p w:rsidR="00384E0C" w:rsidRPr="000378F1" w:rsidRDefault="001733F3">
            <w:pPr>
              <w:spacing w:after="0"/>
              <w:rPr>
                <w:rFonts w:ascii="Arial" w:eastAsia="Arial" w:hAnsi="Arial" w:cs="Arial"/>
                <w:color w:val="000000"/>
                <w:sz w:val="24"/>
                <w:szCs w:val="24"/>
              </w:rPr>
            </w:pPr>
            <w:r w:rsidRPr="000378F1">
              <w:rPr>
                <w:rFonts w:ascii="Arial" w:eastAsia="Arial" w:hAnsi="Arial" w:cs="Arial"/>
                <w:color w:val="000000"/>
                <w:sz w:val="24"/>
                <w:szCs w:val="24"/>
              </w:rPr>
              <w:t>Performance management</w:t>
            </w:r>
          </w:p>
        </w:tc>
        <w:tc>
          <w:tcPr>
            <w:tcW w:w="1553" w:type="dxa"/>
            <w:tcBorders>
              <w:top w:val="single" w:sz="4" w:space="0" w:color="000000"/>
              <w:left w:val="single" w:sz="4" w:space="0" w:color="000000"/>
              <w:bottom w:val="single" w:sz="4" w:space="0" w:color="000000"/>
              <w:right w:val="single" w:sz="4" w:space="0" w:color="000000"/>
            </w:tcBorders>
          </w:tcPr>
          <w:p w:rsidR="00384E0C" w:rsidRPr="000378F1" w:rsidRDefault="00384E0C">
            <w:pPr>
              <w:spacing w:after="0"/>
              <w:rPr>
                <w:rFonts w:ascii="Arial" w:eastAsia="Arial" w:hAnsi="Arial" w:cs="Arial"/>
                <w:color w:val="000000"/>
                <w:sz w:val="24"/>
                <w:szCs w:val="24"/>
              </w:rPr>
            </w:pPr>
          </w:p>
          <w:p w:rsidR="00384E0C" w:rsidRPr="000378F1" w:rsidRDefault="00464D53">
            <w:pPr>
              <w:spacing w:after="0"/>
              <w:rPr>
                <w:rFonts w:ascii="Arial" w:eastAsia="Arial" w:hAnsi="Arial" w:cs="Arial"/>
                <w:color w:val="000000"/>
                <w:sz w:val="24"/>
                <w:szCs w:val="24"/>
              </w:rPr>
            </w:pPr>
            <w:r w:rsidRPr="000378F1">
              <w:rPr>
                <w:rFonts w:ascii="Arial" w:eastAsia="Arial" w:hAnsi="Arial" w:cs="Arial"/>
                <w:color w:val="000000"/>
                <w:sz w:val="24"/>
                <w:szCs w:val="24"/>
              </w:rPr>
              <w:t>Report outlining number of times the feed of data is down and any consequences (such as irretrievable loss of data</w:t>
            </w:r>
            <w:r w:rsidR="000378F1">
              <w:rPr>
                <w:rFonts w:ascii="Arial" w:eastAsia="Arial" w:hAnsi="Arial" w:cs="Arial"/>
                <w:color w:val="000000"/>
                <w:sz w:val="24"/>
                <w:szCs w:val="24"/>
              </w:rPr>
              <w:t>.</w:t>
            </w:r>
          </w:p>
        </w:tc>
        <w:tc>
          <w:tcPr>
            <w:tcW w:w="2248" w:type="dxa"/>
            <w:tcBorders>
              <w:top w:val="single" w:sz="4" w:space="0" w:color="000000"/>
              <w:left w:val="single" w:sz="4" w:space="0" w:color="000000"/>
              <w:bottom w:val="single" w:sz="4" w:space="0" w:color="000000"/>
              <w:right w:val="single" w:sz="4" w:space="0" w:color="000000"/>
            </w:tcBorders>
          </w:tcPr>
          <w:p w:rsidR="00384E0C" w:rsidRPr="000378F1" w:rsidRDefault="00384E0C">
            <w:pPr>
              <w:spacing w:after="0"/>
              <w:rPr>
                <w:rFonts w:ascii="Arial" w:eastAsia="Arial" w:hAnsi="Arial" w:cs="Arial"/>
                <w:color w:val="000000"/>
                <w:sz w:val="24"/>
                <w:szCs w:val="24"/>
              </w:rPr>
            </w:pPr>
          </w:p>
          <w:p w:rsidR="00384E0C" w:rsidRDefault="00464D53">
            <w:pPr>
              <w:spacing w:after="0"/>
              <w:rPr>
                <w:rFonts w:ascii="Arial" w:eastAsia="Arial" w:hAnsi="Arial" w:cs="Arial"/>
                <w:color w:val="000000"/>
                <w:sz w:val="24"/>
                <w:szCs w:val="24"/>
              </w:rPr>
            </w:pPr>
            <w:r w:rsidRPr="000378F1">
              <w:rPr>
                <w:rFonts w:ascii="Arial" w:eastAsia="Arial" w:hAnsi="Arial" w:cs="Arial"/>
                <w:color w:val="000000"/>
                <w:sz w:val="24"/>
                <w:szCs w:val="24"/>
              </w:rPr>
              <w:t>Report</w:t>
            </w:r>
          </w:p>
        </w:tc>
        <w:tc>
          <w:tcPr>
            <w:tcW w:w="2248" w:type="dxa"/>
            <w:tcBorders>
              <w:top w:val="single" w:sz="4" w:space="0" w:color="000000"/>
              <w:left w:val="single" w:sz="4" w:space="0" w:color="000000"/>
              <w:bottom w:val="single" w:sz="4" w:space="0" w:color="000000"/>
              <w:right w:val="single" w:sz="4" w:space="0" w:color="000000"/>
            </w:tcBorders>
          </w:tcPr>
          <w:p w:rsidR="00384E0C" w:rsidRPr="000378F1" w:rsidRDefault="00384E0C">
            <w:pPr>
              <w:spacing w:after="0"/>
              <w:rPr>
                <w:rFonts w:ascii="Arial" w:eastAsia="Arial" w:hAnsi="Arial" w:cs="Arial"/>
                <w:color w:val="000000"/>
                <w:sz w:val="24"/>
                <w:szCs w:val="24"/>
              </w:rPr>
            </w:pPr>
          </w:p>
          <w:p w:rsidR="00384E0C" w:rsidRDefault="00464D53">
            <w:pPr>
              <w:spacing w:after="0"/>
              <w:rPr>
                <w:rFonts w:ascii="Arial" w:eastAsia="Arial" w:hAnsi="Arial" w:cs="Arial"/>
                <w:color w:val="000000"/>
                <w:sz w:val="24"/>
                <w:szCs w:val="24"/>
              </w:rPr>
            </w:pPr>
            <w:r w:rsidRPr="000378F1">
              <w:rPr>
                <w:rFonts w:ascii="Arial" w:eastAsia="Arial" w:hAnsi="Arial" w:cs="Arial"/>
                <w:color w:val="000000"/>
                <w:sz w:val="24"/>
                <w:szCs w:val="24"/>
              </w:rPr>
              <w:t>Up to quarterly</w:t>
            </w:r>
          </w:p>
        </w:tc>
      </w:tr>
    </w:tbl>
    <w:p w:rsidR="00384E0C" w:rsidRDefault="00384E0C">
      <w:pPr>
        <w:tabs>
          <w:tab w:val="left" w:pos="1251"/>
        </w:tabs>
        <w:rPr>
          <w:rFonts w:ascii="Arial" w:eastAsia="Arial" w:hAnsi="Arial" w:cs="Arial"/>
          <w:sz w:val="24"/>
          <w:szCs w:val="24"/>
        </w:rPr>
        <w:sectPr w:rsidR="00384E0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pPr>
      <w:bookmarkStart w:id="1" w:name="bookmark=id.30j0zll" w:colFirst="0" w:colLast="0"/>
      <w:bookmarkStart w:id="2" w:name="_GoBack"/>
      <w:bookmarkEnd w:id="1"/>
      <w:bookmarkEnd w:id="2"/>
    </w:p>
    <w:p w:rsidR="00384E0C" w:rsidRDefault="00384E0C">
      <w:pPr>
        <w:tabs>
          <w:tab w:val="left" w:pos="1251"/>
        </w:tabs>
        <w:rPr>
          <w:rFonts w:ascii="Arial" w:eastAsia="Arial" w:hAnsi="Arial" w:cs="Arial"/>
          <w:sz w:val="24"/>
          <w:szCs w:val="24"/>
        </w:rPr>
      </w:pPr>
    </w:p>
    <w:sectPr w:rsidR="00384E0C">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4F6" w:rsidRDefault="00B704F6">
      <w:pPr>
        <w:spacing w:after="0" w:line="240" w:lineRule="auto"/>
      </w:pPr>
      <w:r>
        <w:separator/>
      </w:r>
    </w:p>
  </w:endnote>
  <w:endnote w:type="continuationSeparator" w:id="0">
    <w:p w:rsidR="00B704F6" w:rsidRDefault="00B70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pitch w:val="default"/>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E0C" w:rsidRDefault="00384E0C">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E0C" w:rsidRDefault="00384E0C">
    <w:pPr>
      <w:tabs>
        <w:tab w:val="center" w:pos="4513"/>
        <w:tab w:val="right" w:pos="9026"/>
      </w:tabs>
      <w:spacing w:after="0"/>
      <w:rPr>
        <w:rFonts w:ascii="Arial" w:eastAsia="Arial" w:hAnsi="Arial" w:cs="Arial"/>
        <w:color w:val="A6A6A6"/>
        <w:sz w:val="20"/>
        <w:szCs w:val="20"/>
      </w:rPr>
    </w:pPr>
  </w:p>
  <w:p w:rsidR="00384E0C" w:rsidRDefault="001733F3">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RM6261</w:t>
    </w:r>
    <w:r>
      <w:rPr>
        <w:rFonts w:ascii="Arial" w:eastAsia="Arial" w:hAnsi="Arial" w:cs="Arial"/>
        <w:sz w:val="20"/>
        <w:szCs w:val="20"/>
      </w:rPr>
      <w:tab/>
      <w:t xml:space="preserve">                                           </w:t>
    </w:r>
  </w:p>
  <w:p w:rsidR="00384E0C" w:rsidRDefault="001733F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003BB">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384E0C" w:rsidRDefault="001733F3">
    <w:pPr>
      <w:spacing w:after="0"/>
      <w:rPr>
        <w:rFonts w:ascii="Arial" w:eastAsia="Arial" w:hAnsi="Arial" w:cs="Arial"/>
        <w:color w:val="A6A6A6"/>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E0C" w:rsidRDefault="00384E0C">
    <w:pPr>
      <w:tabs>
        <w:tab w:val="center" w:pos="4513"/>
        <w:tab w:val="right" w:pos="9026"/>
      </w:tabs>
      <w:spacing w:after="0"/>
      <w:rPr>
        <w:rFonts w:ascii="Arial" w:eastAsia="Arial" w:hAnsi="Arial" w:cs="Arial"/>
        <w:color w:val="A6A6A6"/>
        <w:sz w:val="20"/>
        <w:szCs w:val="20"/>
      </w:rPr>
    </w:pPr>
  </w:p>
  <w:p w:rsidR="00384E0C" w:rsidRDefault="001733F3">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rsidR="00384E0C" w:rsidRDefault="001733F3">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rsidR="00384E0C" w:rsidRDefault="001733F3">
    <w:pPr>
      <w:spacing w:after="0"/>
      <w:rPr>
        <w:rFonts w:ascii="Arial" w:eastAsia="Arial" w:hAnsi="Arial" w:cs="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4F6" w:rsidRDefault="00B704F6">
      <w:pPr>
        <w:spacing w:after="0" w:line="240" w:lineRule="auto"/>
      </w:pPr>
      <w:r>
        <w:separator/>
      </w:r>
    </w:p>
  </w:footnote>
  <w:footnote w:type="continuationSeparator" w:id="0">
    <w:p w:rsidR="00B704F6" w:rsidRDefault="00B70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E0C" w:rsidRDefault="00384E0C">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E0C" w:rsidRDefault="001733F3">
    <w:pPr>
      <w:pBdr>
        <w:top w:val="nil"/>
        <w:left w:val="nil"/>
        <w:bottom w:val="nil"/>
        <w:right w:val="nil"/>
        <w:between w:val="nil"/>
      </w:pBdr>
      <w:tabs>
        <w:tab w:val="center" w:pos="4513"/>
        <w:tab w:val="right" w:pos="9026"/>
      </w:tabs>
      <w:spacing w:after="0" w:line="240" w:lineRule="auto"/>
      <w:rPr>
        <w:color w:val="000000"/>
      </w:rPr>
    </w:pPr>
    <w:r>
      <w:rPr>
        <w:b/>
        <w:color w:val="000000"/>
      </w:rPr>
      <w:t>Call-Off Schedule 1 (Transparency Reports)</w:t>
    </w:r>
  </w:p>
  <w:p w:rsidR="00384E0C" w:rsidRDefault="001733F3">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xml:space="preserve">Call-Off Ref: </w:t>
    </w:r>
  </w:p>
  <w:p w:rsidR="00384E0C" w:rsidRDefault="001733F3">
    <w:pPr>
      <w:pBdr>
        <w:top w:val="nil"/>
        <w:left w:val="nil"/>
        <w:bottom w:val="nil"/>
        <w:right w:val="nil"/>
        <w:between w:val="nil"/>
      </w:pBdr>
      <w:tabs>
        <w:tab w:val="center" w:pos="4513"/>
        <w:tab w:val="right" w:pos="9026"/>
      </w:tabs>
      <w:spacing w:after="0" w:line="240" w:lineRule="auto"/>
      <w:rPr>
        <w:color w:val="000000"/>
      </w:rPr>
    </w:pPr>
    <w:r>
      <w:rPr>
        <w:color w:val="000000"/>
      </w:rPr>
      <w:t>Crown Copyright</w:t>
    </w:r>
    <w:r>
      <w:rPr>
        <w:rFonts w:ascii="Arial" w:eastAsia="Arial" w:hAnsi="Arial" w:cs="Arial"/>
        <w:color w:val="000000"/>
        <w:sz w:val="16"/>
        <w:szCs w:val="16"/>
      </w:rPr>
      <w:t xml:space="preserve"> </w:t>
    </w:r>
    <w:r>
      <w:t>2022</w:t>
    </w:r>
  </w:p>
  <w:p w:rsidR="00384E0C" w:rsidRDefault="00384E0C">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E0C" w:rsidRDefault="001733F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 (Transparency Reports)</w:t>
    </w:r>
  </w:p>
  <w:p w:rsidR="00384E0C" w:rsidRDefault="001733F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rsidR="00384E0C" w:rsidRDefault="001733F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rsidR="00384E0C" w:rsidRDefault="00384E0C">
    <w:pPr>
      <w:pBdr>
        <w:top w:val="nil"/>
        <w:left w:val="nil"/>
        <w:bottom w:val="nil"/>
        <w:right w:val="nil"/>
        <w:between w:val="nil"/>
      </w:pBdr>
      <w:tabs>
        <w:tab w:val="center" w:pos="4513"/>
        <w:tab w:val="right" w:pos="9026"/>
      </w:tabs>
      <w:spacing w:after="0" w:line="240" w:lineRule="auto"/>
      <w:rPr>
        <w:i/>
        <w:color w:val="000000"/>
      </w:rPr>
    </w:pPr>
  </w:p>
  <w:p w:rsidR="00384E0C" w:rsidRDefault="00384E0C">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E0C"/>
    <w:rsid w:val="000378F1"/>
    <w:rsid w:val="000B05C4"/>
    <w:rsid w:val="001733F3"/>
    <w:rsid w:val="00384E0C"/>
    <w:rsid w:val="00387454"/>
    <w:rsid w:val="00464D53"/>
    <w:rsid w:val="005003BB"/>
    <w:rsid w:val="008F570B"/>
    <w:rsid w:val="00A236D2"/>
    <w:rsid w:val="00B70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75B59"/>
  <w15:docId w15:val="{D1565E7B-B666-824B-9193-0249DA13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government/publications/procurement-policy-note-0117-update-to-transparency-princip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pW0VWaHr+t3/H/kyPOe79o1CZA==">AMUW2mUZ5rW/qxtp4zBplux4yhOBQghWC6+zCv61bgm9niAoJcaOKYPRCXUoBA6ATyz4Adyw/qHwORV2sryzeaORM++WlKKnSYYjxewjB5t+G+N5y/HlRBwO5faGr2NqLpaEe4llUgwLHlIuLChH0h9CqVLT8C4yPQ==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Thomas</dc:creator>
  <cp:lastModifiedBy>Jennifer Thomas</cp:lastModifiedBy>
  <cp:revision>2</cp:revision>
  <dcterms:created xsi:type="dcterms:W3CDTF">2024-05-15T11:41:00Z</dcterms:created>
  <dcterms:modified xsi:type="dcterms:W3CDTF">2024-05-15T11:41:00Z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