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122F75" w14:textId="6644299A" w:rsidR="002C34D4" w:rsidRDefault="002C34D4" w:rsidP="002C34D4">
      <w:pPr>
        <w:pStyle w:val="Logos"/>
        <w:tabs>
          <w:tab w:val="right" w:pos="9498"/>
        </w:tabs>
      </w:pPr>
      <w:r>
        <w:drawing>
          <wp:inline distT="0" distB="0" distL="0" distR="0" wp14:anchorId="2A5358B5" wp14:editId="47822018">
            <wp:extent cx="1341755" cy="1080770"/>
            <wp:effectExtent l="0" t="0" r="0" b="0"/>
            <wp:docPr id="22" name="Picture 22" descr="Department for Education" title="Logo"/>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r:embed="rId13"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p>
    <w:p w14:paraId="31619CF6" w14:textId="52564238" w:rsidR="005C0B41" w:rsidRPr="00B818C3" w:rsidRDefault="00A57128" w:rsidP="00B818C3">
      <w:pPr>
        <w:pStyle w:val="Heading1"/>
        <w:jc w:val="center"/>
        <w:rPr>
          <w:sz w:val="44"/>
          <w:szCs w:val="44"/>
        </w:rPr>
      </w:pPr>
      <w:r w:rsidRPr="00B818C3">
        <w:rPr>
          <w:sz w:val="44"/>
          <w:szCs w:val="44"/>
        </w:rPr>
        <w:t>Expression of interest</w:t>
      </w:r>
    </w:p>
    <w:p w14:paraId="6329DEC5" w14:textId="23B83B85" w:rsidR="00A57128" w:rsidRPr="007E0083" w:rsidRDefault="00A57128" w:rsidP="00EE71A2">
      <w:pPr>
        <w:pStyle w:val="Heading1"/>
      </w:pPr>
      <w:r w:rsidRPr="007E0083">
        <w:t>Title:</w:t>
      </w:r>
      <w:r w:rsidR="008D404F">
        <w:t xml:space="preserve"> </w:t>
      </w:r>
      <w:r w:rsidR="005451F5">
        <w:t>Longitudinal Survey</w:t>
      </w:r>
      <w:r w:rsidR="00EE34F7">
        <w:t xml:space="preserve"> of Teachers</w:t>
      </w:r>
      <w:r w:rsidR="008D404F">
        <w:t xml:space="preserve"> – feasibility study </w:t>
      </w:r>
    </w:p>
    <w:p w14:paraId="2B434E3D" w14:textId="36009AA4" w:rsidR="00A57128" w:rsidRPr="007E0083" w:rsidRDefault="00A57128" w:rsidP="00A57128">
      <w:pPr>
        <w:rPr>
          <w:b/>
        </w:rPr>
      </w:pPr>
      <w:r w:rsidRPr="007E0083">
        <w:rPr>
          <w:b/>
        </w:rPr>
        <w:t xml:space="preserve">Project reference: </w:t>
      </w:r>
      <w:r w:rsidR="00A92733">
        <w:rPr>
          <w:rFonts w:cs="Arial"/>
          <w:b/>
          <w:color w:val="002060"/>
        </w:rPr>
        <w:t>DFERPPU</w:t>
      </w:r>
      <w:r w:rsidR="00CF4D6B" w:rsidRPr="00A559F5">
        <w:rPr>
          <w:rFonts w:cs="Arial"/>
          <w:b/>
          <w:color w:val="002060"/>
        </w:rPr>
        <w:t>/2018/071</w:t>
      </w:r>
    </w:p>
    <w:p w14:paraId="501D40E4" w14:textId="5B642454" w:rsidR="00A57128" w:rsidRPr="007E0083" w:rsidRDefault="00A57128" w:rsidP="00A57128">
      <w:pPr>
        <w:rPr>
          <w:b/>
        </w:rPr>
      </w:pPr>
      <w:r w:rsidRPr="007E0083">
        <w:rPr>
          <w:b/>
        </w:rPr>
        <w:t>Deadline for expressions of interest:</w:t>
      </w:r>
      <w:r w:rsidR="00A92733">
        <w:rPr>
          <w:b/>
        </w:rPr>
        <w:t xml:space="preserve"> 5pm</w:t>
      </w:r>
      <w:bookmarkStart w:id="0" w:name="_GoBack"/>
      <w:bookmarkEnd w:id="0"/>
      <w:r w:rsidR="00AC40F3">
        <w:rPr>
          <w:b/>
        </w:rPr>
        <w:t xml:space="preserve"> </w:t>
      </w:r>
      <w:r w:rsidR="006B0229">
        <w:rPr>
          <w:b/>
        </w:rPr>
        <w:t xml:space="preserve">14 </w:t>
      </w:r>
      <w:r w:rsidR="00AC40F3">
        <w:rPr>
          <w:b/>
        </w:rPr>
        <w:t>November 2018</w:t>
      </w:r>
    </w:p>
    <w:p w14:paraId="0CFBF484" w14:textId="184FA1CF" w:rsidR="00A57128" w:rsidRPr="001F2CE2" w:rsidRDefault="00A57128" w:rsidP="001F2CE2">
      <w:pPr>
        <w:pStyle w:val="Heading2"/>
      </w:pPr>
      <w:r w:rsidRPr="001F2CE2">
        <w:t>Summary</w:t>
      </w:r>
    </w:p>
    <w:p w14:paraId="237D87FC" w14:textId="5F4EEB50" w:rsidR="00A57128" w:rsidRPr="00A57128" w:rsidRDefault="00A57128" w:rsidP="00891ED6">
      <w:r w:rsidRPr="003E05F9">
        <w:rPr>
          <w:szCs w:val="22"/>
        </w:rPr>
        <w:t>Expressions of interest are sought</w:t>
      </w:r>
      <w:r>
        <w:rPr>
          <w:szCs w:val="22"/>
        </w:rPr>
        <w:t xml:space="preserve"> to</w:t>
      </w:r>
      <w:r w:rsidR="00891ED6">
        <w:rPr>
          <w:szCs w:val="22"/>
        </w:rPr>
        <w:t xml:space="preserve"> ca</w:t>
      </w:r>
      <w:r w:rsidR="00E26C9A">
        <w:rPr>
          <w:szCs w:val="22"/>
        </w:rPr>
        <w:t xml:space="preserve">rry out </w:t>
      </w:r>
      <w:r w:rsidR="00EE34F7">
        <w:rPr>
          <w:szCs w:val="22"/>
        </w:rPr>
        <w:t xml:space="preserve">a feasibility </w:t>
      </w:r>
      <w:r w:rsidR="005451F5">
        <w:rPr>
          <w:szCs w:val="22"/>
        </w:rPr>
        <w:t>study to</w:t>
      </w:r>
      <w:r w:rsidR="00E26C9A">
        <w:rPr>
          <w:szCs w:val="22"/>
        </w:rPr>
        <w:t xml:space="preserve"> inform potential development of a</w:t>
      </w:r>
      <w:r w:rsidR="00891ED6">
        <w:rPr>
          <w:szCs w:val="22"/>
        </w:rPr>
        <w:t xml:space="preserve"> longitudinal study of teachers. </w:t>
      </w:r>
    </w:p>
    <w:p w14:paraId="0BF9ADD3" w14:textId="1A5D6761" w:rsidR="00A57128" w:rsidRDefault="00A57128" w:rsidP="001F2CE2">
      <w:pPr>
        <w:pStyle w:val="Heading2"/>
      </w:pPr>
      <w:r>
        <w:t>Background</w:t>
      </w:r>
    </w:p>
    <w:p w14:paraId="59592CD5" w14:textId="3C1D09B8" w:rsidR="00891ED6" w:rsidRPr="00BA0D6D" w:rsidRDefault="00D13DB9" w:rsidP="00891ED6">
      <w:pPr>
        <w:widowControl w:val="0"/>
        <w:overflowPunct w:val="0"/>
        <w:autoSpaceDE w:val="0"/>
        <w:autoSpaceDN w:val="0"/>
        <w:adjustRightInd w:val="0"/>
        <w:contextualSpacing/>
        <w:textAlignment w:val="baseline"/>
        <w:rPr>
          <w:rFonts w:cs="Arial"/>
        </w:rPr>
      </w:pPr>
      <w:r>
        <w:rPr>
          <w:rFonts w:cs="Arial"/>
        </w:rPr>
        <w:t>A</w:t>
      </w:r>
      <w:r w:rsidR="00891ED6" w:rsidRPr="00BA0D6D">
        <w:rPr>
          <w:rFonts w:cs="Arial"/>
        </w:rPr>
        <w:t xml:space="preserve"> longitudinal teacher survey has the potential to strengthen the evidence base and address a range of current issues and future questions about the teacher workforce, inform policy development and </w:t>
      </w:r>
      <w:r>
        <w:rPr>
          <w:rFonts w:cs="Arial"/>
        </w:rPr>
        <w:t>ensure</w:t>
      </w:r>
      <w:r w:rsidR="00891ED6" w:rsidRPr="00BA0D6D">
        <w:rPr>
          <w:rFonts w:cs="Arial"/>
        </w:rPr>
        <w:t xml:space="preserve"> limited resources</w:t>
      </w:r>
      <w:r>
        <w:rPr>
          <w:rFonts w:cs="Arial"/>
        </w:rPr>
        <w:t xml:space="preserve"> are targeted</w:t>
      </w:r>
      <w:r w:rsidR="00891ED6" w:rsidRPr="00BA0D6D">
        <w:rPr>
          <w:rFonts w:cs="Arial"/>
        </w:rPr>
        <w:t xml:space="preserve"> to best effect.</w:t>
      </w:r>
      <w:r w:rsidR="00891ED6">
        <w:rPr>
          <w:rFonts w:cs="Arial"/>
        </w:rPr>
        <w:t xml:space="preserve"> </w:t>
      </w:r>
      <w:r w:rsidR="00891ED6" w:rsidRPr="00BA0D6D">
        <w:rPr>
          <w:rFonts w:cs="Arial"/>
        </w:rPr>
        <w:t>Crucially, it offers the opportunity:</w:t>
      </w:r>
    </w:p>
    <w:p w14:paraId="4D19BD19" w14:textId="77777777" w:rsidR="00891ED6" w:rsidRPr="00BA0D6D" w:rsidRDefault="00891ED6" w:rsidP="00891ED6">
      <w:pPr>
        <w:pStyle w:val="ListParagraph"/>
        <w:widowControl w:val="0"/>
        <w:numPr>
          <w:ilvl w:val="0"/>
          <w:numId w:val="19"/>
        </w:numPr>
        <w:overflowPunct w:val="0"/>
        <w:autoSpaceDE w:val="0"/>
        <w:autoSpaceDN w:val="0"/>
        <w:adjustRightInd w:val="0"/>
        <w:spacing w:after="160" w:line="259" w:lineRule="auto"/>
        <w:textAlignment w:val="baseline"/>
        <w:rPr>
          <w:rFonts w:cs="Arial"/>
        </w:rPr>
      </w:pPr>
      <w:r w:rsidRPr="00BA0D6D">
        <w:rPr>
          <w:rFonts w:cs="Arial"/>
        </w:rPr>
        <w:t>To improve our understanding of the teaching workforce from end to end, from initial teacher training (ITT) through to leaving the profession (and returning)</w:t>
      </w:r>
    </w:p>
    <w:p w14:paraId="6F783A20" w14:textId="77777777" w:rsidR="00891ED6" w:rsidRPr="00BA0D6D" w:rsidRDefault="00891ED6" w:rsidP="00891ED6">
      <w:pPr>
        <w:pStyle w:val="ListParagraph"/>
        <w:numPr>
          <w:ilvl w:val="0"/>
          <w:numId w:val="19"/>
        </w:numPr>
        <w:spacing w:after="160" w:line="259" w:lineRule="auto"/>
        <w:rPr>
          <w:rFonts w:cs="Arial"/>
        </w:rPr>
      </w:pPr>
      <w:r w:rsidRPr="00BA0D6D">
        <w:rPr>
          <w:rFonts w:cs="Arial"/>
        </w:rPr>
        <w:t>Provide unparalleled access to understanding the characteristics, attitudes, interventions and behaviours of the teacher journey from entry to exit, and return / or not, and factors of influence; and</w:t>
      </w:r>
    </w:p>
    <w:p w14:paraId="725AD9DA" w14:textId="0BE06687" w:rsidR="00891ED6" w:rsidRDefault="00891ED6" w:rsidP="00891ED6">
      <w:pPr>
        <w:pStyle w:val="ListParagraph"/>
        <w:numPr>
          <w:ilvl w:val="0"/>
          <w:numId w:val="19"/>
        </w:numPr>
        <w:spacing w:after="160" w:line="259" w:lineRule="auto"/>
        <w:rPr>
          <w:rFonts w:cs="Arial"/>
        </w:rPr>
      </w:pPr>
      <w:r w:rsidRPr="00BA0D6D">
        <w:rPr>
          <w:rFonts w:cs="Arial"/>
        </w:rPr>
        <w:t>Enable more effective, and informed, decision making benefiting the development, targeting, communication, delivery, evaluation and refinement of policy affecting the school workforce.</w:t>
      </w:r>
    </w:p>
    <w:p w14:paraId="3ACA0510" w14:textId="629C72EA" w:rsidR="00891ED6" w:rsidRPr="00891ED6" w:rsidRDefault="00D13DB9" w:rsidP="00891ED6">
      <w:pPr>
        <w:spacing w:line="259" w:lineRule="auto"/>
        <w:rPr>
          <w:rFonts w:cs="Arial"/>
        </w:rPr>
      </w:pPr>
      <w:r>
        <w:rPr>
          <w:rFonts w:cs="Arial"/>
        </w:rPr>
        <w:t>We require a feasibility study to assess the viability of such a longitudinal study and explore the methodological and other issues that will ensure it most</w:t>
      </w:r>
      <w:r w:rsidR="00891ED6" w:rsidRPr="00BA0D6D">
        <w:rPr>
          <w:rFonts w:cs="Arial"/>
        </w:rPr>
        <w:t xml:space="preserve"> </w:t>
      </w:r>
      <w:r>
        <w:rPr>
          <w:rFonts w:cs="Arial"/>
        </w:rPr>
        <w:t xml:space="preserve">effectively </w:t>
      </w:r>
      <w:r w:rsidR="00891ED6" w:rsidRPr="00BA0D6D">
        <w:rPr>
          <w:rFonts w:cs="Arial"/>
        </w:rPr>
        <w:t>meet</w:t>
      </w:r>
      <w:r>
        <w:rPr>
          <w:rFonts w:cs="Arial"/>
        </w:rPr>
        <w:t>s</w:t>
      </w:r>
      <w:r w:rsidR="00891ED6" w:rsidRPr="00BA0D6D">
        <w:rPr>
          <w:rFonts w:cs="Arial"/>
        </w:rPr>
        <w:t xml:space="preserve"> the Department’s evid</w:t>
      </w:r>
      <w:r>
        <w:rPr>
          <w:rFonts w:cs="Arial"/>
        </w:rPr>
        <w:t xml:space="preserve">ence requirements. </w:t>
      </w:r>
    </w:p>
    <w:p w14:paraId="2DA3BB87" w14:textId="1C6DDE02" w:rsidR="00A57128" w:rsidRDefault="00891ED6" w:rsidP="001F2CE2">
      <w:pPr>
        <w:pStyle w:val="Heading2"/>
      </w:pPr>
      <w:r>
        <w:t xml:space="preserve">Research aims </w:t>
      </w:r>
    </w:p>
    <w:p w14:paraId="6E1FFCC9" w14:textId="4AFE2033" w:rsidR="00D13DB9" w:rsidRDefault="00D13DB9" w:rsidP="00D13DB9">
      <w:pPr>
        <w:rPr>
          <w:rFonts w:cs="Arial"/>
        </w:rPr>
      </w:pPr>
      <w:r>
        <w:rPr>
          <w:rFonts w:cs="Arial"/>
        </w:rPr>
        <w:t>T</w:t>
      </w:r>
      <w:r w:rsidRPr="00BA0D6D">
        <w:rPr>
          <w:rFonts w:cs="Arial"/>
        </w:rPr>
        <w:t>he purpose of the feasibility study is to provide independent exploration and appraisal of the design and delivery options for a longitudinal teacher survey</w:t>
      </w:r>
      <w:r w:rsidR="008D404F">
        <w:rPr>
          <w:rFonts w:cs="Arial"/>
        </w:rPr>
        <w:t xml:space="preserve">. It should. </w:t>
      </w:r>
    </w:p>
    <w:p w14:paraId="7685A327" w14:textId="77777777" w:rsidR="008D404F" w:rsidRPr="00BA0D6D" w:rsidRDefault="008D404F" w:rsidP="007C4131">
      <w:pPr>
        <w:pStyle w:val="ListParagraph"/>
        <w:numPr>
          <w:ilvl w:val="0"/>
          <w:numId w:val="25"/>
        </w:numPr>
        <w:spacing w:after="160" w:line="259" w:lineRule="auto"/>
        <w:rPr>
          <w:rFonts w:cs="Arial"/>
        </w:rPr>
      </w:pPr>
      <w:r w:rsidRPr="00BA0D6D">
        <w:rPr>
          <w:rFonts w:cs="Arial"/>
        </w:rPr>
        <w:t xml:space="preserve">Assess the merits of the case for a longitudinal teacher survey </w:t>
      </w:r>
    </w:p>
    <w:p w14:paraId="7FD10819" w14:textId="77777777" w:rsidR="008D404F" w:rsidRPr="00BA0D6D" w:rsidRDefault="008D404F" w:rsidP="007C4131">
      <w:pPr>
        <w:pStyle w:val="ListParagraph"/>
        <w:numPr>
          <w:ilvl w:val="0"/>
          <w:numId w:val="25"/>
        </w:numPr>
        <w:spacing w:after="160" w:line="259" w:lineRule="auto"/>
        <w:rPr>
          <w:rFonts w:cs="Arial"/>
        </w:rPr>
      </w:pPr>
      <w:r w:rsidRPr="00BA0D6D">
        <w:rPr>
          <w:rFonts w:cs="Arial"/>
        </w:rPr>
        <w:t>Assess the viability of a longitudinal survey, given our requirements and the challenges ahead (e.g. sampling, response rate and retention, especially for leavers / returners)</w:t>
      </w:r>
    </w:p>
    <w:p w14:paraId="1130ADE2" w14:textId="77777777" w:rsidR="008D404F" w:rsidRPr="00BA0D6D" w:rsidRDefault="008D404F" w:rsidP="007C4131">
      <w:pPr>
        <w:pStyle w:val="ListParagraph"/>
        <w:numPr>
          <w:ilvl w:val="0"/>
          <w:numId w:val="25"/>
        </w:numPr>
        <w:spacing w:after="160" w:line="259" w:lineRule="auto"/>
        <w:rPr>
          <w:rFonts w:cs="Arial"/>
        </w:rPr>
      </w:pPr>
      <w:r w:rsidRPr="00BA0D6D">
        <w:rPr>
          <w:rFonts w:cs="Arial"/>
        </w:rPr>
        <w:t xml:space="preserve">Explore potential design and delivery options, and appraise how well options meet our needs, including cost considerations </w:t>
      </w:r>
    </w:p>
    <w:p w14:paraId="138B61E3" w14:textId="77777777" w:rsidR="008D404F" w:rsidRPr="00BA0D6D" w:rsidRDefault="008D404F" w:rsidP="007C4131">
      <w:pPr>
        <w:pStyle w:val="ListParagraph"/>
        <w:numPr>
          <w:ilvl w:val="0"/>
          <w:numId w:val="25"/>
        </w:numPr>
        <w:spacing w:after="160" w:line="259" w:lineRule="auto"/>
        <w:rPr>
          <w:rFonts w:cs="Arial"/>
        </w:rPr>
      </w:pPr>
      <w:r w:rsidRPr="00BA0D6D">
        <w:rPr>
          <w:rFonts w:cs="Arial"/>
        </w:rPr>
        <w:lastRenderedPageBreak/>
        <w:t>Provide a reasoned, on-balance, set of options and recommendations to inform decisions for a prospective longitudinal survey</w:t>
      </w:r>
    </w:p>
    <w:p w14:paraId="65371070" w14:textId="77777777" w:rsidR="008D404F" w:rsidRPr="00BA0D6D" w:rsidRDefault="008D404F" w:rsidP="007C4131">
      <w:pPr>
        <w:pStyle w:val="ListParagraph"/>
        <w:numPr>
          <w:ilvl w:val="0"/>
          <w:numId w:val="25"/>
        </w:numPr>
        <w:spacing w:after="160" w:line="259" w:lineRule="auto"/>
        <w:rPr>
          <w:rFonts w:cs="Arial"/>
        </w:rPr>
      </w:pPr>
      <w:r w:rsidRPr="00BA0D6D">
        <w:rPr>
          <w:rFonts w:cs="Arial"/>
        </w:rPr>
        <w:t>Provide recommendations to ensure effective practice and risk management is embedded in the planning, specification and management of the survey (should it go ahead)</w:t>
      </w:r>
    </w:p>
    <w:p w14:paraId="0E6B3F4B" w14:textId="2751E8B4" w:rsidR="004A600B" w:rsidRPr="004A600B" w:rsidRDefault="004A600B" w:rsidP="001F2CE2">
      <w:pPr>
        <w:pStyle w:val="Heading2"/>
      </w:pPr>
      <w:r>
        <w:t>Methodology</w:t>
      </w:r>
    </w:p>
    <w:p w14:paraId="2CAC40BA" w14:textId="615BA027" w:rsidR="00FC2B3C" w:rsidRDefault="00986539" w:rsidP="00FC2B3C">
      <w:r>
        <w:t xml:space="preserve">Proposed methodology should be guided by the objectives and detailed questions above. Further detail on requirements and suggested methods will be provided in the ITT for shortlisted bidders. However, we envisage the feasibility requiring detailed interrogation of DfE and other relevant datasets, review of relevant methodological and teacher workforce literature and consultations with DfE officials and experts in the sector. </w:t>
      </w:r>
    </w:p>
    <w:p w14:paraId="502BE6FA" w14:textId="216952A8" w:rsidR="004A600B" w:rsidRDefault="005451F5" w:rsidP="001F2CE2">
      <w:pPr>
        <w:pStyle w:val="Heading2"/>
      </w:pPr>
      <w:r>
        <w:t>T</w:t>
      </w:r>
      <w:r w:rsidR="004A600B">
        <w:t>iming</w:t>
      </w:r>
    </w:p>
    <w:p w14:paraId="6DB3DA3D" w14:textId="38E2CC46" w:rsidR="007E0083" w:rsidRDefault="007E0083" w:rsidP="007E0083">
      <w:pPr>
        <w:pStyle w:val="ListParagraph"/>
        <w:numPr>
          <w:ilvl w:val="0"/>
          <w:numId w:val="18"/>
        </w:numPr>
      </w:pPr>
      <w:r w:rsidRPr="007E0083">
        <w:t>Deadline for EOIs – 5pm</w:t>
      </w:r>
      <w:r w:rsidR="005707EE">
        <w:t xml:space="preserve"> 1</w:t>
      </w:r>
      <w:r w:rsidR="006B0229">
        <w:t>4</w:t>
      </w:r>
      <w:r w:rsidR="005707EE" w:rsidRPr="005707EE">
        <w:rPr>
          <w:vertAlign w:val="superscript"/>
        </w:rPr>
        <w:t>th</w:t>
      </w:r>
      <w:r w:rsidR="005707EE">
        <w:t xml:space="preserve"> November 2018</w:t>
      </w:r>
    </w:p>
    <w:p w14:paraId="28BA0A3E" w14:textId="44F6335F" w:rsidR="005707EE" w:rsidRPr="007E0083" w:rsidRDefault="005707EE" w:rsidP="007E0083">
      <w:pPr>
        <w:pStyle w:val="ListParagraph"/>
        <w:numPr>
          <w:ilvl w:val="0"/>
          <w:numId w:val="18"/>
        </w:numPr>
      </w:pPr>
      <w:r>
        <w:t xml:space="preserve">To note, indicative deadline for full-tender will be </w:t>
      </w:r>
      <w:r w:rsidR="006B0229">
        <w:t>6</w:t>
      </w:r>
      <w:r w:rsidR="006B0229" w:rsidRPr="005707EE">
        <w:rPr>
          <w:vertAlign w:val="superscript"/>
        </w:rPr>
        <w:t>th</w:t>
      </w:r>
      <w:r w:rsidR="006B0229">
        <w:t xml:space="preserve"> </w:t>
      </w:r>
      <w:r>
        <w:t xml:space="preserve">December </w:t>
      </w:r>
    </w:p>
    <w:p w14:paraId="0D2B2C65" w14:textId="41DF3DE1" w:rsidR="004A600B" w:rsidRPr="004A600B" w:rsidRDefault="004A600B" w:rsidP="007E0083">
      <w:pPr>
        <w:pStyle w:val="Heading2"/>
      </w:pPr>
      <w:r w:rsidRPr="004A600B">
        <w:t>Assessment criteria</w:t>
      </w:r>
    </w:p>
    <w:p w14:paraId="78078041" w14:textId="77777777" w:rsidR="00986539" w:rsidRDefault="00986539" w:rsidP="00986539">
      <w:pPr>
        <w:pStyle w:val="Default"/>
        <w:rPr>
          <w:bCs/>
          <w:sz w:val="22"/>
          <w:szCs w:val="22"/>
        </w:rPr>
      </w:pPr>
      <w:r w:rsidRPr="00C13E31">
        <w:rPr>
          <w:bCs/>
          <w:sz w:val="22"/>
          <w:szCs w:val="22"/>
        </w:rPr>
        <w:t xml:space="preserve">Expressions of interest will be assessed against the following criteria: </w:t>
      </w:r>
    </w:p>
    <w:p w14:paraId="52D028D6" w14:textId="77777777" w:rsidR="00986539" w:rsidRPr="00786759" w:rsidRDefault="00986539" w:rsidP="00986539">
      <w:pPr>
        <w:pStyle w:val="Default"/>
        <w:rPr>
          <w:bCs/>
          <w:sz w:val="22"/>
          <w:szCs w:val="22"/>
        </w:rPr>
      </w:pPr>
    </w:p>
    <w:p w14:paraId="16BB70E3" w14:textId="21DF4314" w:rsidR="00986539" w:rsidRPr="00A26B6F" w:rsidRDefault="00986539" w:rsidP="00986539">
      <w:pPr>
        <w:pStyle w:val="Default"/>
        <w:numPr>
          <w:ilvl w:val="0"/>
          <w:numId w:val="23"/>
        </w:numPr>
        <w:rPr>
          <w:bCs/>
          <w:sz w:val="22"/>
          <w:szCs w:val="22"/>
        </w:rPr>
      </w:pPr>
      <w:r w:rsidRPr="00A26B6F">
        <w:rPr>
          <w:bCs/>
          <w:sz w:val="22"/>
          <w:szCs w:val="22"/>
        </w:rPr>
        <w:t xml:space="preserve">Evidence of experience and technical ability in </w:t>
      </w:r>
      <w:r w:rsidR="00EE34F7">
        <w:rPr>
          <w:bCs/>
          <w:sz w:val="22"/>
          <w:szCs w:val="22"/>
        </w:rPr>
        <w:t>feasibility studies</w:t>
      </w:r>
      <w:r w:rsidR="00FB2532">
        <w:rPr>
          <w:bCs/>
          <w:sz w:val="22"/>
          <w:szCs w:val="22"/>
        </w:rPr>
        <w:t xml:space="preserve"> and longitudinal surveys</w:t>
      </w:r>
    </w:p>
    <w:p w14:paraId="2FE67175" w14:textId="4E540BBF" w:rsidR="00986539" w:rsidRDefault="00986539" w:rsidP="00986539">
      <w:pPr>
        <w:pStyle w:val="Default"/>
        <w:numPr>
          <w:ilvl w:val="0"/>
          <w:numId w:val="23"/>
        </w:numPr>
        <w:rPr>
          <w:bCs/>
          <w:sz w:val="22"/>
          <w:szCs w:val="22"/>
        </w:rPr>
      </w:pPr>
      <w:r>
        <w:rPr>
          <w:bCs/>
          <w:sz w:val="22"/>
          <w:szCs w:val="22"/>
        </w:rPr>
        <w:t>Evidence of</w:t>
      </w:r>
      <w:r w:rsidRPr="00A26B6F">
        <w:rPr>
          <w:bCs/>
          <w:sz w:val="22"/>
          <w:szCs w:val="22"/>
        </w:rPr>
        <w:t xml:space="preserve"> organisational capacity and project management skills to deliver the project in the specifi</w:t>
      </w:r>
      <w:r>
        <w:rPr>
          <w:bCs/>
          <w:sz w:val="22"/>
          <w:szCs w:val="22"/>
        </w:rPr>
        <w:t>ed timescales</w:t>
      </w:r>
      <w:r w:rsidR="005451F5">
        <w:rPr>
          <w:bCs/>
          <w:sz w:val="22"/>
          <w:szCs w:val="22"/>
        </w:rPr>
        <w:t xml:space="preserve"> and quality</w:t>
      </w:r>
      <w:r>
        <w:rPr>
          <w:bCs/>
          <w:sz w:val="22"/>
          <w:szCs w:val="22"/>
        </w:rPr>
        <w:t>.</w:t>
      </w:r>
    </w:p>
    <w:p w14:paraId="4988CAFF" w14:textId="5010F144" w:rsidR="007C4131" w:rsidRDefault="005451F5" w:rsidP="00986539">
      <w:pPr>
        <w:pStyle w:val="ListParagraph"/>
        <w:numPr>
          <w:ilvl w:val="0"/>
          <w:numId w:val="23"/>
        </w:numPr>
      </w:pPr>
      <w:r>
        <w:t>Knowledge</w:t>
      </w:r>
      <w:r w:rsidR="007C4131">
        <w:t xml:space="preserve"> of teacher workforce issues, evidence and evidence gaps. </w:t>
      </w:r>
    </w:p>
    <w:p w14:paraId="03369E37" w14:textId="3BD576CD" w:rsidR="00986539" w:rsidRDefault="00E26C9A" w:rsidP="00986539">
      <w:pPr>
        <w:pStyle w:val="ListParagraph"/>
        <w:numPr>
          <w:ilvl w:val="0"/>
          <w:numId w:val="23"/>
        </w:numPr>
      </w:pPr>
      <w:r>
        <w:t>Knowle</w:t>
      </w:r>
      <w:r w:rsidR="007C4131">
        <w:t xml:space="preserve">dge and understanding of opportunities and </w:t>
      </w:r>
      <w:r w:rsidR="005451F5">
        <w:t>challenges</w:t>
      </w:r>
      <w:r w:rsidR="007C4131">
        <w:t xml:space="preserve"> related to longitudinal studies. </w:t>
      </w:r>
    </w:p>
    <w:p w14:paraId="47ABF951" w14:textId="77777777" w:rsidR="00986539" w:rsidRDefault="00986539" w:rsidP="00986539">
      <w:pPr>
        <w:pStyle w:val="Default"/>
        <w:rPr>
          <w:bCs/>
          <w:sz w:val="22"/>
          <w:szCs w:val="22"/>
        </w:rPr>
      </w:pPr>
      <w:r>
        <w:rPr>
          <w:bCs/>
          <w:sz w:val="22"/>
          <w:szCs w:val="22"/>
        </w:rPr>
        <w:t>Scoring</w:t>
      </w:r>
    </w:p>
    <w:p w14:paraId="2B88733E" w14:textId="77777777" w:rsidR="00986539" w:rsidRDefault="00986539" w:rsidP="00986539">
      <w:pPr>
        <w:pStyle w:val="Default"/>
        <w:rPr>
          <w:bCs/>
          <w:sz w:val="22"/>
          <w:szCs w:val="22"/>
        </w:rPr>
      </w:pPr>
    </w:p>
    <w:p w14:paraId="2CB9CAB2" w14:textId="77777777" w:rsidR="00986539" w:rsidRDefault="00986539" w:rsidP="00986539">
      <w:pPr>
        <w:pStyle w:val="Default"/>
        <w:numPr>
          <w:ilvl w:val="0"/>
          <w:numId w:val="24"/>
        </w:numPr>
        <w:rPr>
          <w:bCs/>
          <w:sz w:val="22"/>
          <w:szCs w:val="22"/>
        </w:rPr>
      </w:pPr>
      <w:r w:rsidRPr="00C13E31">
        <w:rPr>
          <w:bCs/>
          <w:sz w:val="22"/>
          <w:szCs w:val="22"/>
        </w:rPr>
        <w:t>No evidence/very poor</w:t>
      </w:r>
    </w:p>
    <w:p w14:paraId="6EA1D8D7" w14:textId="77777777" w:rsidR="00986539" w:rsidRDefault="00986539" w:rsidP="00986539">
      <w:pPr>
        <w:pStyle w:val="Default"/>
        <w:numPr>
          <w:ilvl w:val="0"/>
          <w:numId w:val="24"/>
        </w:numPr>
        <w:rPr>
          <w:bCs/>
          <w:sz w:val="22"/>
          <w:szCs w:val="22"/>
        </w:rPr>
      </w:pPr>
      <w:r w:rsidRPr="00C13E31">
        <w:rPr>
          <w:bCs/>
          <w:sz w:val="22"/>
          <w:szCs w:val="22"/>
        </w:rPr>
        <w:t>Poor evidence</w:t>
      </w:r>
    </w:p>
    <w:p w14:paraId="5208A990" w14:textId="77777777" w:rsidR="00986539" w:rsidRDefault="00986539" w:rsidP="00986539">
      <w:pPr>
        <w:pStyle w:val="Default"/>
        <w:numPr>
          <w:ilvl w:val="0"/>
          <w:numId w:val="24"/>
        </w:numPr>
        <w:rPr>
          <w:bCs/>
          <w:sz w:val="22"/>
          <w:szCs w:val="22"/>
        </w:rPr>
      </w:pPr>
      <w:r w:rsidRPr="00C13E31">
        <w:rPr>
          <w:bCs/>
          <w:sz w:val="22"/>
          <w:szCs w:val="22"/>
        </w:rPr>
        <w:t>Some evidence</w:t>
      </w:r>
    </w:p>
    <w:p w14:paraId="315DE416" w14:textId="77777777" w:rsidR="00986539" w:rsidRDefault="00986539" w:rsidP="00986539">
      <w:pPr>
        <w:pStyle w:val="Default"/>
        <w:numPr>
          <w:ilvl w:val="0"/>
          <w:numId w:val="24"/>
        </w:numPr>
        <w:rPr>
          <w:bCs/>
          <w:sz w:val="22"/>
          <w:szCs w:val="22"/>
        </w:rPr>
      </w:pPr>
      <w:r w:rsidRPr="00C13E31">
        <w:rPr>
          <w:bCs/>
          <w:sz w:val="22"/>
          <w:szCs w:val="22"/>
        </w:rPr>
        <w:t>Good evidence</w:t>
      </w:r>
    </w:p>
    <w:p w14:paraId="7A03F39C" w14:textId="77777777" w:rsidR="00986539" w:rsidRPr="00C13E31" w:rsidRDefault="00986539" w:rsidP="00986539">
      <w:pPr>
        <w:pStyle w:val="Default"/>
        <w:numPr>
          <w:ilvl w:val="0"/>
          <w:numId w:val="24"/>
        </w:numPr>
        <w:rPr>
          <w:bCs/>
          <w:sz w:val="22"/>
          <w:szCs w:val="22"/>
        </w:rPr>
      </w:pPr>
      <w:r w:rsidRPr="00C13E31">
        <w:rPr>
          <w:bCs/>
          <w:sz w:val="22"/>
          <w:szCs w:val="22"/>
        </w:rPr>
        <w:t>Excellent evidence</w:t>
      </w:r>
    </w:p>
    <w:p w14:paraId="04A59CCA" w14:textId="77777777" w:rsidR="00986539" w:rsidRDefault="00986539" w:rsidP="00986539"/>
    <w:p w14:paraId="607CA143" w14:textId="77777777" w:rsidR="00986539" w:rsidRPr="00C13E31" w:rsidRDefault="00986539" w:rsidP="00986539">
      <w:pPr>
        <w:pStyle w:val="Default"/>
        <w:spacing w:before="240" w:after="100" w:afterAutospacing="1" w:line="288" w:lineRule="auto"/>
        <w:rPr>
          <w:sz w:val="22"/>
          <w:szCs w:val="22"/>
        </w:rPr>
      </w:pPr>
      <w:r w:rsidRPr="00C13E31">
        <w:rPr>
          <w:b/>
          <w:bCs/>
          <w:sz w:val="22"/>
          <w:szCs w:val="22"/>
        </w:rPr>
        <w:t xml:space="preserve">Each one of these criteria has equal weighting. </w:t>
      </w:r>
    </w:p>
    <w:p w14:paraId="284363CE" w14:textId="77777777" w:rsidR="00986539" w:rsidRPr="00915C18" w:rsidRDefault="00986539" w:rsidP="00986539">
      <w:pPr>
        <w:pStyle w:val="Default"/>
        <w:spacing w:before="240" w:after="100" w:afterAutospacing="1" w:line="288" w:lineRule="auto"/>
      </w:pPr>
      <w:r w:rsidRPr="00C13E31">
        <w:rPr>
          <w:sz w:val="22"/>
          <w:szCs w:val="22"/>
        </w:rPr>
        <w:t xml:space="preserve">Expressions of interests submitted must be no more than </w:t>
      </w:r>
      <w:r w:rsidRPr="009D715E">
        <w:rPr>
          <w:sz w:val="22"/>
          <w:szCs w:val="22"/>
        </w:rPr>
        <w:t>1,000 words</w:t>
      </w:r>
      <w:r w:rsidRPr="00C13E31">
        <w:rPr>
          <w:sz w:val="22"/>
          <w:szCs w:val="22"/>
        </w:rPr>
        <w:t xml:space="preserve"> – anyth</w:t>
      </w:r>
      <w:r>
        <w:rPr>
          <w:sz w:val="22"/>
          <w:szCs w:val="22"/>
        </w:rPr>
        <w:t>ing longer will be disregarded. Please note that any references must be included within the above word count.</w:t>
      </w:r>
    </w:p>
    <w:p w14:paraId="40F6F47F" w14:textId="77777777" w:rsidR="00915C18" w:rsidRPr="00915C18" w:rsidRDefault="00915C18" w:rsidP="00915C18"/>
    <w:tbl>
      <w:tblPr>
        <w:tblStyle w:val="TableGrid"/>
        <w:tblW w:w="0" w:type="auto"/>
        <w:tblInd w:w="108"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498"/>
      </w:tblGrid>
      <w:tr w:rsidR="00A85EBD" w14:paraId="2831946D" w14:textId="77777777" w:rsidTr="00915C18">
        <w:trPr>
          <w:trHeight w:val="1266"/>
          <w:tblHeader/>
        </w:trPr>
        <w:tc>
          <w:tcPr>
            <w:tcW w:w="9498"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hideMark/>
          </w:tcPr>
          <w:p w14:paraId="3F9169D6" w14:textId="17AF9558" w:rsidR="00915C18" w:rsidRDefault="00915C18" w:rsidP="00915C18">
            <w:pPr>
              <w:spacing w:before="160"/>
              <w:rPr>
                <w:b/>
                <w:bCs/>
                <w:sz w:val="28"/>
                <w:szCs w:val="20"/>
              </w:rPr>
            </w:pPr>
            <w:r w:rsidRPr="00915C18">
              <w:rPr>
                <w:b/>
                <w:bCs/>
                <w:sz w:val="28"/>
                <w:szCs w:val="20"/>
              </w:rPr>
              <w:t>Closing date for EOIs:</w:t>
            </w:r>
            <w:r w:rsidR="00D32A53">
              <w:rPr>
                <w:b/>
                <w:bCs/>
                <w:sz w:val="28"/>
                <w:szCs w:val="20"/>
              </w:rPr>
              <w:t xml:space="preserve"> </w:t>
            </w:r>
            <w:r w:rsidR="006B0229">
              <w:rPr>
                <w:b/>
                <w:bCs/>
                <w:sz w:val="28"/>
                <w:szCs w:val="20"/>
              </w:rPr>
              <w:t xml:space="preserve">14 </w:t>
            </w:r>
            <w:r w:rsidR="00D32A53">
              <w:rPr>
                <w:b/>
                <w:bCs/>
                <w:sz w:val="28"/>
                <w:szCs w:val="20"/>
              </w:rPr>
              <w:t>November 2018</w:t>
            </w:r>
          </w:p>
          <w:p w14:paraId="5178F3E6" w14:textId="629C4697" w:rsidR="00A85EBD" w:rsidRDefault="00915C18" w:rsidP="007519C2">
            <w:pPr>
              <w:rPr>
                <w:rFonts w:ascii="Calibri" w:hAnsi="Calibri"/>
              </w:rPr>
            </w:pPr>
            <w:r w:rsidRPr="00915C18">
              <w:rPr>
                <w:b/>
                <w:bCs/>
                <w:sz w:val="28"/>
                <w:szCs w:val="20"/>
              </w:rPr>
              <w:t>Send your EOI form to:</w:t>
            </w:r>
            <w:r w:rsidR="00986539">
              <w:rPr>
                <w:b/>
                <w:bCs/>
                <w:sz w:val="28"/>
                <w:szCs w:val="20"/>
              </w:rPr>
              <w:t xml:space="preserve"> </w:t>
            </w:r>
            <w:r w:rsidR="00D32A53">
              <w:rPr>
                <w:b/>
                <w:bCs/>
                <w:sz w:val="28"/>
                <w:szCs w:val="20"/>
              </w:rPr>
              <w:t>zoey.breuer@education.gov.uk</w:t>
            </w:r>
          </w:p>
        </w:tc>
      </w:tr>
    </w:tbl>
    <w:p w14:paraId="5CE1D345" w14:textId="77777777" w:rsidR="00FC2B3C" w:rsidRDefault="00FC2B3C" w:rsidP="00995398">
      <w:pPr>
        <w:pStyle w:val="EndBox"/>
      </w:pPr>
    </w:p>
    <w:p w14:paraId="3EA17F59" w14:textId="5C090C82" w:rsidR="00915C18" w:rsidRPr="003E05F9" w:rsidRDefault="00094338" w:rsidP="001F2CE2">
      <w:pPr>
        <w:pStyle w:val="Heading2"/>
      </w:pPr>
      <w:r>
        <w:t>H</w:t>
      </w:r>
      <w:r w:rsidR="00915C18" w:rsidRPr="003E05F9">
        <w:t xml:space="preserve">ow to submit an </w:t>
      </w:r>
      <w:r w:rsidRPr="00094338">
        <w:t>e</w:t>
      </w:r>
      <w:r w:rsidR="008420D7">
        <w:t>x</w:t>
      </w:r>
      <w:r w:rsidRPr="00094338">
        <w:t>pressions of interest</w:t>
      </w:r>
    </w:p>
    <w:p w14:paraId="53D8E246" w14:textId="305BA7F8" w:rsidR="00814CCF" w:rsidRDefault="00814CCF" w:rsidP="00814CCF">
      <w:r>
        <w:t xml:space="preserve">You must submit an expression of interest (EOI) in order to be considered to be invited to tender. To do so, please complete the </w:t>
      </w:r>
      <w:r w:rsidR="00A0541C">
        <w:t>NEW EOI Form which can be found under attachments</w:t>
      </w:r>
      <w:r>
        <w:t xml:space="preserve">. A submission of an EOI does not guarantee an invitation to tender and the Department does not routinely advise organisations that they have not been successful in being invited to tender. Feedback is however available on request. </w:t>
      </w:r>
    </w:p>
    <w:p w14:paraId="78F73462" w14:textId="6E60D760" w:rsidR="00915C18" w:rsidRDefault="00814CCF" w:rsidP="00814CCF">
      <w:r>
        <w:t xml:space="preserve">All contracts are let on the basis of the </w:t>
      </w:r>
      <w:hyperlink r:id="rId14" w:history="1">
        <w:r w:rsidRPr="00E07681">
          <w:rPr>
            <w:rStyle w:val="Hyperlink"/>
            <w:sz w:val="22"/>
            <w:szCs w:val="22"/>
          </w:rPr>
          <w:t>Department’s Terms and Conditions</w:t>
        </w:r>
      </w:hyperlink>
      <w:r>
        <w:t>. You are encouraged to check these before submitting your expression of interest, as these form part of your contractual obligations.</w:t>
      </w:r>
    </w:p>
    <w:p w14:paraId="50BCB5CE" w14:textId="77777777" w:rsidR="005A0891" w:rsidRDefault="005A0891" w:rsidP="00814CCF"/>
    <w:p w14:paraId="5944612C" w14:textId="3D01B260" w:rsidR="005D3B59" w:rsidRPr="00531385" w:rsidRDefault="00C2496D" w:rsidP="005D3B59">
      <w:r w:rsidRPr="00995398">
        <w:t>©</w:t>
      </w:r>
      <w:r w:rsidR="005D3B59" w:rsidRPr="005D3B59">
        <w:t xml:space="preserve"> </w:t>
      </w:r>
      <w:r w:rsidR="00EE71A2">
        <w:t xml:space="preserve">Crown copyright </w:t>
      </w:r>
      <w:r w:rsidR="00AC40F3">
        <w:t>2018</w:t>
      </w:r>
    </w:p>
    <w:sectPr w:rsidR="005D3B59" w:rsidRPr="00531385" w:rsidSect="00622501">
      <w:footerReference w:type="default" r:id="rId15"/>
      <w:footerReference w:type="first" r:id="rId16"/>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3835CA" w14:textId="77777777" w:rsidR="00CA4C50" w:rsidRDefault="00CA4C50" w:rsidP="002B6D93">
      <w:r>
        <w:separator/>
      </w:r>
    </w:p>
    <w:p w14:paraId="787450EF" w14:textId="77777777" w:rsidR="00CA4C50" w:rsidRDefault="00CA4C50"/>
  </w:endnote>
  <w:endnote w:type="continuationSeparator" w:id="0">
    <w:p w14:paraId="5BA8CD15" w14:textId="77777777" w:rsidR="00CA4C50" w:rsidRDefault="00CA4C50" w:rsidP="002B6D93">
      <w:r>
        <w:continuationSeparator/>
      </w:r>
    </w:p>
    <w:p w14:paraId="75D07B16" w14:textId="77777777" w:rsidR="00CA4C50" w:rsidRDefault="00CA4C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406967"/>
      <w:docPartObj>
        <w:docPartGallery w:val="Page Numbers (Top of Page)"/>
        <w:docPartUnique/>
      </w:docPartObj>
    </w:sdtPr>
    <w:sdtEndPr>
      <w:rPr>
        <w:noProof/>
      </w:rPr>
    </w:sdtEndPr>
    <w:sdtContent>
      <w:p w14:paraId="66A84460" w14:textId="4378D742" w:rsidR="00DA0AD5" w:rsidRDefault="00DA0AD5"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A92733">
          <w:rPr>
            <w:noProof/>
          </w:rPr>
          <w:t>3</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54E66" w14:textId="63A8048B" w:rsidR="00DA0AD5" w:rsidRPr="006E6ADB" w:rsidRDefault="00DA0AD5" w:rsidP="004A3626">
    <w:pPr>
      <w:tabs>
        <w:tab w:val="left" w:pos="7088"/>
      </w:tabs>
      <w:spacing w:before="240"/>
      <w:rPr>
        <w:szCs w:val="20"/>
      </w:rPr>
    </w:pPr>
    <w:r w:rsidRPr="006E6ADB">
      <w:rPr>
        <w:szCs w:val="20"/>
      </w:rPr>
      <w:tab/>
      <w:t xml:space="preserve">Published: </w:t>
    </w:r>
    <w:r>
      <w:rPr>
        <w:szCs w:val="20"/>
      </w:rPr>
      <w:t>[Month]</w:t>
    </w:r>
    <w:r w:rsidR="00F85AA7">
      <w:rPr>
        <w:szCs w:val="20"/>
      </w:rPr>
      <w:t xml:space="preserve"> </w:t>
    </w:r>
    <w:r>
      <w:rPr>
        <w:szCs w:val="20"/>
      </w:rPr>
      <w:t>201[X]</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E0B0DA" w14:textId="77777777" w:rsidR="00CA4C50" w:rsidRDefault="00CA4C50" w:rsidP="002B6D93">
      <w:r>
        <w:separator/>
      </w:r>
    </w:p>
    <w:p w14:paraId="6DED7A47" w14:textId="77777777" w:rsidR="00CA4C50" w:rsidRDefault="00CA4C50"/>
  </w:footnote>
  <w:footnote w:type="continuationSeparator" w:id="0">
    <w:p w14:paraId="1AA50A4A" w14:textId="77777777" w:rsidR="00CA4C50" w:rsidRDefault="00CA4C50" w:rsidP="002B6D93">
      <w:r>
        <w:continuationSeparator/>
      </w:r>
    </w:p>
    <w:p w14:paraId="48887AF8" w14:textId="77777777" w:rsidR="00CA4C50" w:rsidRDefault="00CA4C5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6801DD9"/>
    <w:multiLevelType w:val="hybridMultilevel"/>
    <w:tmpl w:val="182C9A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0111CF8"/>
    <w:multiLevelType w:val="hybridMultilevel"/>
    <w:tmpl w:val="08A01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0916EA"/>
    <w:multiLevelType w:val="hybridMultilevel"/>
    <w:tmpl w:val="A82890E0"/>
    <w:lvl w:ilvl="0" w:tplc="08090001">
      <w:start w:val="1"/>
      <w:numFmt w:val="bullet"/>
      <w:lvlText w:val=""/>
      <w:lvlJc w:val="left"/>
      <w:pPr>
        <w:ind w:left="360" w:hanging="360"/>
      </w:pPr>
      <w:rPr>
        <w:rFonts w:ascii="Symbol" w:hAnsi="Symbol"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DCC597C"/>
    <w:multiLevelType w:val="hybridMultilevel"/>
    <w:tmpl w:val="678E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73082A"/>
    <w:multiLevelType w:val="hybridMultilevel"/>
    <w:tmpl w:val="961AD0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C55715B"/>
    <w:multiLevelType w:val="hybridMultilevel"/>
    <w:tmpl w:val="ECAC2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314EAC"/>
    <w:multiLevelType w:val="hybridMultilevel"/>
    <w:tmpl w:val="E124B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1A7EE2"/>
    <w:multiLevelType w:val="hybridMultilevel"/>
    <w:tmpl w:val="0228F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7"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4D517B5"/>
    <w:multiLevelType w:val="hybridMultilevel"/>
    <w:tmpl w:val="4FB2B1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0"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B105E74"/>
    <w:multiLevelType w:val="hybridMultilevel"/>
    <w:tmpl w:val="2E62DC02"/>
    <w:lvl w:ilvl="0" w:tplc="B9F2E8FA">
      <w:start w:val="1"/>
      <w:numFmt w:val="decimal"/>
      <w:lvlText w:val="%1."/>
      <w:lvlJc w:val="left"/>
      <w:pPr>
        <w:ind w:left="360" w:hanging="360"/>
      </w:pPr>
      <w:rPr>
        <w:rFont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4"/>
  </w:num>
  <w:num w:numId="2">
    <w:abstractNumId w:val="20"/>
  </w:num>
  <w:num w:numId="3">
    <w:abstractNumId w:val="19"/>
  </w:num>
  <w:num w:numId="4">
    <w:abstractNumId w:val="13"/>
  </w:num>
  <w:num w:numId="5">
    <w:abstractNumId w:val="9"/>
  </w:num>
  <w:num w:numId="6">
    <w:abstractNumId w:val="16"/>
  </w:num>
  <w:num w:numId="7">
    <w:abstractNumId w:val="3"/>
  </w:num>
  <w:num w:numId="8">
    <w:abstractNumId w:val="1"/>
  </w:num>
  <w:num w:numId="9">
    <w:abstractNumId w:val="0"/>
  </w:num>
  <w:num w:numId="10">
    <w:abstractNumId w:val="17"/>
  </w:num>
  <w:num w:numId="11">
    <w:abstractNumId w:val="16"/>
  </w:num>
  <w:num w:numId="12">
    <w:abstractNumId w:val="21"/>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7"/>
  </w:num>
  <w:num w:numId="17">
    <w:abstractNumId w:val="12"/>
  </w:num>
  <w:num w:numId="18">
    <w:abstractNumId w:val="14"/>
  </w:num>
  <w:num w:numId="19">
    <w:abstractNumId w:val="5"/>
  </w:num>
  <w:num w:numId="20">
    <w:abstractNumId w:val="22"/>
  </w:num>
  <w:num w:numId="21">
    <w:abstractNumId w:val="18"/>
  </w:num>
  <w:num w:numId="22">
    <w:abstractNumId w:val="15"/>
  </w:num>
  <w:num w:numId="23">
    <w:abstractNumId w:val="10"/>
  </w:num>
  <w:num w:numId="24">
    <w:abstractNumId w:val="11"/>
  </w:num>
  <w:num w:numId="25">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hideGrammaticalError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819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F3A"/>
    <w:rsid w:val="00011A88"/>
    <w:rsid w:val="00012381"/>
    <w:rsid w:val="00013A6E"/>
    <w:rsid w:val="0002203B"/>
    <w:rsid w:val="00031F36"/>
    <w:rsid w:val="000442BD"/>
    <w:rsid w:val="00057100"/>
    <w:rsid w:val="00065E86"/>
    <w:rsid w:val="00066B1C"/>
    <w:rsid w:val="000720CD"/>
    <w:rsid w:val="00083A73"/>
    <w:rsid w:val="00094338"/>
    <w:rsid w:val="000A10F4"/>
    <w:rsid w:val="000B3DE0"/>
    <w:rsid w:val="000D1D30"/>
    <w:rsid w:val="000D4433"/>
    <w:rsid w:val="000E3350"/>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3A04"/>
    <w:rsid w:val="001B2AE2"/>
    <w:rsid w:val="001B4452"/>
    <w:rsid w:val="001B5C15"/>
    <w:rsid w:val="001B796F"/>
    <w:rsid w:val="001C5A63"/>
    <w:rsid w:val="001C5EB6"/>
    <w:rsid w:val="001D5770"/>
    <w:rsid w:val="001F1B30"/>
    <w:rsid w:val="001F2CE2"/>
    <w:rsid w:val="00203EC9"/>
    <w:rsid w:val="002113CF"/>
    <w:rsid w:val="0022255C"/>
    <w:rsid w:val="0022489D"/>
    <w:rsid w:val="002262F3"/>
    <w:rsid w:val="00230559"/>
    <w:rsid w:val="002332F8"/>
    <w:rsid w:val="00234F75"/>
    <w:rsid w:val="00240F4B"/>
    <w:rsid w:val="002575C5"/>
    <w:rsid w:val="002639B5"/>
    <w:rsid w:val="0027231C"/>
    <w:rsid w:val="0027252F"/>
    <w:rsid w:val="002839B5"/>
    <w:rsid w:val="00287788"/>
    <w:rsid w:val="002A28F7"/>
    <w:rsid w:val="002A3153"/>
    <w:rsid w:val="002A5858"/>
    <w:rsid w:val="002B6D93"/>
    <w:rsid w:val="002C34D4"/>
    <w:rsid w:val="002C3AA4"/>
    <w:rsid w:val="002E463F"/>
    <w:rsid w:val="002E4E9A"/>
    <w:rsid w:val="002E508B"/>
    <w:rsid w:val="002E5F9F"/>
    <w:rsid w:val="002E7849"/>
    <w:rsid w:val="002E7E60"/>
    <w:rsid w:val="002F7128"/>
    <w:rsid w:val="00300F99"/>
    <w:rsid w:val="00342F8B"/>
    <w:rsid w:val="00361752"/>
    <w:rsid w:val="00374981"/>
    <w:rsid w:val="003810D8"/>
    <w:rsid w:val="003853A4"/>
    <w:rsid w:val="0039725F"/>
    <w:rsid w:val="003A1CC2"/>
    <w:rsid w:val="003C60B5"/>
    <w:rsid w:val="003C68CD"/>
    <w:rsid w:val="003D1EFE"/>
    <w:rsid w:val="003E1329"/>
    <w:rsid w:val="003E3ED2"/>
    <w:rsid w:val="00400E1D"/>
    <w:rsid w:val="00403D1C"/>
    <w:rsid w:val="004216FF"/>
    <w:rsid w:val="004242C5"/>
    <w:rsid w:val="004339FB"/>
    <w:rsid w:val="004509BE"/>
    <w:rsid w:val="00456560"/>
    <w:rsid w:val="00470223"/>
    <w:rsid w:val="004866AD"/>
    <w:rsid w:val="004A3626"/>
    <w:rsid w:val="004A3E98"/>
    <w:rsid w:val="004A600B"/>
    <w:rsid w:val="004B08AC"/>
    <w:rsid w:val="004C5600"/>
    <w:rsid w:val="004D13A3"/>
    <w:rsid w:val="004D73C6"/>
    <w:rsid w:val="004E5405"/>
    <w:rsid w:val="004E6CD9"/>
    <w:rsid w:val="004F20E3"/>
    <w:rsid w:val="004F211A"/>
    <w:rsid w:val="004F3159"/>
    <w:rsid w:val="004F4AEF"/>
    <w:rsid w:val="005247AD"/>
    <w:rsid w:val="005360B7"/>
    <w:rsid w:val="00536E0B"/>
    <w:rsid w:val="005451F5"/>
    <w:rsid w:val="005535E5"/>
    <w:rsid w:val="00560451"/>
    <w:rsid w:val="005707EE"/>
    <w:rsid w:val="0057250B"/>
    <w:rsid w:val="00574294"/>
    <w:rsid w:val="005749C5"/>
    <w:rsid w:val="0057670A"/>
    <w:rsid w:val="00581D79"/>
    <w:rsid w:val="005905B1"/>
    <w:rsid w:val="005914F1"/>
    <w:rsid w:val="005946C7"/>
    <w:rsid w:val="005A016F"/>
    <w:rsid w:val="005A07FF"/>
    <w:rsid w:val="005A0891"/>
    <w:rsid w:val="005C0B41"/>
    <w:rsid w:val="005C1770"/>
    <w:rsid w:val="005C2D94"/>
    <w:rsid w:val="005C657D"/>
    <w:rsid w:val="005D3B59"/>
    <w:rsid w:val="005E3024"/>
    <w:rsid w:val="005F107C"/>
    <w:rsid w:val="0060702F"/>
    <w:rsid w:val="006108B3"/>
    <w:rsid w:val="00622501"/>
    <w:rsid w:val="006237FB"/>
    <w:rsid w:val="0062451E"/>
    <w:rsid w:val="00635D57"/>
    <w:rsid w:val="00640032"/>
    <w:rsid w:val="006418B2"/>
    <w:rsid w:val="00642404"/>
    <w:rsid w:val="00647EFA"/>
    <w:rsid w:val="00652973"/>
    <w:rsid w:val="00653AA1"/>
    <w:rsid w:val="006558CA"/>
    <w:rsid w:val="00657E79"/>
    <w:rsid w:val="006606F5"/>
    <w:rsid w:val="00670ADC"/>
    <w:rsid w:val="0067185E"/>
    <w:rsid w:val="00671D5B"/>
    <w:rsid w:val="006775FA"/>
    <w:rsid w:val="00684973"/>
    <w:rsid w:val="0068544D"/>
    <w:rsid w:val="00695D08"/>
    <w:rsid w:val="006A27AA"/>
    <w:rsid w:val="006A3602"/>
    <w:rsid w:val="006B0229"/>
    <w:rsid w:val="006B1F9F"/>
    <w:rsid w:val="006C382D"/>
    <w:rsid w:val="006D1162"/>
    <w:rsid w:val="006E6ADB"/>
    <w:rsid w:val="006E7F39"/>
    <w:rsid w:val="006F1F96"/>
    <w:rsid w:val="006F466D"/>
    <w:rsid w:val="00700B01"/>
    <w:rsid w:val="00702EBF"/>
    <w:rsid w:val="00713414"/>
    <w:rsid w:val="00727EC4"/>
    <w:rsid w:val="00730350"/>
    <w:rsid w:val="0073516C"/>
    <w:rsid w:val="007403F5"/>
    <w:rsid w:val="007426B3"/>
    <w:rsid w:val="00743353"/>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3CFE"/>
    <w:rsid w:val="007C19E4"/>
    <w:rsid w:val="007C4131"/>
    <w:rsid w:val="007C41A5"/>
    <w:rsid w:val="007C58BE"/>
    <w:rsid w:val="007D080B"/>
    <w:rsid w:val="007E0083"/>
    <w:rsid w:val="00814CCF"/>
    <w:rsid w:val="00816E77"/>
    <w:rsid w:val="00831263"/>
    <w:rsid w:val="00831DB7"/>
    <w:rsid w:val="00832EBF"/>
    <w:rsid w:val="008366CB"/>
    <w:rsid w:val="00837F3A"/>
    <w:rsid w:val="008420D7"/>
    <w:rsid w:val="008620F3"/>
    <w:rsid w:val="00863986"/>
    <w:rsid w:val="00866257"/>
    <w:rsid w:val="00874F24"/>
    <w:rsid w:val="00876230"/>
    <w:rsid w:val="00877D5B"/>
    <w:rsid w:val="00880441"/>
    <w:rsid w:val="00880B83"/>
    <w:rsid w:val="00886B1E"/>
    <w:rsid w:val="00891ED6"/>
    <w:rsid w:val="008A460D"/>
    <w:rsid w:val="008A4CD5"/>
    <w:rsid w:val="008A588F"/>
    <w:rsid w:val="008A644A"/>
    <w:rsid w:val="008B05BD"/>
    <w:rsid w:val="008B0C03"/>
    <w:rsid w:val="008B0DD1"/>
    <w:rsid w:val="008B427B"/>
    <w:rsid w:val="008B6009"/>
    <w:rsid w:val="008C46DC"/>
    <w:rsid w:val="008D15AA"/>
    <w:rsid w:val="008D404F"/>
    <w:rsid w:val="008D6968"/>
    <w:rsid w:val="008E3F07"/>
    <w:rsid w:val="008E5F36"/>
    <w:rsid w:val="008F2757"/>
    <w:rsid w:val="008F2E4F"/>
    <w:rsid w:val="008F7436"/>
    <w:rsid w:val="009055E4"/>
    <w:rsid w:val="00915C18"/>
    <w:rsid w:val="00917E9C"/>
    <w:rsid w:val="00926A3C"/>
    <w:rsid w:val="0093027C"/>
    <w:rsid w:val="0094189B"/>
    <w:rsid w:val="00951C56"/>
    <w:rsid w:val="0095599F"/>
    <w:rsid w:val="0096424B"/>
    <w:rsid w:val="009701C8"/>
    <w:rsid w:val="00972EFD"/>
    <w:rsid w:val="00986539"/>
    <w:rsid w:val="00986616"/>
    <w:rsid w:val="00995398"/>
    <w:rsid w:val="009B32FA"/>
    <w:rsid w:val="009C2C02"/>
    <w:rsid w:val="009C73CF"/>
    <w:rsid w:val="009E00AE"/>
    <w:rsid w:val="009E09D3"/>
    <w:rsid w:val="009E6E74"/>
    <w:rsid w:val="009E7EE1"/>
    <w:rsid w:val="009E7F32"/>
    <w:rsid w:val="00A0541C"/>
    <w:rsid w:val="00A248DB"/>
    <w:rsid w:val="00A30BA1"/>
    <w:rsid w:val="00A37DEE"/>
    <w:rsid w:val="00A433C3"/>
    <w:rsid w:val="00A54BB7"/>
    <w:rsid w:val="00A5643A"/>
    <w:rsid w:val="00A57128"/>
    <w:rsid w:val="00A5723C"/>
    <w:rsid w:val="00A707A4"/>
    <w:rsid w:val="00A7274B"/>
    <w:rsid w:val="00A73FB8"/>
    <w:rsid w:val="00A75086"/>
    <w:rsid w:val="00A763CB"/>
    <w:rsid w:val="00A801D1"/>
    <w:rsid w:val="00A81F69"/>
    <w:rsid w:val="00A85EBD"/>
    <w:rsid w:val="00A92733"/>
    <w:rsid w:val="00AA3484"/>
    <w:rsid w:val="00AA7E7B"/>
    <w:rsid w:val="00AB6D0F"/>
    <w:rsid w:val="00AB7858"/>
    <w:rsid w:val="00AC40F3"/>
    <w:rsid w:val="00AC61A6"/>
    <w:rsid w:val="00AD1BE5"/>
    <w:rsid w:val="00AD1DD2"/>
    <w:rsid w:val="00AD2062"/>
    <w:rsid w:val="00AD2F1D"/>
    <w:rsid w:val="00AE1E46"/>
    <w:rsid w:val="00AE4296"/>
    <w:rsid w:val="00AF0989"/>
    <w:rsid w:val="00AF2191"/>
    <w:rsid w:val="00AF785C"/>
    <w:rsid w:val="00B336AF"/>
    <w:rsid w:val="00B3498C"/>
    <w:rsid w:val="00B43CAD"/>
    <w:rsid w:val="00B53333"/>
    <w:rsid w:val="00B55A49"/>
    <w:rsid w:val="00B64265"/>
    <w:rsid w:val="00B67F76"/>
    <w:rsid w:val="00B70EFF"/>
    <w:rsid w:val="00B7558C"/>
    <w:rsid w:val="00B818C3"/>
    <w:rsid w:val="00B9194F"/>
    <w:rsid w:val="00BA003B"/>
    <w:rsid w:val="00BB05E2"/>
    <w:rsid w:val="00BD1111"/>
    <w:rsid w:val="00BD26B6"/>
    <w:rsid w:val="00BE01C6"/>
    <w:rsid w:val="00BE4DAC"/>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1F32"/>
    <w:rsid w:val="00CA30B4"/>
    <w:rsid w:val="00CA4C50"/>
    <w:rsid w:val="00CA610B"/>
    <w:rsid w:val="00CA72FC"/>
    <w:rsid w:val="00CB56F5"/>
    <w:rsid w:val="00CB6E04"/>
    <w:rsid w:val="00CC2512"/>
    <w:rsid w:val="00CC547F"/>
    <w:rsid w:val="00CD5D21"/>
    <w:rsid w:val="00CE2652"/>
    <w:rsid w:val="00CE7906"/>
    <w:rsid w:val="00CF0E19"/>
    <w:rsid w:val="00CF4D6B"/>
    <w:rsid w:val="00D11353"/>
    <w:rsid w:val="00D13DB9"/>
    <w:rsid w:val="00D27D9B"/>
    <w:rsid w:val="00D32A53"/>
    <w:rsid w:val="00D376DB"/>
    <w:rsid w:val="00D408A5"/>
    <w:rsid w:val="00D40DE9"/>
    <w:rsid w:val="00D41212"/>
    <w:rsid w:val="00D42B45"/>
    <w:rsid w:val="00D57EE0"/>
    <w:rsid w:val="00D660A1"/>
    <w:rsid w:val="00D75416"/>
    <w:rsid w:val="00D92274"/>
    <w:rsid w:val="00D94339"/>
    <w:rsid w:val="00D9707F"/>
    <w:rsid w:val="00D97DD2"/>
    <w:rsid w:val="00DA0AD5"/>
    <w:rsid w:val="00DA1B01"/>
    <w:rsid w:val="00DA1F8E"/>
    <w:rsid w:val="00DA57A4"/>
    <w:rsid w:val="00DB0D07"/>
    <w:rsid w:val="00DB56EB"/>
    <w:rsid w:val="00DC39E8"/>
    <w:rsid w:val="00DC4922"/>
    <w:rsid w:val="00DD3A4E"/>
    <w:rsid w:val="00DD51B7"/>
    <w:rsid w:val="00DD788A"/>
    <w:rsid w:val="00DE2205"/>
    <w:rsid w:val="00DE6998"/>
    <w:rsid w:val="00DF0054"/>
    <w:rsid w:val="00DF3309"/>
    <w:rsid w:val="00DF5124"/>
    <w:rsid w:val="00DF7F39"/>
    <w:rsid w:val="00E1702C"/>
    <w:rsid w:val="00E20B43"/>
    <w:rsid w:val="00E22EE8"/>
    <w:rsid w:val="00E23ABB"/>
    <w:rsid w:val="00E23E99"/>
    <w:rsid w:val="00E26C9A"/>
    <w:rsid w:val="00E3093A"/>
    <w:rsid w:val="00E33078"/>
    <w:rsid w:val="00E335AB"/>
    <w:rsid w:val="00E33AB6"/>
    <w:rsid w:val="00E4012C"/>
    <w:rsid w:val="00E42A8F"/>
    <w:rsid w:val="00E5223F"/>
    <w:rsid w:val="00E534F0"/>
    <w:rsid w:val="00E66B4F"/>
    <w:rsid w:val="00E741D5"/>
    <w:rsid w:val="00E74474"/>
    <w:rsid w:val="00E87A6A"/>
    <w:rsid w:val="00E9232A"/>
    <w:rsid w:val="00EA4D1B"/>
    <w:rsid w:val="00EB1D11"/>
    <w:rsid w:val="00EC3DC1"/>
    <w:rsid w:val="00ED2F1C"/>
    <w:rsid w:val="00ED3D05"/>
    <w:rsid w:val="00EE34F7"/>
    <w:rsid w:val="00EE64AE"/>
    <w:rsid w:val="00EE71A2"/>
    <w:rsid w:val="00F06445"/>
    <w:rsid w:val="00F07114"/>
    <w:rsid w:val="00F206A7"/>
    <w:rsid w:val="00F3105E"/>
    <w:rsid w:val="00F41591"/>
    <w:rsid w:val="00F41A63"/>
    <w:rsid w:val="00F435FC"/>
    <w:rsid w:val="00F45BEB"/>
    <w:rsid w:val="00F54523"/>
    <w:rsid w:val="00F54B50"/>
    <w:rsid w:val="00F84544"/>
    <w:rsid w:val="00F85AA7"/>
    <w:rsid w:val="00F954FA"/>
    <w:rsid w:val="00F95B1F"/>
    <w:rsid w:val="00FA05B2"/>
    <w:rsid w:val="00FA68A7"/>
    <w:rsid w:val="00FB2532"/>
    <w:rsid w:val="00FC0C51"/>
    <w:rsid w:val="00FC2B3C"/>
    <w:rsid w:val="00FD1CD8"/>
    <w:rsid w:val="00FE1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104f75,#260859,#004712,#8a2529,#c2a204,#e87d1e"/>
    </o:shapedefaults>
    <o:shapelayout v:ext="edit">
      <o:idmap v:ext="edit" data="1"/>
    </o:shapelayout>
  </w:shapeDefaults>
  <w:decimalSymbol w:val="."/>
  <w:listSeparator w:val=","/>
  <w14:docId w14:val="0E60741D"/>
  <w15:docId w15:val="{F2E7FD88-2D77-493A-8AC6-BDB89FDB5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1F2CE2"/>
    <w:pPr>
      <w:keepNext/>
      <w:spacing w:before="48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1F2CE2"/>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aliases w:val="Dot pt,F5 List Paragraph,List Paragraph1,No Spacing1,List Paragraph Char Char Char,Indicator Text,Colorful List - Accent 11,Numbered Para 1,Bullet 1,Bullet Points,List Paragraph2,MAIN CONTENT,List Paragraph12,Normal numbered,Recommendatio"/>
    <w:basedOn w:val="Normal"/>
    <w:link w:val="ListParagraphChar"/>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915C18"/>
    <w:pPr>
      <w:autoSpaceDE w:val="0"/>
      <w:autoSpaceDN w:val="0"/>
      <w:adjustRightInd w:val="0"/>
    </w:pPr>
    <w:rPr>
      <w:rFonts w:eastAsiaTheme="minorHAnsi" w:cs="Arial"/>
      <w:color w:val="000000"/>
      <w:sz w:val="24"/>
      <w:szCs w:val="24"/>
      <w:lang w:eastAsia="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891ED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eoi-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Unmanaged Document" ma:contentTypeID="0x01010022FB6F5B673DE24C929721332B4C6E921000462366E4CAAA4749A3B3F2C700F0AFB2" ma:contentTypeVersion="24" ma:contentTypeDescription="For working documents that do not need to be declared as records.  Will be deleted two years after last modified date." ma:contentTypeScope="" ma:versionID="21705ef0c172cb8bb829dab3cfb66bad">
  <xsd:schema xmlns:xsd="http://www.w3.org/2001/XMLSchema" xmlns:xs="http://www.w3.org/2001/XMLSchema" xmlns:p="http://schemas.microsoft.com/office/2006/metadata/properties" xmlns:ns1="http://schemas.microsoft.com/sharepoint/v3" xmlns:ns2="ad312983-9933-4586-87ae-0dd55f2c5b7f" xmlns:ns3="8c566321-f672-4e06-a901-b5e72b4c4357" xmlns:ns4="65c01043-0666-442f-acb7-2528b588859a" xmlns:ns5="1d8741c7-de4e-4a2d-a0c7-324270fb0e97" targetNamespace="http://schemas.microsoft.com/office/2006/metadata/properties" ma:root="true" ma:fieldsID="b844300eca98848f429da5731f459ab4" ns1:_="" ns2:_="" ns3:_="" ns4:_="" ns5:_="">
    <xsd:import namespace="http://schemas.microsoft.com/sharepoint/v3"/>
    <xsd:import namespace="ad312983-9933-4586-87ae-0dd55f2c5b7f"/>
    <xsd:import namespace="8c566321-f672-4e06-a901-b5e72b4c4357"/>
    <xsd:import namespace="65c01043-0666-442f-acb7-2528b588859a"/>
    <xsd:import namespace="1d8741c7-de4e-4a2d-a0c7-324270fb0e9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TaxCatchAll" minOccurs="0"/>
                <xsd:element ref="ns3:TaxCatchAllLabel" minOccurs="0"/>
                <xsd:element ref="ns1:_vti_ItemDeclaredRecord" minOccurs="0"/>
                <xsd:element ref="ns2:h599d7a3224a42a6937a789ba1da62fa" minOccurs="0"/>
                <xsd:element ref="ns2:ld1c81a19f3d40a180d4ff09809b2cfc" minOccurs="0"/>
                <xsd:element ref="ns2:b540ad9141a3437fba47955893b960eb" minOccurs="0"/>
                <xsd:element ref="ns2:ga3ea8c7e930478d895ebe88afb198cd" minOccurs="0"/>
                <xsd:element ref="ns2:od05c9b9573649f8a67b29258ed31996" minOccurs="0"/>
                <xsd:element ref="ns4:IWPContributor" minOccurs="0"/>
                <xsd:element ref="ns5: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d312983-9933-4586-87ae-0dd55f2c5b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599d7a3224a42a6937a789ba1da62fa" ma:index="23" nillable="true" ma:taxonomy="true" ma:internalName="h599d7a3224a42a6937a789ba1da62fa" ma:taxonomyFieldName="IWPFunction" ma:displayName="Function" ma:readOnly="false" ma:fieldId="{1599d7a3-224a-42a6-937a-789ba1da62fa}"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d1c81a19f3d40a180d4ff09809b2cfc" ma:index="24" ma:taxonomy="true" ma:internalName="ld1c81a19f3d40a180d4ff09809b2cfc" ma:taxonomyFieldName="IWPOwner" ma:displayName="Owner" ma:readOnly="false" ma:default="3;#DfE|a484111e-5b24-4ad9-9778-c536c8c88985" ma:fieldId="{5d1c81a1-9f3d-40a1-80d4-ff09809b2cf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b540ad9141a3437fba47955893b960eb" ma:index="25" ma:taxonomy="true" ma:internalName="b540ad9141a3437fba47955893b960eb" ma:taxonomyFieldName="IWPRightsProtectiveMarking" ma:displayName="Rights: Protective Marking" ma:readOnly="false" ma:default="1;#Official|0884c477-2e62-47ea-b19c-5af6e91124c5" ma:fieldId="{b540ad91-41a3-437f-ba47-955893b960eb}"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ga3ea8c7e930478d895ebe88afb198cd" ma:index="26" nillable="true" ma:taxonomy="true" ma:internalName="ga3ea8c7e930478d895ebe88afb198cd" ma:taxonomyFieldName="IWPSiteType" ma:displayName="Site Type" ma:readOnly="false" ma:fieldId="{0a3ea8c7-e930-478d-895e-be88afb198cd}"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od05c9b9573649f8a67b29258ed31996" ma:index="27" ma:taxonomy="true" ma:internalName="od05c9b9573649f8a67b29258ed31996" ma:taxonomyFieldName="IWPOrganisationalUnit" ma:displayName="Organisational Unit" ma:readOnly="false" ma:default="2;#DfE|cc08a6d4-dfde-4d0f-bd85-069ebcef80d5" ma:fieldId="{8d05c9b9-5736-49f8-a67b-29258ed31996}"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4bcf4dc-d9a8-4341-a977-8fd81d3b6751}" ma:internalName="TaxCatchAll" ma:readOnly="false" ma:showField="CatchAllData" ma:web="ad312983-9933-4586-87ae-0dd55f2c5b7f">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d4bcf4dc-d9a8-4341-a977-8fd81d3b6751}" ma:internalName="TaxCatchAllLabel" ma:readOnly="false" ma:showField="CatchAllDataLabel" ma:web="ad312983-9933-4586-87ae-0dd55f2c5b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01043-0666-442f-acb7-2528b588859a"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8741c7-de4e-4a2d-a0c7-324270fb0e9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5181134883947a99a38d116ffff0006 xmlns="1d8741c7-de4e-4a2d-a0c7-324270fb0e97">
      <Terms xmlns="http://schemas.microsoft.com/office/infopath/2007/PartnerControls"/>
    </h5181134883947a99a38d116ffff0006>
    <ld1c81a19f3d40a180d4ff09809b2cfc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d1c81a19f3d40a180d4ff09809b2cfc>
    <od05c9b9573649f8a67b29258ed31996 xmlns="ad312983-9933-4586-87ae-0dd55f2c5b7f">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od05c9b9573649f8a67b29258ed31996>
    <h599d7a3224a42a6937a789ba1da62fa xmlns="ad312983-9933-4586-87ae-0dd55f2c5b7f">
      <Terms xmlns="http://schemas.microsoft.com/office/infopath/2007/PartnerControls"/>
    </h599d7a3224a42a6937a789ba1da62fa>
    <b540ad9141a3437fba47955893b960eb xmlns="ad312983-9933-4586-87ae-0dd55f2c5b7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b540ad9141a3437fba47955893b960eb>
    <ga3ea8c7e930478d895ebe88afb198cd xmlns="ad312983-9933-4586-87ae-0dd55f2c5b7f">
      <Terms xmlns="http://schemas.microsoft.com/office/infopath/2007/PartnerControls"/>
    </ga3ea8c7e930478d895ebe88afb198cd>
    <_vti_ItemDeclaredRecord xmlns="http://schemas.microsoft.com/sharepoint/v3" xsi:nil="true"/>
    <IWPContributor xmlns="65c01043-0666-442f-acb7-2528b588859a">
      <UserInfo>
        <DisplayName/>
        <AccountId xsi:nil="true"/>
        <AccountType/>
      </UserInfo>
    </IWPContributor>
    <Comments xmlns="http://schemas.microsoft.com/sharepoint/v3" xsi:nil="true"/>
    <_dlc_DocId xmlns="ad312983-9933-4586-87ae-0dd55f2c5b7f">2CYMDDFJX5CA-878373478-397</_dlc_DocId>
    <_dlc_DocIdUrl xmlns="ad312983-9933-4586-87ae-0dd55f2c5b7f">
      <Url>https://educationgovuk.sharepoint.com/sites/sarpi/g/_layouts/15/DocIdRedir.aspx?ID=2CYMDDFJX5CA-878373478-397</Url>
      <Description>2CYMDDFJX5CA-878373478-397</Description>
    </_dlc_DocIdUrl>
    <TaxCatchAll xmlns="8c566321-f672-4e06-a901-b5e72b4c4357">
      <Value>3</Value>
      <Value>2</Value>
      <Value>1</Value>
    </TaxCatchAll>
    <TaxCatchAllLabel xmlns="8c566321-f672-4e06-a901-b5e72b4c4357"/>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E0B1C452-B94D-426B-9355-89A6C7FF744D}">
  <ds:schemaRefs>
    <ds:schemaRef ds:uri="http://schemas.microsoft.com/sharepoint/events"/>
  </ds:schemaRefs>
</ds:datastoreItem>
</file>

<file path=customXml/itemProps3.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4.xml><?xml version="1.0" encoding="utf-8"?>
<ds:datastoreItem xmlns:ds="http://schemas.openxmlformats.org/officeDocument/2006/customXml" ds:itemID="{688894A6-BBBB-42E7-9FA7-44F28AAD9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312983-9933-4586-87ae-0dd55f2c5b7f"/>
    <ds:schemaRef ds:uri="8c566321-f672-4e06-a901-b5e72b4c4357"/>
    <ds:schemaRef ds:uri="65c01043-0666-442f-acb7-2528b588859a"/>
    <ds:schemaRef ds:uri="1d8741c7-de4e-4a2d-a0c7-324270fb0e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microsoft.com/sharepoint/v3"/>
    <ds:schemaRef ds:uri="1d8741c7-de4e-4a2d-a0c7-324270fb0e97"/>
    <ds:schemaRef ds:uri="http://purl.org/dc/terms/"/>
    <ds:schemaRef ds:uri="http://schemas.openxmlformats.org/package/2006/metadata/core-properties"/>
    <ds:schemaRef ds:uri="ad312983-9933-4586-87ae-0dd55f2c5b7f"/>
    <ds:schemaRef ds:uri="http://schemas.microsoft.com/office/2006/documentManagement/types"/>
    <ds:schemaRef ds:uri="http://schemas.microsoft.com/office/infopath/2007/PartnerControls"/>
    <ds:schemaRef ds:uri="65c01043-0666-442f-acb7-2528b588859a"/>
    <ds:schemaRef ds:uri="http://purl.org/dc/elements/1.1/"/>
    <ds:schemaRef ds:uri="http://schemas.microsoft.com/office/2006/metadata/properties"/>
    <ds:schemaRef ds:uri="8c566321-f672-4e06-a901-b5e72b4c4357"/>
    <ds:schemaRef ds:uri="http://www.w3.org/XML/1998/namespace"/>
    <ds:schemaRef ds:uri="http://purl.org/dc/dcmitype/"/>
  </ds:schemaRefs>
</ds:datastoreItem>
</file>

<file path=customXml/itemProps6.xml><?xml version="1.0" encoding="utf-8"?>
<ds:datastoreItem xmlns:ds="http://schemas.openxmlformats.org/officeDocument/2006/customXml" ds:itemID="{F301CF75-C7BC-4E33-AE50-0A956143C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639</Words>
  <Characters>3805</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EOI</vt:lpstr>
    </vt:vector>
  </TitlesOfParts>
  <Company>Department for Education</Company>
  <LinksUpToDate>false</LinksUpToDate>
  <CharactersWithSpaces>4436</CharactersWithSpaces>
  <SharedDoc>false</SharedDoc>
  <HLinks>
    <vt:vector size="60" baseType="variant">
      <vt:variant>
        <vt:i4>1638460</vt:i4>
      </vt:variant>
      <vt:variant>
        <vt:i4>59</vt:i4>
      </vt:variant>
      <vt:variant>
        <vt:i4>0</vt:i4>
      </vt:variant>
      <vt:variant>
        <vt:i4>5</vt:i4>
      </vt:variant>
      <vt:variant>
        <vt:lpwstr/>
      </vt:variant>
      <vt:variant>
        <vt:lpwstr>_Toc329874101</vt:lpwstr>
      </vt:variant>
      <vt:variant>
        <vt:i4>1638460</vt:i4>
      </vt:variant>
      <vt:variant>
        <vt:i4>53</vt:i4>
      </vt:variant>
      <vt:variant>
        <vt:i4>0</vt:i4>
      </vt:variant>
      <vt:variant>
        <vt:i4>5</vt:i4>
      </vt:variant>
      <vt:variant>
        <vt:lpwstr/>
      </vt:variant>
      <vt:variant>
        <vt:lpwstr>_Toc329874100</vt:lpwstr>
      </vt:variant>
      <vt:variant>
        <vt:i4>1048637</vt:i4>
      </vt:variant>
      <vt:variant>
        <vt:i4>47</vt:i4>
      </vt:variant>
      <vt:variant>
        <vt:i4>0</vt:i4>
      </vt:variant>
      <vt:variant>
        <vt:i4>5</vt:i4>
      </vt:variant>
      <vt:variant>
        <vt:lpwstr/>
      </vt:variant>
      <vt:variant>
        <vt:lpwstr>_Toc329874099</vt:lpwstr>
      </vt:variant>
      <vt:variant>
        <vt:i4>1769525</vt:i4>
      </vt:variant>
      <vt:variant>
        <vt:i4>38</vt:i4>
      </vt:variant>
      <vt:variant>
        <vt:i4>0</vt:i4>
      </vt:variant>
      <vt:variant>
        <vt:i4>5</vt:i4>
      </vt:variant>
      <vt:variant>
        <vt:lpwstr/>
      </vt:variant>
      <vt:variant>
        <vt:lpwstr>_Toc328374990</vt:lpwstr>
      </vt:variant>
      <vt:variant>
        <vt:i4>1703989</vt:i4>
      </vt:variant>
      <vt:variant>
        <vt:i4>32</vt:i4>
      </vt:variant>
      <vt:variant>
        <vt:i4>0</vt:i4>
      </vt:variant>
      <vt:variant>
        <vt:i4>5</vt:i4>
      </vt:variant>
      <vt:variant>
        <vt:lpwstr/>
      </vt:variant>
      <vt:variant>
        <vt:lpwstr>_Toc328374989</vt:lpwstr>
      </vt:variant>
      <vt:variant>
        <vt:i4>1703989</vt:i4>
      </vt:variant>
      <vt:variant>
        <vt:i4>26</vt:i4>
      </vt:variant>
      <vt:variant>
        <vt:i4>0</vt:i4>
      </vt:variant>
      <vt:variant>
        <vt:i4>5</vt:i4>
      </vt:variant>
      <vt:variant>
        <vt:lpwstr/>
      </vt:variant>
      <vt:variant>
        <vt:lpwstr>_Toc328374988</vt:lpwstr>
      </vt:variant>
      <vt:variant>
        <vt:i4>1703989</vt:i4>
      </vt:variant>
      <vt:variant>
        <vt:i4>20</vt:i4>
      </vt:variant>
      <vt:variant>
        <vt:i4>0</vt:i4>
      </vt:variant>
      <vt:variant>
        <vt:i4>5</vt:i4>
      </vt:variant>
      <vt:variant>
        <vt:lpwstr/>
      </vt:variant>
      <vt:variant>
        <vt:lpwstr>_Toc328374987</vt:lpwstr>
      </vt:variant>
      <vt:variant>
        <vt:i4>1703989</vt:i4>
      </vt:variant>
      <vt:variant>
        <vt:i4>14</vt:i4>
      </vt:variant>
      <vt:variant>
        <vt:i4>0</vt:i4>
      </vt:variant>
      <vt:variant>
        <vt:i4>5</vt:i4>
      </vt:variant>
      <vt:variant>
        <vt:lpwstr/>
      </vt:variant>
      <vt:variant>
        <vt:lpwstr>_Toc328374986</vt:lpwstr>
      </vt:variant>
      <vt:variant>
        <vt:i4>1703989</vt:i4>
      </vt:variant>
      <vt:variant>
        <vt:i4>8</vt:i4>
      </vt:variant>
      <vt:variant>
        <vt:i4>0</vt:i4>
      </vt:variant>
      <vt:variant>
        <vt:i4>5</vt:i4>
      </vt:variant>
      <vt:variant>
        <vt:lpwstr/>
      </vt:variant>
      <vt:variant>
        <vt:lpwstr>_Toc328374985</vt:lpwstr>
      </vt:variant>
      <vt:variant>
        <vt:i4>1703989</vt:i4>
      </vt:variant>
      <vt:variant>
        <vt:i4>2</vt:i4>
      </vt:variant>
      <vt:variant>
        <vt:i4>0</vt:i4>
      </vt:variant>
      <vt:variant>
        <vt:i4>5</vt:i4>
      </vt:variant>
      <vt:variant>
        <vt:lpwstr/>
      </vt:variant>
      <vt:variant>
        <vt:lpwstr>_Toc328374984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EOI</dc:title>
  <dc:creator>Publishing.TEAM@education.gsi.gov.uk</dc:creator>
  <dc:description>DfE-EOI-V1.0</dc:description>
  <cp:lastModifiedBy>CORK, Trevor</cp:lastModifiedBy>
  <cp:revision>2</cp:revision>
  <cp:lastPrinted>2013-07-11T10:35:00Z</cp:lastPrinted>
  <dcterms:created xsi:type="dcterms:W3CDTF">2018-10-31T15:01:00Z</dcterms:created>
  <dcterms:modified xsi:type="dcterms:W3CDTF">2018-10-31T15:01:00Z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0x01010022FB6F5B673DE24C929721332B4C6E921000462366E4CAAA4749A3B3F2C700F0AFB2</vt:lpwstr>
  </property>
  <property fmtid="{D5CDD505-2E9C-101B-9397-08002B2CF9AE}" pid="4" name="_dlc_DocIdItemGuid">
    <vt:lpwstr>b4fe5599-b26e-471e-92cc-94150a273d39</vt:lpwstr>
  </property>
  <property fmtid="{D5CDD505-2E9C-101B-9397-08002B2CF9AE}" pid="5" name="IWPOrganisationalUnit">
    <vt:lpwstr>2;#DfE|cc08a6d4-dfde-4d0f-bd85-069ebcef80d5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iteType">
    <vt:lpwstr/>
  </property>
  <property fmtid="{D5CDD505-2E9C-101B-9397-08002B2CF9AE}" pid="9" name="IWPRightsProtectiveMarking">
    <vt:lpwstr>1;#Official|0884c477-2e62-47ea-b19c-5af6e91124c5</vt:lpwstr>
  </property>
  <property fmtid="{D5CDD505-2E9C-101B-9397-08002B2CF9AE}" pid="10" name="IWPSubject">
    <vt:lpwstr/>
  </property>
</Properties>
</file>