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20EB6" w:rsidRDefault="00CE28E7" w14:paraId="7DFF1DA0" w14:textId="77777777">
      <w:pPr>
        <w:widowControl/>
        <w:pBdr>
          <w:top w:val="nil"/>
          <w:left w:val="nil"/>
          <w:bottom w:val="nil"/>
          <w:right w:val="nil"/>
          <w:between w:val="nil"/>
        </w:pBdr>
        <w:spacing w:before="240" w:after="120"/>
        <w:ind w:hanging="426"/>
        <w:rPr>
          <w:rFonts w:ascii="Arial" w:hAnsi="Arial" w:eastAsia="Arial" w:cs="Arial"/>
          <w:b/>
          <w:color w:val="000000"/>
          <w:sz w:val="36"/>
          <w:szCs w:val="36"/>
        </w:rPr>
      </w:pPr>
      <w:r>
        <w:rPr>
          <w:rFonts w:ascii="Arial" w:hAnsi="Arial" w:eastAsia="Arial" w:cs="Arial"/>
          <w:b/>
          <w:color w:val="000000"/>
          <w:sz w:val="36"/>
          <w:szCs w:val="36"/>
        </w:rPr>
        <w:t>DPS Schedule 7 (Order Procedure</w:t>
      </w:r>
      <w:bookmarkStart w:name="bookmark=id.gjdgxs" w:colFirst="0" w:colLast="0" w:id="0"/>
      <w:bookmarkEnd w:id="0"/>
      <w:r>
        <w:rPr>
          <w:rFonts w:ascii="Arial" w:hAnsi="Arial" w:eastAsia="Arial" w:cs="Arial"/>
          <w:b/>
          <w:color w:val="000000"/>
          <w:sz w:val="36"/>
          <w:szCs w:val="36"/>
        </w:rPr>
        <w:t xml:space="preserve"> and Award Criteria) </w:t>
      </w:r>
    </w:p>
    <w:p w:rsidR="00620EB6" w:rsidRDefault="00CE28E7" w14:paraId="3F2075B1" w14:textId="77777777">
      <w:pPr>
        <w:widowControl/>
        <w:pBdr>
          <w:top w:val="nil"/>
          <w:left w:val="nil"/>
          <w:bottom w:val="nil"/>
          <w:right w:val="nil"/>
          <w:between w:val="nil"/>
        </w:pBdr>
        <w:spacing w:before="240" w:after="120"/>
        <w:ind w:hanging="426"/>
        <w:rPr>
          <w:rFonts w:ascii="Arial" w:hAnsi="Arial" w:eastAsia="Arial" w:cs="Arial"/>
          <w:b/>
          <w:color w:val="000000"/>
          <w:sz w:val="36"/>
          <w:szCs w:val="36"/>
        </w:rPr>
      </w:pPr>
      <w:r>
        <w:rPr>
          <w:rFonts w:ascii="Arial" w:hAnsi="Arial" w:eastAsia="Arial" w:cs="Arial"/>
          <w:b/>
          <w:color w:val="000000"/>
          <w:sz w:val="36"/>
          <w:szCs w:val="36"/>
        </w:rPr>
        <w:t>Part 1: Order Procedure</w:t>
      </w:r>
    </w:p>
    <w:p w:rsidR="00620EB6" w:rsidRDefault="00CE28E7" w14:paraId="5B4FD6CC" w14:textId="77777777">
      <w:pPr>
        <w:keepNext/>
        <w:widowControl/>
        <w:numPr>
          <w:ilvl w:val="0"/>
          <w:numId w:val="3"/>
        </w:numPr>
        <w:pBdr>
          <w:top w:val="nil"/>
          <w:left w:val="nil"/>
          <w:bottom w:val="nil"/>
          <w:right w:val="nil"/>
          <w:between w:val="nil"/>
        </w:pBdr>
        <w:tabs>
          <w:tab w:val="left" w:pos="142"/>
        </w:tabs>
        <w:spacing w:before="120" w:after="240"/>
        <w:rPr>
          <w:rFonts w:ascii="Arial Bold" w:hAnsi="Arial Bold" w:eastAsia="Arial Bold" w:cs="Arial Bold"/>
          <w:b/>
          <w:color w:val="000000"/>
          <w:sz w:val="24"/>
          <w:szCs w:val="24"/>
        </w:rPr>
      </w:pPr>
      <w:r>
        <w:rPr>
          <w:rFonts w:ascii="Arial Bold" w:hAnsi="Arial Bold" w:eastAsia="Arial Bold" w:cs="Arial Bold"/>
          <w:b/>
          <w:color w:val="000000"/>
          <w:sz w:val="24"/>
          <w:szCs w:val="24"/>
        </w:rPr>
        <w:t>How an Order Contract is awarded</w:t>
      </w:r>
    </w:p>
    <w:p w:rsidR="00620EB6" w:rsidRDefault="00CE28E7" w14:paraId="20F04599" w14:textId="77777777">
      <w:pPr>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bookmarkStart w:name="_heading=h.30j0zll" w:colFirst="0" w:colLast="0" w:id="1"/>
      <w:bookmarkEnd w:id="1"/>
      <w:r>
        <w:rPr>
          <w:rFonts w:ascii="Arial" w:hAnsi="Arial" w:eastAsia="Arial" w:cs="Arial"/>
          <w:color w:val="000000"/>
          <w:sz w:val="24"/>
          <w:szCs w:val="24"/>
        </w:rPr>
        <w:t xml:space="preserve">If a potential Buyer decides to source Deliverables through this </w:t>
      </w:r>
      <w:proofErr w:type="gramStart"/>
      <w:r>
        <w:rPr>
          <w:rFonts w:ascii="Arial" w:hAnsi="Arial" w:eastAsia="Arial" w:cs="Arial"/>
          <w:color w:val="000000"/>
          <w:sz w:val="24"/>
          <w:szCs w:val="24"/>
        </w:rPr>
        <w:t>Contract</w:t>
      </w:r>
      <w:proofErr w:type="gramEnd"/>
      <w:r>
        <w:rPr>
          <w:rFonts w:ascii="Arial" w:hAnsi="Arial" w:eastAsia="Arial" w:cs="Arial"/>
          <w:color w:val="000000"/>
          <w:sz w:val="24"/>
          <w:szCs w:val="24"/>
        </w:rPr>
        <w:t xml:space="preserve"> then it will award its Deliverables in accordance with the procedure in this Schedule and the requirements of the Regulations.</w:t>
      </w:r>
    </w:p>
    <w:p w:rsidR="00620EB6" w:rsidRDefault="00CE28E7" w14:paraId="3CAAD13A" w14:textId="77777777">
      <w:pPr>
        <w:keepNext/>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bookmarkStart w:name="_heading=h.1fob9te" w:colFirst="0" w:colLast="0" w:id="2"/>
      <w:bookmarkEnd w:id="2"/>
      <w:r>
        <w:rPr>
          <w:rFonts w:ascii="Arial" w:hAnsi="Arial" w:eastAsia="Arial" w:cs="Arial"/>
          <w:color w:val="000000"/>
          <w:sz w:val="24"/>
          <w:szCs w:val="24"/>
        </w:rPr>
        <w:t>Any potential Buyer awarding an Order Contract must do so in accordance with the Order Procedure set out in Paragraph 2 below.</w:t>
      </w:r>
    </w:p>
    <w:p w:rsidR="00620EB6" w:rsidRDefault="00CE28E7" w14:paraId="00298553" w14:textId="77777777">
      <w:pPr>
        <w:keepNext/>
        <w:widowControl/>
        <w:numPr>
          <w:ilvl w:val="0"/>
          <w:numId w:val="2"/>
        </w:numPr>
        <w:pBdr>
          <w:top w:val="nil"/>
          <w:left w:val="nil"/>
          <w:bottom w:val="nil"/>
          <w:right w:val="nil"/>
          <w:between w:val="nil"/>
        </w:pBdr>
        <w:tabs>
          <w:tab w:val="left" w:pos="142"/>
        </w:tabs>
        <w:spacing w:before="120" w:after="240"/>
        <w:rPr>
          <w:rFonts w:ascii="Arial Bold" w:hAnsi="Arial Bold" w:eastAsia="Arial Bold" w:cs="Arial Bold"/>
          <w:b/>
          <w:color w:val="000000"/>
          <w:sz w:val="24"/>
          <w:szCs w:val="24"/>
        </w:rPr>
      </w:pPr>
      <w:r>
        <w:rPr>
          <w:rFonts w:ascii="Arial Bold" w:hAnsi="Arial Bold" w:eastAsia="Arial Bold" w:cs="Arial Bold"/>
          <w:b/>
          <w:color w:val="000000"/>
          <w:sz w:val="24"/>
          <w:szCs w:val="24"/>
        </w:rPr>
        <w:t>How a competition works</w:t>
      </w:r>
    </w:p>
    <w:p w:rsidR="00620EB6" w:rsidRDefault="00CE28E7" w14:paraId="53EC802B" w14:textId="77777777">
      <w:pPr>
        <w:keepNext/>
        <w:widowControl/>
        <w:pBdr>
          <w:top w:val="nil"/>
          <w:left w:val="nil"/>
          <w:bottom w:val="nil"/>
          <w:right w:val="nil"/>
          <w:between w:val="nil"/>
        </w:pBdr>
        <w:tabs>
          <w:tab w:val="left" w:pos="3054"/>
        </w:tabs>
        <w:spacing w:before="120" w:after="120"/>
        <w:ind w:left="1134" w:hanging="774"/>
        <w:rPr>
          <w:rFonts w:ascii="Arial" w:hAnsi="Arial" w:eastAsia="Arial" w:cs="Arial"/>
          <w:b/>
          <w:color w:val="000000"/>
          <w:sz w:val="24"/>
          <w:szCs w:val="24"/>
        </w:rPr>
      </w:pPr>
      <w:r>
        <w:rPr>
          <w:rFonts w:ascii="Arial" w:hAnsi="Arial" w:eastAsia="Arial" w:cs="Arial"/>
          <w:b/>
          <w:color w:val="000000"/>
          <w:sz w:val="24"/>
          <w:szCs w:val="24"/>
        </w:rPr>
        <w:t xml:space="preserve">What the Buyer </w:t>
      </w:r>
      <w:proofErr w:type="gramStart"/>
      <w:r>
        <w:rPr>
          <w:rFonts w:ascii="Arial" w:hAnsi="Arial" w:eastAsia="Arial" w:cs="Arial"/>
          <w:b/>
          <w:color w:val="000000"/>
          <w:sz w:val="24"/>
          <w:szCs w:val="24"/>
        </w:rPr>
        <w:t>has to</w:t>
      </w:r>
      <w:proofErr w:type="gramEnd"/>
      <w:r>
        <w:rPr>
          <w:rFonts w:ascii="Arial" w:hAnsi="Arial" w:eastAsia="Arial" w:cs="Arial"/>
          <w:b/>
          <w:color w:val="000000"/>
          <w:sz w:val="24"/>
          <w:szCs w:val="24"/>
        </w:rPr>
        <w:t xml:space="preserve"> do</w:t>
      </w:r>
    </w:p>
    <w:p w:rsidR="00620EB6" w:rsidRDefault="00CE28E7" w14:paraId="32FDC23F" w14:textId="77777777">
      <w:pPr>
        <w:keepNext/>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The Buyer awarding an Order Contract under this Contract through the Order Procedure shall:</w:t>
      </w:r>
    </w:p>
    <w:p w:rsidR="00620EB6" w:rsidRDefault="00CE28E7" w14:paraId="4C11BDD5" w14:textId="77777777">
      <w:pPr>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bookmarkStart w:name="_heading=h.3znysh7" w:colFirst="0" w:colLast="0" w:id="3"/>
      <w:bookmarkEnd w:id="3"/>
      <w:r>
        <w:rPr>
          <w:rFonts w:ascii="Arial" w:hAnsi="Arial" w:eastAsia="Arial" w:cs="Arial"/>
          <w:color w:val="000000"/>
          <w:sz w:val="24"/>
          <w:szCs w:val="24"/>
        </w:rPr>
        <w:t xml:space="preserve">develop a Statement of Requirements setting out its requirements for the Deliverables and identify the Suppliers capable of supplying </w:t>
      </w:r>
      <w:proofErr w:type="gramStart"/>
      <w:r>
        <w:rPr>
          <w:rFonts w:ascii="Arial" w:hAnsi="Arial" w:eastAsia="Arial" w:cs="Arial"/>
          <w:color w:val="000000"/>
          <w:sz w:val="24"/>
          <w:szCs w:val="24"/>
        </w:rPr>
        <w:t>them;</w:t>
      </w:r>
      <w:proofErr w:type="gramEnd"/>
    </w:p>
    <w:p w:rsidR="00620EB6" w:rsidRDefault="00CE28E7" w14:paraId="5FAC7123" w14:textId="77777777">
      <w:pPr>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bookmarkStart w:name="_heading=h.2et92p0" w:colFirst="0" w:colLast="0" w:id="4"/>
      <w:bookmarkEnd w:id="4"/>
      <w:r>
        <w:rPr>
          <w:rFonts w:ascii="Arial" w:hAnsi="Arial" w:eastAsia="Arial" w:cs="Arial"/>
          <w:color w:val="000000"/>
          <w:sz w:val="24"/>
          <w:szCs w:val="24"/>
        </w:rPr>
        <w:t xml:space="preserve">amend or refine the Deliverables to reflect its requirements by using the Order Form only to the extent permitted by and in accordance with the requirements of the </w:t>
      </w:r>
      <w:proofErr w:type="gramStart"/>
      <w:r>
        <w:rPr>
          <w:rFonts w:ascii="Arial" w:hAnsi="Arial" w:eastAsia="Arial" w:cs="Arial"/>
          <w:color w:val="000000"/>
          <w:sz w:val="24"/>
          <w:szCs w:val="24"/>
        </w:rPr>
        <w:t>Regulations;</w:t>
      </w:r>
      <w:proofErr w:type="gramEnd"/>
    </w:p>
    <w:p w:rsidR="00620EB6" w:rsidRDefault="00CE28E7" w14:paraId="757D46F8" w14:textId="77777777">
      <w:pPr>
        <w:keepNext/>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bookmarkStart w:name="_heading=h.tyjcwt" w:colFirst="0" w:colLast="0" w:id="5"/>
      <w:bookmarkEnd w:id="5"/>
      <w:r>
        <w:rPr>
          <w:rFonts w:ascii="Arial" w:hAnsi="Arial" w:eastAsia="Arial" w:cs="Arial"/>
          <w:color w:val="000000"/>
          <w:sz w:val="24"/>
          <w:szCs w:val="24"/>
        </w:rPr>
        <w:t>invite tenders by conducting an Order Procedure for its Deliverables in accordance with the Regulations and in particular:</w:t>
      </w:r>
    </w:p>
    <w:p w:rsidR="00620EB6" w:rsidRDefault="00CE28E7" w14:paraId="62189094"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 xml:space="preserve">if an Electronic Reverse Auction (as defined in Paragraph </w:t>
      </w:r>
      <w:proofErr w:type="gramStart"/>
      <w:r>
        <w:rPr>
          <w:rFonts w:ascii="Arial" w:hAnsi="Arial" w:eastAsia="Arial" w:cs="Arial"/>
          <w:color w:val="000000"/>
          <w:sz w:val="24"/>
          <w:szCs w:val="24"/>
        </w:rPr>
        <w:t>3  below</w:t>
      </w:r>
      <w:proofErr w:type="gramEnd"/>
      <w:r>
        <w:rPr>
          <w:rFonts w:ascii="Arial" w:hAnsi="Arial" w:eastAsia="Arial" w:cs="Arial"/>
          <w:color w:val="000000"/>
          <w:sz w:val="24"/>
          <w:szCs w:val="24"/>
        </w:rPr>
        <w:t>) is to be held, the Buyer shall notify the Suppliers and shall conduct the Order Procedure in accordance with the procedures set out in Paragraph ; or</w:t>
      </w:r>
    </w:p>
    <w:p w:rsidR="00620EB6" w:rsidRDefault="00CE28E7" w14:paraId="636F5A9A" w14:textId="77777777">
      <w:pPr>
        <w:keepNext/>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if an Electronic Reverse Auction is not used, the Buyer shall:</w:t>
      </w:r>
    </w:p>
    <w:p w:rsidR="00620EB6" w:rsidRDefault="00CE28E7" w14:paraId="41F3A1CF" w14:textId="77777777">
      <w:pPr>
        <w:widowControl/>
        <w:numPr>
          <w:ilvl w:val="4"/>
          <w:numId w:val="2"/>
        </w:numPr>
        <w:pBdr>
          <w:top w:val="nil"/>
          <w:left w:val="nil"/>
          <w:bottom w:val="nil"/>
          <w:right w:val="nil"/>
          <w:between w:val="nil"/>
        </w:pBdr>
        <w:tabs>
          <w:tab w:val="left" w:pos="6238"/>
        </w:tabs>
        <w:spacing w:before="120" w:after="120"/>
        <w:ind w:left="3119" w:hanging="566"/>
        <w:rPr>
          <w:rFonts w:ascii="Arial" w:hAnsi="Arial" w:eastAsia="Arial" w:cs="Arial"/>
          <w:color w:val="000000"/>
          <w:sz w:val="24"/>
          <w:szCs w:val="24"/>
        </w:rPr>
      </w:pPr>
      <w:r>
        <w:rPr>
          <w:rFonts w:ascii="Arial" w:hAnsi="Arial" w:eastAsia="Arial" w:cs="Arial"/>
          <w:color w:val="000000"/>
          <w:sz w:val="24"/>
          <w:szCs w:val="24"/>
        </w:rPr>
        <w:t xml:space="preserve">invite the Suppliers to submit a tender in writing for each proposed Order Contract to be awarded by giving written notice by email to the relevant Supplier Representative of each </w:t>
      </w:r>
      <w:proofErr w:type="gramStart"/>
      <w:r>
        <w:rPr>
          <w:rFonts w:ascii="Arial" w:hAnsi="Arial" w:eastAsia="Arial" w:cs="Arial"/>
          <w:color w:val="000000"/>
          <w:sz w:val="24"/>
          <w:szCs w:val="24"/>
        </w:rPr>
        <w:t>Supplier;</w:t>
      </w:r>
      <w:proofErr w:type="gramEnd"/>
    </w:p>
    <w:p w:rsidR="00620EB6" w:rsidRDefault="00CE28E7" w14:paraId="3A935033" w14:textId="77777777">
      <w:pPr>
        <w:widowControl/>
        <w:numPr>
          <w:ilvl w:val="4"/>
          <w:numId w:val="2"/>
        </w:numPr>
        <w:pBdr>
          <w:top w:val="nil"/>
          <w:left w:val="nil"/>
          <w:bottom w:val="nil"/>
          <w:right w:val="nil"/>
          <w:between w:val="nil"/>
        </w:pBdr>
        <w:tabs>
          <w:tab w:val="left" w:pos="6238"/>
        </w:tabs>
        <w:spacing w:before="120" w:after="120"/>
        <w:ind w:left="3119" w:hanging="566"/>
        <w:rPr>
          <w:rFonts w:ascii="Arial" w:hAnsi="Arial" w:eastAsia="Arial" w:cs="Arial"/>
          <w:color w:val="000000"/>
          <w:sz w:val="24"/>
          <w:szCs w:val="24"/>
        </w:rPr>
      </w:pPr>
      <w:r>
        <w:rPr>
          <w:rFonts w:ascii="Arial" w:hAnsi="Arial" w:eastAsia="Arial" w:cs="Arial"/>
          <w:color w:val="000000"/>
          <w:sz w:val="24"/>
          <w:szCs w:val="24"/>
        </w:rPr>
        <w:t xml:space="preserve">set a time limit for the receipt by it of the tenders which </w:t>
      </w:r>
      <w:proofErr w:type="gramStart"/>
      <w:r>
        <w:rPr>
          <w:rFonts w:ascii="Arial" w:hAnsi="Arial" w:eastAsia="Arial" w:cs="Arial"/>
          <w:color w:val="000000"/>
          <w:sz w:val="24"/>
          <w:szCs w:val="24"/>
        </w:rPr>
        <w:t>takes into account</w:t>
      </w:r>
      <w:proofErr w:type="gramEnd"/>
      <w:r>
        <w:rPr>
          <w:rFonts w:ascii="Arial" w:hAnsi="Arial" w:eastAsia="Arial" w:cs="Arial"/>
          <w:color w:val="000000"/>
          <w:sz w:val="24"/>
          <w:szCs w:val="24"/>
        </w:rPr>
        <w:t xml:space="preserve"> factors such as the complexity of the subject matter of the proposed Order Contract and the time needed to submit tenders; and</w:t>
      </w:r>
    </w:p>
    <w:p w:rsidR="00620EB6" w:rsidRDefault="00CE28E7" w14:paraId="407891BD" w14:textId="77777777">
      <w:pPr>
        <w:widowControl/>
        <w:numPr>
          <w:ilvl w:val="4"/>
          <w:numId w:val="2"/>
        </w:numPr>
        <w:pBdr>
          <w:top w:val="nil"/>
          <w:left w:val="nil"/>
          <w:bottom w:val="nil"/>
          <w:right w:val="nil"/>
          <w:between w:val="nil"/>
        </w:pBdr>
        <w:tabs>
          <w:tab w:val="left" w:pos="6238"/>
        </w:tabs>
        <w:spacing w:before="120" w:after="120"/>
        <w:ind w:left="3119" w:hanging="566"/>
        <w:rPr>
          <w:rFonts w:ascii="Arial" w:hAnsi="Arial" w:eastAsia="Arial" w:cs="Arial"/>
          <w:color w:val="000000"/>
          <w:sz w:val="24"/>
          <w:szCs w:val="24"/>
        </w:rPr>
      </w:pPr>
      <w:r>
        <w:rPr>
          <w:rFonts w:ascii="Arial" w:hAnsi="Arial" w:eastAsia="Arial" w:cs="Arial"/>
          <w:color w:val="000000"/>
          <w:sz w:val="24"/>
          <w:szCs w:val="24"/>
        </w:rPr>
        <w:t xml:space="preserve">keep each tender confidential until the time limit set out for the return of tenders has </w:t>
      </w:r>
      <w:proofErr w:type="gramStart"/>
      <w:r>
        <w:rPr>
          <w:rFonts w:ascii="Arial" w:hAnsi="Arial" w:eastAsia="Arial" w:cs="Arial"/>
          <w:color w:val="000000"/>
          <w:sz w:val="24"/>
          <w:szCs w:val="24"/>
        </w:rPr>
        <w:t>expired;</w:t>
      </w:r>
      <w:proofErr w:type="gramEnd"/>
    </w:p>
    <w:p w:rsidR="00620EB6" w:rsidRDefault="00CE28E7" w14:paraId="6C7BD800" w14:textId="77777777">
      <w:pPr>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apply the Order Award Criteria to the Suppliers' compliant tenders submitted through the Order Procedure as the basis of its decision to award an Order Contract for its </w:t>
      </w:r>
      <w:proofErr w:type="gramStart"/>
      <w:r>
        <w:rPr>
          <w:rFonts w:ascii="Arial" w:hAnsi="Arial" w:eastAsia="Arial" w:cs="Arial"/>
          <w:color w:val="000000"/>
          <w:sz w:val="24"/>
          <w:szCs w:val="24"/>
        </w:rPr>
        <w:t>Deliverables;</w:t>
      </w:r>
      <w:proofErr w:type="gramEnd"/>
    </w:p>
    <w:p w:rsidR="00620EB6" w:rsidRDefault="00CE28E7" w14:paraId="661A57C2" w14:textId="77777777">
      <w:pPr>
        <w:keepNext/>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lastRenderedPageBreak/>
        <w:t>on the basis set out above, award its Order Contract to the successful Supplier in accordance with Paragraph 6. The Order Contract shall:</w:t>
      </w:r>
    </w:p>
    <w:p w:rsidR="00620EB6" w:rsidRDefault="00CE28E7" w14:paraId="1BA58CB7"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 xml:space="preserve">state the </w:t>
      </w:r>
      <w:proofErr w:type="gramStart"/>
      <w:r>
        <w:rPr>
          <w:rFonts w:ascii="Arial" w:hAnsi="Arial" w:eastAsia="Arial" w:cs="Arial"/>
          <w:color w:val="000000"/>
          <w:sz w:val="24"/>
          <w:szCs w:val="24"/>
        </w:rPr>
        <w:t>Deliverables;</w:t>
      </w:r>
      <w:proofErr w:type="gramEnd"/>
    </w:p>
    <w:p w:rsidR="00620EB6" w:rsidRDefault="00CE28E7" w14:paraId="3913F6C9"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 xml:space="preserve">state the tender submitted by the successful </w:t>
      </w:r>
      <w:proofErr w:type="gramStart"/>
      <w:r>
        <w:rPr>
          <w:rFonts w:ascii="Arial" w:hAnsi="Arial" w:eastAsia="Arial" w:cs="Arial"/>
          <w:color w:val="000000"/>
          <w:sz w:val="24"/>
          <w:szCs w:val="24"/>
        </w:rPr>
        <w:t>Supplier;</w:t>
      </w:r>
      <w:proofErr w:type="gramEnd"/>
    </w:p>
    <w:p w:rsidR="00620EB6" w:rsidRDefault="00CE28E7" w14:paraId="4DEF6099"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state the charges payable for the Deliverables in accordance with the tender submitted by the successful Supplier; and</w:t>
      </w:r>
    </w:p>
    <w:p w:rsidR="00620EB6" w:rsidRDefault="00CE28E7" w14:paraId="7359B6C7"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incorporate the terms of the Order Form and Contract (as may be amended or refined by the Buyer in accordance with Paragraph 2.1.2. above) applicable to the Deliverables; and</w:t>
      </w:r>
    </w:p>
    <w:p w:rsidR="00620EB6" w:rsidRDefault="00CE28E7" w14:paraId="53C5F165" w14:textId="77777777">
      <w:pPr>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provide unsuccessful Suppliers with written feedback in relation to the reasons why their tenders were unsuccessful.</w:t>
      </w:r>
    </w:p>
    <w:p w:rsidR="00620EB6" w:rsidRDefault="00CE28E7" w14:paraId="6BCA8854" w14:textId="77777777">
      <w:pPr>
        <w:keepNext/>
        <w:widowControl/>
        <w:pBdr>
          <w:top w:val="nil"/>
          <w:left w:val="nil"/>
          <w:bottom w:val="nil"/>
          <w:right w:val="nil"/>
          <w:between w:val="nil"/>
        </w:pBdr>
        <w:tabs>
          <w:tab w:val="left" w:pos="3054"/>
        </w:tabs>
        <w:spacing w:before="120" w:after="120"/>
        <w:ind w:hanging="1134"/>
        <w:rPr>
          <w:rFonts w:ascii="Arial" w:hAnsi="Arial" w:eastAsia="Arial" w:cs="Arial"/>
          <w:b/>
          <w:color w:val="000000"/>
          <w:sz w:val="24"/>
          <w:szCs w:val="24"/>
        </w:rPr>
      </w:pPr>
      <w:r>
        <w:rPr>
          <w:rFonts w:ascii="Arial" w:hAnsi="Arial" w:eastAsia="Arial" w:cs="Arial"/>
          <w:b/>
          <w:color w:val="000000"/>
          <w:sz w:val="24"/>
          <w:szCs w:val="24"/>
        </w:rPr>
        <w:t xml:space="preserve">What the Supplier </w:t>
      </w:r>
      <w:proofErr w:type="gramStart"/>
      <w:r>
        <w:rPr>
          <w:rFonts w:ascii="Arial" w:hAnsi="Arial" w:eastAsia="Arial" w:cs="Arial"/>
          <w:b/>
          <w:color w:val="000000"/>
          <w:sz w:val="24"/>
          <w:szCs w:val="24"/>
        </w:rPr>
        <w:t>has to</w:t>
      </w:r>
      <w:proofErr w:type="gramEnd"/>
      <w:r>
        <w:rPr>
          <w:rFonts w:ascii="Arial" w:hAnsi="Arial" w:eastAsia="Arial" w:cs="Arial"/>
          <w:b/>
          <w:color w:val="000000"/>
          <w:sz w:val="24"/>
          <w:szCs w:val="24"/>
        </w:rPr>
        <w:t xml:space="preserve"> do</w:t>
      </w:r>
    </w:p>
    <w:p w:rsidR="00620EB6" w:rsidRDefault="00CE28E7" w14:paraId="53DCFA25" w14:textId="77777777">
      <w:pPr>
        <w:keepNext/>
        <w:widowControl/>
        <w:numPr>
          <w:ilvl w:val="1"/>
          <w:numId w:val="2"/>
        </w:numPr>
        <w:pBdr>
          <w:top w:val="nil"/>
          <w:left w:val="nil"/>
          <w:bottom w:val="nil"/>
          <w:right w:val="nil"/>
          <w:between w:val="nil"/>
        </w:pBdr>
        <w:tabs>
          <w:tab w:val="left" w:pos="3054"/>
        </w:tabs>
        <w:spacing w:before="120" w:after="120"/>
        <w:rPr>
          <w:rFonts w:ascii="Arial" w:hAnsi="Arial" w:eastAsia="Arial" w:cs="Arial"/>
          <w:b/>
          <w:color w:val="000000"/>
          <w:sz w:val="24"/>
          <w:szCs w:val="24"/>
        </w:rPr>
      </w:pPr>
      <w:r>
        <w:rPr>
          <w:rFonts w:ascii="Arial" w:hAnsi="Arial" w:eastAsia="Arial" w:cs="Arial"/>
          <w:color w:val="000000"/>
          <w:sz w:val="24"/>
          <w:szCs w:val="24"/>
        </w:rPr>
        <w:t>The Supplier shall in writing, by the time and date specified by the Buyer following an invitation to tender pursuant to Paragraph 2.1.3 above, provide CCS and the Buyer with either:</w:t>
      </w:r>
    </w:p>
    <w:p w:rsidR="00620EB6" w:rsidRDefault="00CE28E7" w14:paraId="5F75528D" w14:textId="77777777">
      <w:pPr>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a statement to the effect that it does not wish to tender in relation to the Deliverables; or</w:t>
      </w:r>
    </w:p>
    <w:p w:rsidR="00620EB6" w:rsidRDefault="00CE28E7" w14:paraId="32ECE7C1" w14:textId="77777777">
      <w:pPr>
        <w:keepNext/>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the full details of its tender made in respect of the relevant Statement of Requirements. </w:t>
      </w:r>
      <w:proofErr w:type="gramStart"/>
      <w:r>
        <w:rPr>
          <w:rFonts w:ascii="Arial" w:hAnsi="Arial" w:eastAsia="Arial" w:cs="Arial"/>
          <w:color w:val="000000"/>
          <w:sz w:val="24"/>
          <w:szCs w:val="24"/>
        </w:rPr>
        <w:t>In the event that</w:t>
      </w:r>
      <w:proofErr w:type="gramEnd"/>
      <w:r>
        <w:rPr>
          <w:rFonts w:ascii="Arial" w:hAnsi="Arial" w:eastAsia="Arial" w:cs="Arial"/>
          <w:color w:val="000000"/>
          <w:sz w:val="24"/>
          <w:szCs w:val="24"/>
        </w:rPr>
        <w:t xml:space="preserve"> the Supplier submits such a tender, it should include, as a minimum:</w:t>
      </w:r>
    </w:p>
    <w:p w:rsidR="00620EB6" w:rsidRDefault="00CE28E7" w14:paraId="4583AC9B"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 xml:space="preserve">an email response subject line to comprise unique reference number and Supplier name, so as to clearly identify the </w:t>
      </w:r>
      <w:proofErr w:type="gramStart"/>
      <w:r>
        <w:rPr>
          <w:rFonts w:ascii="Arial" w:hAnsi="Arial" w:eastAsia="Arial" w:cs="Arial"/>
          <w:color w:val="000000"/>
          <w:sz w:val="24"/>
          <w:szCs w:val="24"/>
        </w:rPr>
        <w:t>Supplier;</w:t>
      </w:r>
      <w:proofErr w:type="gramEnd"/>
    </w:p>
    <w:p w:rsidR="00620EB6" w:rsidRDefault="00CE28E7" w14:paraId="678199D0"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 xml:space="preserve">a brief summary, in the email (followed by a confirmation letter), stating that the Supplier is bidding for the Statement of </w:t>
      </w:r>
      <w:proofErr w:type="gramStart"/>
      <w:r>
        <w:rPr>
          <w:rFonts w:ascii="Arial" w:hAnsi="Arial" w:eastAsia="Arial" w:cs="Arial"/>
          <w:color w:val="000000"/>
          <w:sz w:val="24"/>
          <w:szCs w:val="24"/>
        </w:rPr>
        <w:t>Requirements;</w:t>
      </w:r>
      <w:proofErr w:type="gramEnd"/>
    </w:p>
    <w:p w:rsidR="00620EB6" w:rsidRDefault="00CE28E7" w14:paraId="71F6A2CA"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 xml:space="preserve">a proposal covering the </w:t>
      </w:r>
      <w:proofErr w:type="gramStart"/>
      <w:r>
        <w:rPr>
          <w:rFonts w:ascii="Arial" w:hAnsi="Arial" w:eastAsia="Arial" w:cs="Arial"/>
          <w:color w:val="000000"/>
          <w:sz w:val="24"/>
          <w:szCs w:val="24"/>
        </w:rPr>
        <w:t>Deliverables;</w:t>
      </w:r>
      <w:proofErr w:type="gramEnd"/>
    </w:p>
    <w:p w:rsidR="00620EB6" w:rsidRDefault="00CE28E7" w14:paraId="1DD0249C"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CVs of key staff – as a minimum any lead consultant, with others, as considered appropriate along with required staff levels (if necessary); and</w:t>
      </w:r>
    </w:p>
    <w:p w:rsidR="00620EB6" w:rsidRDefault="00CE28E7" w14:paraId="551926A6"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confirmation of discounts applicable to the Deliverables, as referenced in DPS Schedule 3 (DPS Pricing) (if applicable).</w:t>
      </w:r>
    </w:p>
    <w:p w:rsidR="00620EB6" w:rsidRDefault="00CE28E7" w14:paraId="40EC8E10" w14:textId="77777777">
      <w:pPr>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The Supplier shall ensure that any prices submitted in relation to an Order Procedure held pursuant to this Paragraph 2 shall reflect DPS Pricing where applicable and </w:t>
      </w:r>
      <w:proofErr w:type="gramStart"/>
      <w:r>
        <w:rPr>
          <w:rFonts w:ascii="Arial" w:hAnsi="Arial" w:eastAsia="Arial" w:cs="Arial"/>
          <w:color w:val="000000"/>
          <w:sz w:val="24"/>
          <w:szCs w:val="24"/>
        </w:rPr>
        <w:t>take into account</w:t>
      </w:r>
      <w:proofErr w:type="gramEnd"/>
      <w:r>
        <w:rPr>
          <w:rFonts w:ascii="Arial" w:hAnsi="Arial" w:eastAsia="Arial" w:cs="Arial"/>
          <w:color w:val="000000"/>
          <w:sz w:val="24"/>
          <w:szCs w:val="24"/>
        </w:rPr>
        <w:t xml:space="preserve"> any discount to which the Buyer may be entitled as set out in DPS Schedule 3 (DPS Pricing).</w:t>
      </w:r>
    </w:p>
    <w:p w:rsidR="00620EB6" w:rsidRDefault="00CE28E7" w14:paraId="4E12DAE5" w14:textId="77777777">
      <w:pPr>
        <w:keepNext/>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The Supplier agrees that:</w:t>
      </w:r>
    </w:p>
    <w:p w:rsidR="00620EB6" w:rsidRDefault="00CE28E7" w14:paraId="44647049"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 xml:space="preserve">all tenders submitted by the Supplier in relation to an Order Procedure held pursuant to this Paragraph 2 shall remain open for acceptance by the Buyer for ninety (90) Working </w:t>
      </w:r>
      <w:r>
        <w:rPr>
          <w:rFonts w:ascii="Arial" w:hAnsi="Arial" w:eastAsia="Arial" w:cs="Arial"/>
          <w:color w:val="000000"/>
          <w:sz w:val="24"/>
          <w:szCs w:val="24"/>
        </w:rPr>
        <w:lastRenderedPageBreak/>
        <w:t>Days (or such other period specified in the invitation to tender issued by the Buyer in accordance with the Order Procedure); and</w:t>
      </w:r>
    </w:p>
    <w:p w:rsidR="00620EB6" w:rsidRDefault="00CE28E7" w14:paraId="5C348C57" w14:textId="77777777">
      <w:pPr>
        <w:widowControl/>
        <w:numPr>
          <w:ilvl w:val="3"/>
          <w:numId w:val="2"/>
        </w:numPr>
        <w:pBdr>
          <w:top w:val="nil"/>
          <w:left w:val="nil"/>
          <w:bottom w:val="nil"/>
          <w:right w:val="nil"/>
          <w:between w:val="nil"/>
        </w:pBdr>
        <w:tabs>
          <w:tab w:val="left" w:pos="3641"/>
        </w:tabs>
        <w:spacing w:before="120" w:after="120"/>
        <w:ind w:left="2592" w:hanging="936"/>
        <w:rPr>
          <w:rFonts w:ascii="Arial" w:hAnsi="Arial" w:eastAsia="Arial" w:cs="Arial"/>
          <w:color w:val="000000"/>
          <w:sz w:val="24"/>
          <w:szCs w:val="24"/>
        </w:rPr>
      </w:pPr>
      <w:r>
        <w:rPr>
          <w:rFonts w:ascii="Arial" w:hAnsi="Arial" w:eastAsia="Arial" w:cs="Arial"/>
          <w:color w:val="000000"/>
          <w:sz w:val="24"/>
          <w:szCs w:val="24"/>
        </w:rPr>
        <w:t>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620EB6" w:rsidRDefault="00CE28E7" w14:paraId="66F8CE0E" w14:textId="77777777">
      <w:pPr>
        <w:widowControl/>
        <w:numPr>
          <w:ilvl w:val="4"/>
          <w:numId w:val="2"/>
        </w:numPr>
        <w:pBdr>
          <w:top w:val="nil"/>
          <w:left w:val="nil"/>
          <w:bottom w:val="nil"/>
          <w:right w:val="nil"/>
          <w:between w:val="nil"/>
        </w:pBdr>
        <w:tabs>
          <w:tab w:val="left" w:pos="6238"/>
        </w:tabs>
        <w:spacing w:before="120" w:after="120"/>
        <w:ind w:left="3119" w:hanging="566"/>
        <w:rPr>
          <w:rFonts w:ascii="Arial" w:hAnsi="Arial" w:eastAsia="Arial" w:cs="Arial"/>
          <w:color w:val="000000"/>
          <w:sz w:val="24"/>
          <w:szCs w:val="24"/>
        </w:rPr>
      </w:pPr>
      <w:r>
        <w:rPr>
          <w:rFonts w:ascii="Arial" w:hAnsi="Arial" w:eastAsia="Arial" w:cs="Arial"/>
          <w:color w:val="000000"/>
          <w:sz w:val="24"/>
          <w:szCs w:val="24"/>
        </w:rPr>
        <w:t>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rsidR="00620EB6" w:rsidRDefault="00CE28E7" w14:paraId="7205D0DD" w14:textId="77777777">
      <w:pPr>
        <w:widowControl/>
        <w:numPr>
          <w:ilvl w:val="4"/>
          <w:numId w:val="2"/>
        </w:numPr>
        <w:pBdr>
          <w:top w:val="nil"/>
          <w:left w:val="nil"/>
          <w:bottom w:val="nil"/>
          <w:right w:val="nil"/>
          <w:between w:val="nil"/>
        </w:pBdr>
        <w:tabs>
          <w:tab w:val="left" w:pos="6238"/>
        </w:tabs>
        <w:spacing w:before="120" w:after="120"/>
        <w:ind w:left="3119" w:hanging="566"/>
        <w:rPr>
          <w:rFonts w:ascii="Arial" w:hAnsi="Arial" w:eastAsia="Arial" w:cs="Arial"/>
          <w:color w:val="000000"/>
          <w:sz w:val="24"/>
          <w:szCs w:val="24"/>
        </w:rPr>
      </w:pPr>
      <w:r>
        <w:rPr>
          <w:rFonts w:ascii="Arial" w:hAnsi="Arial" w:eastAsia="Arial" w:cs="Arial"/>
          <w:color w:val="000000"/>
          <w:sz w:val="24"/>
          <w:szCs w:val="24"/>
        </w:rPr>
        <w:t>enter into any arrangement or agreement with any other person that he or the other person(s) shall refrain from submitting a tender or as to the amount of any tenders to be submitted.</w:t>
      </w:r>
    </w:p>
    <w:p w:rsidR="00620EB6" w:rsidRDefault="00CE28E7" w14:paraId="642AB00F" w14:textId="77777777">
      <w:pPr>
        <w:keepNext/>
        <w:widowControl/>
        <w:numPr>
          <w:ilvl w:val="0"/>
          <w:numId w:val="2"/>
        </w:numPr>
        <w:pBdr>
          <w:top w:val="nil"/>
          <w:left w:val="nil"/>
          <w:bottom w:val="nil"/>
          <w:right w:val="nil"/>
          <w:between w:val="nil"/>
        </w:pBdr>
        <w:tabs>
          <w:tab w:val="left" w:pos="142"/>
        </w:tabs>
        <w:spacing w:before="120" w:after="240"/>
        <w:rPr>
          <w:rFonts w:ascii="Arial" w:hAnsi="Arial" w:eastAsia="Arial" w:cs="Arial"/>
          <w:b/>
          <w:smallCaps/>
          <w:color w:val="000000"/>
          <w:sz w:val="24"/>
          <w:szCs w:val="24"/>
        </w:rPr>
      </w:pPr>
      <w:r>
        <w:rPr>
          <w:rFonts w:ascii="Arial" w:hAnsi="Arial" w:eastAsia="Arial" w:cs="Arial"/>
          <w:b/>
          <w:smallCaps/>
          <w:color w:val="000000"/>
          <w:sz w:val="24"/>
          <w:szCs w:val="24"/>
        </w:rPr>
        <w:t>H</w:t>
      </w:r>
      <w:r>
        <w:rPr>
          <w:rFonts w:ascii="Arial Bold" w:hAnsi="Arial Bold" w:eastAsia="Arial Bold" w:cs="Arial Bold"/>
          <w:b/>
          <w:color w:val="000000"/>
          <w:sz w:val="24"/>
          <w:szCs w:val="24"/>
        </w:rPr>
        <w:t>ow e-auctions work</w:t>
      </w:r>
    </w:p>
    <w:p w:rsidR="00620EB6" w:rsidRDefault="00CE28E7" w14:paraId="54B1205D" w14:textId="77777777">
      <w:pPr>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Where indicated in the Order Form, the Buyer shall be entitled to include a reverse auction in the Order Procedure in accordance with the rules laid down by the Buyer and the Regulations.</w:t>
      </w:r>
    </w:p>
    <w:p w:rsidR="00620EB6" w:rsidRDefault="00CE28E7" w14:paraId="2A3385B9" w14:textId="77777777">
      <w:pPr>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bookmarkStart w:name="_heading=h.3dy6vkm" w:colFirst="0" w:colLast="0" w:id="6"/>
      <w:bookmarkEnd w:id="6"/>
      <w:r>
        <w:rPr>
          <w:rFonts w:ascii="Arial" w:hAnsi="Arial" w:eastAsia="Arial" w:cs="Arial"/>
          <w:color w:val="000000"/>
          <w:sz w:val="24"/>
          <w:szCs w:val="24"/>
        </w:rPr>
        <w:t>Where Buyer wishes to undertake an electronic reverse auction, where Suppliers compete in real time by bidding as the auction unfolds (</w:t>
      </w:r>
      <w:r>
        <w:rPr>
          <w:rFonts w:ascii="Arial" w:hAnsi="Arial" w:eastAsia="Arial" w:cs="Arial"/>
          <w:b/>
          <w:color w:val="000000"/>
          <w:sz w:val="24"/>
          <w:szCs w:val="24"/>
        </w:rPr>
        <w:t>"Electronic Reverse Auction"</w:t>
      </w:r>
      <w:r>
        <w:rPr>
          <w:rFonts w:ascii="Arial" w:hAnsi="Arial" w:eastAsia="Arial" w:cs="Arial"/>
          <w:color w:val="000000"/>
          <w:sz w:val="24"/>
          <w:szCs w:val="24"/>
        </w:rPr>
        <w:t>) then before undertaking it, the Buyer will make an initial full evaluation of all tenders received in response to its Statement of Requirements. The Buyer will then invite to the Electronic Reverse Auction only those tenders that are admissible in accordance with the Regulations. The invitation shall be accompanied by the outcome of the full initial evaluation of the relevant tenders.</w:t>
      </w:r>
    </w:p>
    <w:p w:rsidR="00620EB6" w:rsidRDefault="00CE28E7" w14:paraId="159DE04D" w14:textId="77777777">
      <w:pPr>
        <w:keepNext/>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The Buyer will inform the Suppliers of the specification for the Electronic Reverse Auction which shall include:</w:t>
      </w:r>
    </w:p>
    <w:p w:rsidR="00620EB6" w:rsidRDefault="00CE28E7" w14:paraId="64B2B87F"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the information to be provided at auction, which must be expressed in figures or percentages of the specified quantifiable </w:t>
      </w:r>
      <w:proofErr w:type="gramStart"/>
      <w:r>
        <w:rPr>
          <w:rFonts w:ascii="Arial" w:hAnsi="Arial" w:eastAsia="Arial" w:cs="Arial"/>
          <w:color w:val="000000"/>
          <w:sz w:val="24"/>
          <w:szCs w:val="24"/>
        </w:rPr>
        <w:t>features;</w:t>
      </w:r>
      <w:proofErr w:type="gramEnd"/>
    </w:p>
    <w:p w:rsidR="00620EB6" w:rsidRDefault="00CE28E7" w14:paraId="375CC7C3"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the mathematical formula to be used to determine automatic ranking of bids on the basis of new prices and/or new values </w:t>
      </w:r>
      <w:proofErr w:type="gramStart"/>
      <w:r>
        <w:rPr>
          <w:rFonts w:ascii="Arial" w:hAnsi="Arial" w:eastAsia="Arial" w:cs="Arial"/>
          <w:color w:val="000000"/>
          <w:sz w:val="24"/>
          <w:szCs w:val="24"/>
        </w:rPr>
        <w:t>submitted;</w:t>
      </w:r>
      <w:proofErr w:type="gramEnd"/>
      <w:r>
        <w:rPr>
          <w:rFonts w:ascii="Arial" w:hAnsi="Arial" w:eastAsia="Arial" w:cs="Arial"/>
          <w:color w:val="000000"/>
          <w:sz w:val="24"/>
          <w:szCs w:val="24"/>
        </w:rPr>
        <w:t xml:space="preserve">  </w:t>
      </w:r>
    </w:p>
    <w:p w:rsidR="00620EB6" w:rsidRDefault="00CE28E7" w14:paraId="7D6865B1"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any limits on the values which may be </w:t>
      </w:r>
      <w:proofErr w:type="gramStart"/>
      <w:r>
        <w:rPr>
          <w:rFonts w:ascii="Arial" w:hAnsi="Arial" w:eastAsia="Arial" w:cs="Arial"/>
          <w:color w:val="000000"/>
          <w:sz w:val="24"/>
          <w:szCs w:val="24"/>
        </w:rPr>
        <w:t>submitted;</w:t>
      </w:r>
      <w:proofErr w:type="gramEnd"/>
    </w:p>
    <w:p w:rsidR="00620EB6" w:rsidRDefault="00CE28E7" w14:paraId="2912400C"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a description of any information which will be made available to Suppliers in the course of the Electronic Reverse Auction, and when it will be made available to </w:t>
      </w:r>
      <w:proofErr w:type="gramStart"/>
      <w:r>
        <w:rPr>
          <w:rFonts w:ascii="Arial" w:hAnsi="Arial" w:eastAsia="Arial" w:cs="Arial"/>
          <w:color w:val="000000"/>
          <w:sz w:val="24"/>
          <w:szCs w:val="24"/>
        </w:rPr>
        <w:t>them;</w:t>
      </w:r>
      <w:proofErr w:type="gramEnd"/>
    </w:p>
    <w:p w:rsidR="00620EB6" w:rsidRDefault="00CE28E7" w14:paraId="3C2FD2DE"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bookmarkStart w:name="_heading=h.1t3h5sf" w:colFirst="0" w:colLast="0" w:id="7"/>
      <w:bookmarkEnd w:id="7"/>
      <w:r>
        <w:rPr>
          <w:rFonts w:ascii="Arial" w:hAnsi="Arial" w:eastAsia="Arial" w:cs="Arial"/>
          <w:color w:val="000000"/>
          <w:sz w:val="24"/>
          <w:szCs w:val="24"/>
        </w:rPr>
        <w:lastRenderedPageBreak/>
        <w:t xml:space="preserve">the conditions under which Suppliers will be able to bid and, in particular, the minimum differences which will, where appropriate, be required when </w:t>
      </w:r>
      <w:proofErr w:type="gramStart"/>
      <w:r>
        <w:rPr>
          <w:rFonts w:ascii="Arial" w:hAnsi="Arial" w:eastAsia="Arial" w:cs="Arial"/>
          <w:color w:val="000000"/>
          <w:sz w:val="24"/>
          <w:szCs w:val="24"/>
        </w:rPr>
        <w:t>bidding;</w:t>
      </w:r>
      <w:proofErr w:type="gramEnd"/>
    </w:p>
    <w:p w:rsidR="00620EB6" w:rsidRDefault="00CE28E7" w14:paraId="11B96592"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relevant information concerning the electronic equipment used and the arrangements and technical specification for </w:t>
      </w:r>
      <w:proofErr w:type="gramStart"/>
      <w:r>
        <w:rPr>
          <w:rFonts w:ascii="Arial" w:hAnsi="Arial" w:eastAsia="Arial" w:cs="Arial"/>
          <w:color w:val="000000"/>
          <w:sz w:val="24"/>
          <w:szCs w:val="24"/>
        </w:rPr>
        <w:t>connection;</w:t>
      </w:r>
      <w:proofErr w:type="gramEnd"/>
    </w:p>
    <w:p w:rsidR="00620EB6" w:rsidRDefault="00CE28E7" w14:paraId="107A3A21"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subject to Paragraph 3.5, the date and time of the start of the Electronic Reverse Auction; and</w:t>
      </w:r>
    </w:p>
    <w:p w:rsidR="00620EB6" w:rsidRDefault="00CE28E7" w14:paraId="3C14BE48"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details of when and how the Electronic Reverse Auction will close.</w:t>
      </w:r>
    </w:p>
    <w:p w:rsidR="00620EB6" w:rsidRDefault="00CE28E7" w14:paraId="02D4B623" w14:textId="77777777">
      <w:pPr>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bookmarkStart w:name="_heading=h.4d34og8" w:colFirst="0" w:colLast="0" w:id="8"/>
      <w:bookmarkEnd w:id="8"/>
      <w:r>
        <w:rPr>
          <w:rFonts w:ascii="Arial" w:hAnsi="Arial" w:eastAsia="Arial" w:cs="Arial"/>
          <w:color w:val="000000"/>
          <w:sz w:val="24"/>
          <w:szCs w:val="24"/>
        </w:rPr>
        <w:t>The Electronic Reverse Auction may not start sooner than two (2) Working Days after the date on which the specification for the Electronic Reverse Auction has been issued.</w:t>
      </w:r>
    </w:p>
    <w:p w:rsidR="00620EB6" w:rsidRDefault="00CE28E7" w14:paraId="355C185C" w14:textId="77777777">
      <w:pPr>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Throughout each phase of the Electronic Reverse Auction the Buyer will communicate to all Suppliers sufficient information to enable them to ascertain their relative ranking.</w:t>
      </w:r>
    </w:p>
    <w:p w:rsidR="00620EB6" w:rsidRDefault="00CE28E7" w14:paraId="291F4B61" w14:textId="77777777">
      <w:pPr>
        <w:keepNext/>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The Supplier acknowledges and agrees that:</w:t>
      </w:r>
    </w:p>
    <w:p w:rsidR="00620EB6" w:rsidRDefault="00CE28E7" w14:paraId="309B9D6F"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the Buyer and its officers, servants, agents, group companies, assignees and customers (including CCS) do not guarantee that its access to the Electronic Reverse Auction will be uninterrupted or error-</w:t>
      </w:r>
      <w:proofErr w:type="gramStart"/>
      <w:r>
        <w:rPr>
          <w:rFonts w:ascii="Arial" w:hAnsi="Arial" w:eastAsia="Arial" w:cs="Arial"/>
          <w:color w:val="000000"/>
          <w:sz w:val="24"/>
          <w:szCs w:val="24"/>
        </w:rPr>
        <w:t>free;</w:t>
      </w:r>
      <w:proofErr w:type="gramEnd"/>
    </w:p>
    <w:p w:rsidR="00620EB6" w:rsidRDefault="00CE28E7" w14:paraId="5CF372F4"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its access to the Electronic Reverse Auction may occasionally be restricted to allow for repairs or maintenance; and</w:t>
      </w:r>
    </w:p>
    <w:p w:rsidR="00620EB6" w:rsidRDefault="00CE28E7" w14:paraId="028DED5C"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it will comply with all such rules that may be imposed by the Buyer in relation to the operation of the Electronic Reverse Auction.</w:t>
      </w:r>
    </w:p>
    <w:p w:rsidR="00620EB6" w:rsidRDefault="00CE28E7" w14:paraId="19D7996C" w14:textId="77777777">
      <w:pPr>
        <w:keepNext/>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The Buyer will close the Electronic Reverse Auction </w:t>
      </w:r>
      <w:proofErr w:type="gramStart"/>
      <w:r>
        <w:rPr>
          <w:rFonts w:ascii="Arial" w:hAnsi="Arial" w:eastAsia="Arial" w:cs="Arial"/>
          <w:color w:val="000000"/>
          <w:sz w:val="24"/>
          <w:szCs w:val="24"/>
        </w:rPr>
        <w:t>on the basis of</w:t>
      </w:r>
      <w:proofErr w:type="gramEnd"/>
      <w:r>
        <w:rPr>
          <w:rFonts w:ascii="Arial" w:hAnsi="Arial" w:eastAsia="Arial" w:cs="Arial"/>
          <w:color w:val="000000"/>
          <w:sz w:val="24"/>
          <w:szCs w:val="24"/>
        </w:rPr>
        <w:t>:</w:t>
      </w:r>
    </w:p>
    <w:p w:rsidR="00620EB6" w:rsidRDefault="00CE28E7" w14:paraId="7F258426"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a date and time fixed in </w:t>
      </w:r>
      <w:proofErr w:type="gramStart"/>
      <w:r>
        <w:rPr>
          <w:rFonts w:ascii="Arial" w:hAnsi="Arial" w:eastAsia="Arial" w:cs="Arial"/>
          <w:color w:val="000000"/>
          <w:sz w:val="24"/>
          <w:szCs w:val="24"/>
        </w:rPr>
        <w:t>advance;</w:t>
      </w:r>
      <w:proofErr w:type="gramEnd"/>
    </w:p>
    <w:p w:rsidR="00620EB6" w:rsidRDefault="00CE28E7" w14:paraId="5D4B9453"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when no new prices or values meeting the minimum differences required pursuant to Paragraph 3.4.5 have been received within the prescribed elapsed </w:t>
      </w:r>
      <w:proofErr w:type="gramStart"/>
      <w:r>
        <w:rPr>
          <w:rFonts w:ascii="Arial" w:hAnsi="Arial" w:eastAsia="Arial" w:cs="Arial"/>
          <w:color w:val="000000"/>
          <w:sz w:val="24"/>
          <w:szCs w:val="24"/>
        </w:rPr>
        <w:t>time period</w:t>
      </w:r>
      <w:proofErr w:type="gramEnd"/>
      <w:r>
        <w:rPr>
          <w:rFonts w:ascii="Arial" w:hAnsi="Arial" w:eastAsia="Arial" w:cs="Arial"/>
          <w:color w:val="000000"/>
          <w:sz w:val="24"/>
          <w:szCs w:val="24"/>
        </w:rPr>
        <w:t>; or</w:t>
      </w:r>
    </w:p>
    <w:p w:rsidR="00620EB6" w:rsidRDefault="00CE28E7" w14:paraId="37860AFF" w14:textId="77777777">
      <w:pPr>
        <w:widowControl/>
        <w:numPr>
          <w:ilvl w:val="3"/>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when all the phases have been completed.</w:t>
      </w:r>
    </w:p>
    <w:p w:rsidR="00620EB6" w:rsidRDefault="00CE28E7" w14:paraId="2C60A01F" w14:textId="77777777">
      <w:pPr>
        <w:keepNext/>
        <w:widowControl/>
        <w:numPr>
          <w:ilvl w:val="0"/>
          <w:numId w:val="2"/>
        </w:numPr>
        <w:pBdr>
          <w:top w:val="nil"/>
          <w:left w:val="nil"/>
          <w:bottom w:val="nil"/>
          <w:right w:val="nil"/>
          <w:between w:val="nil"/>
        </w:pBdr>
        <w:tabs>
          <w:tab w:val="left" w:pos="142"/>
        </w:tabs>
        <w:spacing w:before="120" w:after="240"/>
        <w:rPr>
          <w:rFonts w:ascii="Arial" w:hAnsi="Arial" w:eastAsia="Arial" w:cs="Arial"/>
          <w:b/>
          <w:smallCaps/>
          <w:color w:val="000000"/>
          <w:sz w:val="24"/>
          <w:szCs w:val="24"/>
        </w:rPr>
      </w:pPr>
      <w:r>
        <w:rPr>
          <w:rFonts w:ascii="Arial Bold" w:hAnsi="Arial Bold" w:eastAsia="Arial Bold" w:cs="Arial Bold"/>
          <w:b/>
          <w:color w:val="000000"/>
          <w:sz w:val="24"/>
          <w:szCs w:val="24"/>
        </w:rPr>
        <w:t>No requirement to award</w:t>
      </w:r>
    </w:p>
    <w:p w:rsidR="00620EB6" w:rsidRDefault="00CE28E7" w14:paraId="11EB83AE" w14:textId="77777777">
      <w:pPr>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Notwithstanding the fact that the Buyer has followed a procedure as set out above in Paragraph 2, the Supplier acknowledges and agrees that the Buyer shall be </w:t>
      </w:r>
      <w:proofErr w:type="gramStart"/>
      <w:r>
        <w:rPr>
          <w:rFonts w:ascii="Arial" w:hAnsi="Arial" w:eastAsia="Arial" w:cs="Arial"/>
          <w:color w:val="000000"/>
          <w:sz w:val="24"/>
          <w:szCs w:val="24"/>
        </w:rPr>
        <w:t>entitled at all times</w:t>
      </w:r>
      <w:proofErr w:type="gramEnd"/>
      <w:r>
        <w:rPr>
          <w:rFonts w:ascii="Arial" w:hAnsi="Arial" w:eastAsia="Arial" w:cs="Arial"/>
          <w:color w:val="000000"/>
          <w:sz w:val="24"/>
          <w:szCs w:val="24"/>
        </w:rPr>
        <w:t xml:space="preserve"> to decline to make an award for its Deliverables and that nothing in this Contract shall oblige the Buyer to award any Order Contract.</w:t>
      </w:r>
    </w:p>
    <w:p w:rsidR="00620EB6" w:rsidRDefault="00CE28E7" w14:paraId="13276974" w14:textId="77777777">
      <w:pPr>
        <w:keepNext/>
        <w:widowControl/>
        <w:numPr>
          <w:ilvl w:val="0"/>
          <w:numId w:val="2"/>
        </w:numPr>
        <w:pBdr>
          <w:top w:val="nil"/>
          <w:left w:val="nil"/>
          <w:bottom w:val="nil"/>
          <w:right w:val="nil"/>
          <w:between w:val="nil"/>
        </w:pBdr>
        <w:tabs>
          <w:tab w:val="left" w:pos="142"/>
        </w:tabs>
        <w:spacing w:before="120" w:after="240"/>
        <w:rPr>
          <w:rFonts w:ascii="Arial Bold" w:hAnsi="Arial Bold" w:eastAsia="Arial Bold" w:cs="Arial Bold"/>
          <w:b/>
          <w:color w:val="000000"/>
          <w:sz w:val="24"/>
          <w:szCs w:val="24"/>
        </w:rPr>
      </w:pPr>
      <w:r>
        <w:rPr>
          <w:rFonts w:ascii="Arial Bold" w:hAnsi="Arial Bold" w:eastAsia="Arial Bold" w:cs="Arial Bold"/>
          <w:b/>
          <w:color w:val="000000"/>
          <w:sz w:val="24"/>
          <w:szCs w:val="24"/>
        </w:rPr>
        <w:lastRenderedPageBreak/>
        <w:t xml:space="preserve">Who is responsible for the </w:t>
      </w:r>
      <w:proofErr w:type="gramStart"/>
      <w:r>
        <w:rPr>
          <w:rFonts w:ascii="Arial Bold" w:hAnsi="Arial Bold" w:eastAsia="Arial Bold" w:cs="Arial Bold"/>
          <w:b/>
          <w:color w:val="000000"/>
          <w:sz w:val="24"/>
          <w:szCs w:val="24"/>
        </w:rPr>
        <w:t>award</w:t>
      </w:r>
      <w:proofErr w:type="gramEnd"/>
    </w:p>
    <w:p w:rsidR="00620EB6" w:rsidRDefault="00CE28E7" w14:paraId="6A05464E" w14:textId="77777777">
      <w:pPr>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The Supplier acknowledges that the Buyer is independently responsible for the conduct of its award of Order Contracts under this Contract and that CCS is not responsible or accountable for and shall have no liability whatsoever, except where it is the Buyer, in relation to:</w:t>
      </w:r>
    </w:p>
    <w:p w:rsidR="00620EB6" w:rsidRDefault="00CE28E7" w14:paraId="6766FCE5" w14:textId="77777777">
      <w:pPr>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the conduct of Buyer in relation to this Contract; or</w:t>
      </w:r>
    </w:p>
    <w:p w:rsidR="00620EB6" w:rsidRDefault="00CE28E7" w14:paraId="7500BFDE" w14:textId="77777777">
      <w:pPr>
        <w:widowControl/>
        <w:numPr>
          <w:ilvl w:val="2"/>
          <w:numId w:val="2"/>
        </w:numPr>
        <w:pBdr>
          <w:top w:val="nil"/>
          <w:left w:val="nil"/>
          <w:bottom w:val="nil"/>
          <w:right w:val="nil"/>
          <w:between w:val="nil"/>
        </w:pBdr>
        <w:tabs>
          <w:tab w:val="left" w:pos="3641"/>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the performance or non-performance of any Order Contracts between the Supplier and Buyer </w:t>
      </w:r>
      <w:proofErr w:type="gramStart"/>
      <w:r>
        <w:rPr>
          <w:rFonts w:ascii="Arial" w:hAnsi="Arial" w:eastAsia="Arial" w:cs="Arial"/>
          <w:color w:val="000000"/>
          <w:sz w:val="24"/>
          <w:szCs w:val="24"/>
        </w:rPr>
        <w:t>entered into</w:t>
      </w:r>
      <w:proofErr w:type="gramEnd"/>
      <w:r>
        <w:rPr>
          <w:rFonts w:ascii="Arial" w:hAnsi="Arial" w:eastAsia="Arial" w:cs="Arial"/>
          <w:color w:val="000000"/>
          <w:sz w:val="24"/>
          <w:szCs w:val="24"/>
        </w:rPr>
        <w:t xml:space="preserve"> pursuant to this Contract.</w:t>
      </w:r>
    </w:p>
    <w:p w:rsidR="00620EB6" w:rsidRDefault="00CE28E7" w14:paraId="38CDB052" w14:textId="77777777">
      <w:pPr>
        <w:keepNext/>
        <w:widowControl/>
        <w:numPr>
          <w:ilvl w:val="0"/>
          <w:numId w:val="2"/>
        </w:numPr>
        <w:pBdr>
          <w:top w:val="nil"/>
          <w:left w:val="nil"/>
          <w:bottom w:val="nil"/>
          <w:right w:val="nil"/>
          <w:between w:val="nil"/>
        </w:pBdr>
        <w:tabs>
          <w:tab w:val="left" w:pos="142"/>
        </w:tabs>
        <w:spacing w:before="120" w:after="240"/>
        <w:rPr>
          <w:rFonts w:ascii="Arial" w:hAnsi="Arial" w:eastAsia="Arial" w:cs="Arial"/>
          <w:b/>
          <w:smallCaps/>
          <w:color w:val="000000"/>
          <w:sz w:val="24"/>
          <w:szCs w:val="24"/>
        </w:rPr>
      </w:pPr>
      <w:r>
        <w:rPr>
          <w:rFonts w:ascii="Arial Bold" w:hAnsi="Arial Bold" w:eastAsia="Arial Bold" w:cs="Arial Bold"/>
          <w:b/>
          <w:color w:val="000000"/>
          <w:sz w:val="24"/>
          <w:szCs w:val="24"/>
        </w:rPr>
        <w:t>Awarding and creating an Order contract</w:t>
      </w:r>
    </w:p>
    <w:p w:rsidR="00620EB6" w:rsidRDefault="00CE28E7" w14:paraId="45F1F941" w14:textId="77777777">
      <w:pPr>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bookmarkStart w:name="_heading=h.2s8eyo1" w:colFirst="0" w:colLast="0" w:id="9"/>
      <w:bookmarkEnd w:id="9"/>
      <w:r>
        <w:rPr>
          <w:rFonts w:ascii="Arial" w:hAnsi="Arial" w:eastAsia="Arial" w:cs="Arial"/>
          <w:color w:val="000000"/>
          <w:sz w:val="24"/>
          <w:szCs w:val="24"/>
        </w:rPr>
        <w:t>Subject to Paragraphs 1 to 5 above, a Buyer may award an Order Contract with the Supplier by sending (including electronically) a signed order form substantially in the form (as may be amended or refined by the Buyer in accordance with Paragraph 2.1.2 above) of the Order Form Template set out in DPS Schedule 6 (Order Form Template and Order Schedules).</w:t>
      </w:r>
    </w:p>
    <w:p w:rsidR="00620EB6" w:rsidRDefault="00CE28E7" w14:paraId="6EF406AE" w14:textId="77777777">
      <w:pPr>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The Parties agree that any document or communication (including any document or communication in the apparent form of an Order Contract) which is not as described in this Paragraph 6 shall not constitute an Order Contract under this Contract.</w:t>
      </w:r>
    </w:p>
    <w:p w:rsidR="00620EB6" w:rsidRDefault="00CE28E7" w14:paraId="22B139C6" w14:textId="77777777">
      <w:pPr>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bookmarkStart w:name="_heading=h.17dp8vu" w:colFirst="0" w:colLast="0" w:id="10"/>
      <w:bookmarkEnd w:id="10"/>
      <w:r>
        <w:rPr>
          <w:rFonts w:ascii="Arial" w:hAnsi="Arial" w:eastAsia="Arial" w:cs="Arial"/>
          <w:color w:val="000000"/>
          <w:sz w:val="24"/>
          <w:szCs w:val="24"/>
        </w:rPr>
        <w:t>On receipt of an order form as described in Paragraph 6.1 from a Buyer the Supplier shall accept the Order Contract by promptly signing and returning (including by electronic means) a copy of the order form to the Buyer concerned.</w:t>
      </w:r>
    </w:p>
    <w:p w:rsidR="00620EB6" w:rsidRDefault="00CE28E7" w14:paraId="04021E73" w14:textId="77777777">
      <w:pPr>
        <w:widowControl/>
        <w:numPr>
          <w:ilvl w:val="1"/>
          <w:numId w:val="2"/>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On receipt of the countersigned Order Form from the Supplier, the Buyer shall send (including by electronic means) a written notice of receipt to the Supplier within two (2) Working Days and the Order Contract shall be formed with effect from the Order Start Date stated in the Order Form.</w:t>
      </w:r>
    </w:p>
    <w:p w:rsidR="00620EB6" w:rsidRDefault="00CE28E7" w14:paraId="6056DA1F" w14:textId="77777777">
      <w:pPr>
        <w:rPr>
          <w:rFonts w:ascii="Arial" w:hAnsi="Arial" w:eastAsia="Arial" w:cs="Arial"/>
          <w:sz w:val="24"/>
          <w:szCs w:val="24"/>
        </w:rPr>
      </w:pPr>
      <w:r>
        <w:br w:type="page"/>
      </w:r>
    </w:p>
    <w:p w:rsidR="00620EB6" w:rsidRDefault="00620EB6" w14:paraId="7EFAC7E0" w14:textId="77777777">
      <w:pPr>
        <w:widowControl/>
        <w:pBdr>
          <w:top w:val="nil"/>
          <w:left w:val="nil"/>
          <w:bottom w:val="nil"/>
          <w:right w:val="nil"/>
          <w:between w:val="nil"/>
        </w:pBdr>
        <w:tabs>
          <w:tab w:val="left" w:pos="3054"/>
        </w:tabs>
        <w:spacing w:before="120" w:after="120"/>
        <w:ind w:left="936" w:hanging="576"/>
        <w:rPr>
          <w:rFonts w:ascii="Arial" w:hAnsi="Arial" w:eastAsia="Arial" w:cs="Arial"/>
          <w:color w:val="000000"/>
          <w:sz w:val="24"/>
          <w:szCs w:val="24"/>
        </w:rPr>
      </w:pPr>
    </w:p>
    <w:p w:rsidR="00620EB6" w:rsidRDefault="00CE28E7" w14:paraId="75D2DCCD" w14:textId="77777777">
      <w:pPr>
        <w:widowControl/>
        <w:pBdr>
          <w:top w:val="nil"/>
          <w:left w:val="nil"/>
          <w:bottom w:val="nil"/>
          <w:right w:val="nil"/>
          <w:between w:val="nil"/>
        </w:pBdr>
        <w:tabs>
          <w:tab w:val="left" w:pos="3054"/>
        </w:tabs>
        <w:spacing w:before="120" w:after="120"/>
        <w:ind w:left="936" w:hanging="576"/>
        <w:rPr>
          <w:rFonts w:ascii="Arial" w:hAnsi="Arial" w:eastAsia="Arial" w:cs="Arial"/>
          <w:color w:val="000000"/>
          <w:sz w:val="36"/>
          <w:szCs w:val="36"/>
        </w:rPr>
      </w:pPr>
      <w:r>
        <w:rPr>
          <w:rFonts w:ascii="Arial" w:hAnsi="Arial" w:eastAsia="Arial" w:cs="Arial"/>
          <w:b/>
          <w:color w:val="000000"/>
          <w:sz w:val="36"/>
          <w:szCs w:val="36"/>
        </w:rPr>
        <w:t>Part 2: Award Criteria</w:t>
      </w:r>
    </w:p>
    <w:p w:rsidR="00620EB6" w:rsidRDefault="00CE28E7" w14:paraId="356D8B33" w14:textId="77777777">
      <w:pPr>
        <w:widowControl/>
        <w:numPr>
          <w:ilvl w:val="0"/>
          <w:numId w:val="4"/>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This Part 2 lays out award criteria for an Order Contract </w:t>
      </w:r>
      <w:proofErr w:type="gramStart"/>
      <w:r>
        <w:rPr>
          <w:rFonts w:ascii="Arial" w:hAnsi="Arial" w:eastAsia="Arial" w:cs="Arial"/>
          <w:color w:val="000000"/>
          <w:sz w:val="24"/>
          <w:szCs w:val="24"/>
        </w:rPr>
        <w:t>on the basis of</w:t>
      </w:r>
      <w:proofErr w:type="gramEnd"/>
      <w:r>
        <w:rPr>
          <w:rFonts w:ascii="Arial" w:hAnsi="Arial" w:eastAsia="Arial" w:cs="Arial"/>
          <w:color w:val="000000"/>
          <w:sz w:val="24"/>
          <w:szCs w:val="24"/>
        </w:rPr>
        <w:t xml:space="preserve"> competition in accordance with the Order Procedure.</w:t>
      </w:r>
    </w:p>
    <w:p w:rsidR="00620EB6" w:rsidRDefault="00CE28E7" w14:paraId="4681FE91" w14:textId="77777777">
      <w:pPr>
        <w:widowControl/>
        <w:numPr>
          <w:ilvl w:val="0"/>
          <w:numId w:val="4"/>
        </w:numPr>
        <w:pBdr>
          <w:top w:val="nil"/>
          <w:left w:val="nil"/>
          <w:bottom w:val="nil"/>
          <w:right w:val="nil"/>
          <w:between w:val="nil"/>
        </w:pBdr>
        <w:tabs>
          <w:tab w:val="left" w:pos="3054"/>
        </w:tabs>
        <w:spacing w:before="120" w:after="120"/>
        <w:rPr>
          <w:rFonts w:ascii="Arial" w:hAnsi="Arial" w:eastAsia="Arial" w:cs="Arial"/>
          <w:color w:val="000000"/>
          <w:sz w:val="24"/>
          <w:szCs w:val="24"/>
        </w:rPr>
      </w:pPr>
      <w:r>
        <w:rPr>
          <w:rFonts w:ascii="Arial" w:hAnsi="Arial" w:eastAsia="Arial" w:cs="Arial"/>
          <w:color w:val="000000"/>
          <w:sz w:val="24"/>
          <w:szCs w:val="24"/>
        </w:rPr>
        <w:t xml:space="preserve">An Order Contract may be awarded </w:t>
      </w:r>
      <w:proofErr w:type="gramStart"/>
      <w:r>
        <w:rPr>
          <w:rFonts w:ascii="Arial" w:hAnsi="Arial" w:eastAsia="Arial" w:cs="Arial"/>
          <w:color w:val="000000"/>
          <w:sz w:val="24"/>
          <w:szCs w:val="24"/>
        </w:rPr>
        <w:t xml:space="preserve">on the basis </w:t>
      </w:r>
      <w:r>
        <w:rPr>
          <w:rFonts w:ascii="Arial" w:hAnsi="Arial" w:eastAsia="Arial" w:cs="Arial"/>
          <w:sz w:val="24"/>
          <w:szCs w:val="24"/>
        </w:rPr>
        <w:t>of</w:t>
      </w:r>
      <w:proofErr w:type="gramEnd"/>
      <w:r>
        <w:rPr>
          <w:rFonts w:ascii="Arial" w:hAnsi="Arial" w:eastAsia="Arial" w:cs="Arial"/>
          <w:sz w:val="24"/>
          <w:szCs w:val="24"/>
        </w:rPr>
        <w:t xml:space="preserve"> the most</w:t>
      </w:r>
      <w:r>
        <w:rPr>
          <w:rFonts w:ascii="Arial" w:hAnsi="Arial" w:eastAsia="Arial" w:cs="Arial"/>
          <w:color w:val="000000"/>
          <w:sz w:val="24"/>
          <w:szCs w:val="24"/>
        </w:rPr>
        <w:t xml:space="preserve"> economically advantageous tender ("MEAT").</w:t>
      </w:r>
    </w:p>
    <w:p w:rsidR="00620EB6" w:rsidRDefault="00CE28E7" w14:paraId="040FCEC1" w14:textId="77777777">
      <w:pPr>
        <w:widowControl/>
        <w:pBdr>
          <w:top w:val="nil"/>
          <w:left w:val="nil"/>
          <w:bottom w:val="nil"/>
          <w:right w:val="nil"/>
          <w:between w:val="nil"/>
        </w:pBdr>
        <w:tabs>
          <w:tab w:val="left" w:pos="3054"/>
        </w:tabs>
        <w:spacing w:before="120" w:after="120"/>
        <w:ind w:left="936" w:hanging="576"/>
        <w:rPr>
          <w:rFonts w:ascii="Arial" w:hAnsi="Arial" w:eastAsia="Arial" w:cs="Arial"/>
          <w:smallCaps/>
          <w:color w:val="000000"/>
          <w:sz w:val="36"/>
          <w:szCs w:val="36"/>
        </w:rPr>
      </w:pPr>
      <w:r>
        <w:br w:type="page"/>
      </w:r>
      <w:r>
        <w:rPr>
          <w:rFonts w:ascii="Arial" w:hAnsi="Arial" w:eastAsia="Arial" w:cs="Arial"/>
          <w:b/>
          <w:color w:val="000000"/>
          <w:sz w:val="36"/>
          <w:szCs w:val="36"/>
        </w:rPr>
        <w:lastRenderedPageBreak/>
        <w:t>Annex: Order Award Criteria</w:t>
      </w:r>
    </w:p>
    <w:p w:rsidR="00CE28E7" w:rsidP="1B8CAE75" w:rsidRDefault="00CE28E7" w14:paraId="54862DFE" w14:textId="2CD10FAC">
      <w:pPr>
        <w:tabs>
          <w:tab w:val="left" w:leader="none" w:pos="851"/>
        </w:tabs>
        <w:spacing w:after="240"/>
        <w:ind w:left="700"/>
        <w:rPr>
          <w:rFonts w:ascii="Arial" w:hAnsi="Arial" w:eastAsia="Arial" w:cs="Arial"/>
          <w:color w:val="000000" w:themeColor="text1" w:themeTint="FF" w:themeShade="FF"/>
          <w:sz w:val="24"/>
          <w:szCs w:val="24"/>
        </w:rPr>
      </w:pPr>
      <w:r w:rsidRPr="1B8CAE75" w:rsidR="00CE28E7">
        <w:rPr>
          <w:rFonts w:ascii="Arial" w:hAnsi="Arial" w:eastAsia="Arial" w:cs="Arial"/>
          <w:color w:val="000000" w:themeColor="text1" w:themeTint="FF" w:themeShade="FF"/>
          <w:sz w:val="24"/>
          <w:szCs w:val="24"/>
        </w:rPr>
        <w:t>The following criteria and weightings shall apply to the evaluation of each Order submitted through the Order Procedure:</w:t>
      </w:r>
    </w:p>
    <w:tbl>
      <w:tblPr>
        <w:tblStyle w:val="TableNormal"/>
        <w:tblW w:w="0" w:type="auto"/>
        <w:tblInd w:w="90" w:type="dxa"/>
        <w:tblLayout w:type="fixed"/>
        <w:tblLook w:val="04A0" w:firstRow="1" w:lastRow="0" w:firstColumn="1" w:lastColumn="0" w:noHBand="0" w:noVBand="1"/>
      </w:tblPr>
      <w:tblGrid>
        <w:gridCol w:w="6025"/>
        <w:gridCol w:w="2990"/>
      </w:tblGrid>
      <w:tr w:rsidR="1B8CAE75" w:rsidTr="1B8CAE75" w14:paraId="138581DC">
        <w:trPr>
          <w:trHeight w:val="1125"/>
        </w:trPr>
        <w:tc>
          <w:tcPr>
            <w:tcW w:w="6025" w:type="dxa"/>
            <w:tcBorders>
              <w:top w:val="single" w:sz="6"/>
              <w:left w:val="single" w:sz="6"/>
              <w:bottom w:val="single" w:sz="6"/>
              <w:right w:val="single" w:sz="6"/>
            </w:tcBorders>
            <w:tcMar/>
            <w:vAlign w:val="center"/>
          </w:tcPr>
          <w:p w:rsidR="1B8CAE75" w:rsidP="1B8CAE75" w:rsidRDefault="1B8CAE75" w14:paraId="4E031E61" w14:textId="01365731">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EVALUATION CRITERIA</w:t>
            </w:r>
          </w:p>
          <w:p w:rsidR="1B8CAE75" w:rsidP="1B8CAE75" w:rsidRDefault="1B8CAE75" w14:paraId="7E92398A" w14:textId="5E37385C">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tc>
        <w:tc>
          <w:tcPr>
            <w:tcW w:w="2990" w:type="dxa"/>
            <w:tcBorders>
              <w:top w:val="single" w:sz="6"/>
              <w:left w:val="single" w:sz="6"/>
              <w:bottom w:val="single" w:sz="6"/>
              <w:right w:val="single" w:sz="6"/>
            </w:tcBorders>
            <w:tcMar/>
            <w:vAlign w:val="top"/>
          </w:tcPr>
          <w:p w:rsidR="1B8CAE75" w:rsidP="1B8CAE75" w:rsidRDefault="1B8CAE75" w14:paraId="30BC9AEE" w14:textId="2528A7D8">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32DC1326" w14:textId="424E7E0C">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OVERALL POINTS AVAILABLE</w:t>
            </w:r>
          </w:p>
          <w:p w:rsidR="1B8CAE75" w:rsidP="1B8CAE75" w:rsidRDefault="1B8CAE75" w14:paraId="280169F5" w14:textId="59A52114">
            <w:pPr>
              <w:spacing w:after="0" w:line="240" w:lineRule="auto"/>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788B9FDF" w14:textId="78787538">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5F000883" w14:textId="2BB20C5A">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tc>
      </w:tr>
      <w:tr w:rsidR="1B8CAE75" w:rsidTr="1B8CAE75" w14:paraId="236B58D4">
        <w:trPr>
          <w:trHeight w:val="825"/>
        </w:trPr>
        <w:tc>
          <w:tcPr>
            <w:tcW w:w="6025" w:type="dxa"/>
            <w:tcBorders>
              <w:top w:val="single" w:sz="6"/>
              <w:left w:val="single" w:sz="6"/>
              <w:bottom w:val="single" w:sz="6"/>
              <w:right w:val="single" w:sz="6"/>
            </w:tcBorders>
            <w:tcMar/>
            <w:vAlign w:val="center"/>
          </w:tcPr>
          <w:p w:rsidR="1B8CAE75" w:rsidP="1B8CAE75" w:rsidRDefault="1B8CAE75" w14:paraId="7CFFC26F" w14:textId="2D29D0FD">
            <w:pPr>
              <w:spacing w:after="0" w:line="240" w:lineRule="auto"/>
              <w:ind w:left="720"/>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Quality Evaluation (60% weighting)</w:t>
            </w:r>
          </w:p>
        </w:tc>
        <w:tc>
          <w:tcPr>
            <w:tcW w:w="2990" w:type="dxa"/>
            <w:tcBorders>
              <w:top w:val="single" w:sz="6"/>
              <w:left w:val="single" w:sz="6"/>
              <w:bottom w:val="single" w:sz="6"/>
              <w:right w:val="single" w:sz="6"/>
            </w:tcBorders>
            <w:tcMar/>
            <w:vAlign w:val="top"/>
          </w:tcPr>
          <w:p w:rsidR="1B8CAE75" w:rsidP="1B8CAE75" w:rsidRDefault="1B8CAE75" w14:paraId="14FF7363" w14:textId="349D0834">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487C9013" w14:textId="3ABCC78A">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tc>
      </w:tr>
      <w:tr w:rsidR="1B8CAE75" w:rsidTr="1B8CAE75" w14:paraId="3FCC391E">
        <w:trPr>
          <w:trHeight w:val="825"/>
        </w:trPr>
        <w:tc>
          <w:tcPr>
            <w:tcW w:w="6025" w:type="dxa"/>
            <w:tcBorders>
              <w:top w:val="single" w:sz="6"/>
              <w:left w:val="single" w:sz="6"/>
              <w:bottom w:val="single" w:sz="6"/>
              <w:right w:val="single" w:sz="6"/>
            </w:tcBorders>
            <w:tcMar/>
            <w:vAlign w:val="center"/>
          </w:tcPr>
          <w:p w:rsidR="1B8CAE75" w:rsidP="1B8CAE75" w:rsidRDefault="1B8CAE75" w14:paraId="4D946AAA" w14:textId="32237B18">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 xml:space="preserve">Blue Prism skills </w:t>
            </w:r>
          </w:p>
        </w:tc>
        <w:tc>
          <w:tcPr>
            <w:tcW w:w="2990" w:type="dxa"/>
            <w:tcBorders>
              <w:top w:val="single" w:sz="6"/>
              <w:left w:val="single" w:sz="6"/>
              <w:bottom w:val="single" w:sz="6"/>
              <w:right w:val="single" w:sz="6"/>
            </w:tcBorders>
            <w:tcMar/>
            <w:vAlign w:val="top"/>
          </w:tcPr>
          <w:p w:rsidR="1B8CAE75" w:rsidP="1B8CAE75" w:rsidRDefault="1B8CAE75" w14:paraId="5E13515D" w14:textId="7EE46325">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12387A4C" w14:textId="313FDECA">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8/100</w:t>
            </w:r>
          </w:p>
        </w:tc>
      </w:tr>
      <w:tr w:rsidR="1B8CAE75" w:rsidTr="1B8CAE75" w14:paraId="299AF66B">
        <w:trPr>
          <w:trHeight w:val="825"/>
        </w:trPr>
        <w:tc>
          <w:tcPr>
            <w:tcW w:w="6025" w:type="dxa"/>
            <w:tcBorders>
              <w:top w:val="single" w:sz="6"/>
              <w:left w:val="single" w:sz="6"/>
              <w:bottom w:val="single" w:sz="6"/>
              <w:right w:val="single" w:sz="6"/>
            </w:tcBorders>
            <w:tcMar/>
            <w:vAlign w:val="center"/>
          </w:tcPr>
          <w:p w:rsidR="1B8CAE75" w:rsidP="1B8CAE75" w:rsidRDefault="1B8CAE75" w14:paraId="0D38CBFA" w14:textId="1A499A7A">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Other RPA Tool skills</w:t>
            </w:r>
          </w:p>
        </w:tc>
        <w:tc>
          <w:tcPr>
            <w:tcW w:w="2990" w:type="dxa"/>
            <w:tcBorders>
              <w:top w:val="single" w:sz="6"/>
              <w:left w:val="single" w:sz="6"/>
              <w:bottom w:val="single" w:sz="6"/>
              <w:right w:val="single" w:sz="6"/>
            </w:tcBorders>
            <w:tcMar/>
            <w:vAlign w:val="top"/>
          </w:tcPr>
          <w:p w:rsidR="1B8CAE75" w:rsidP="1B8CAE75" w:rsidRDefault="1B8CAE75" w14:paraId="7F536ACD" w14:textId="1F210FFB">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5CC75F38" w14:textId="45D94355">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6/100</w:t>
            </w:r>
          </w:p>
        </w:tc>
      </w:tr>
      <w:tr w:rsidR="1B8CAE75" w:rsidTr="1B8CAE75" w14:paraId="34256E45">
        <w:trPr>
          <w:trHeight w:val="825"/>
        </w:trPr>
        <w:tc>
          <w:tcPr>
            <w:tcW w:w="6025" w:type="dxa"/>
            <w:tcBorders>
              <w:top w:val="single" w:sz="6"/>
              <w:left w:val="single" w:sz="6"/>
              <w:bottom w:val="single" w:sz="6"/>
              <w:right w:val="single" w:sz="6"/>
            </w:tcBorders>
            <w:tcMar/>
            <w:vAlign w:val="center"/>
          </w:tcPr>
          <w:p w:rsidR="1B8CAE75" w:rsidP="1B8CAE75" w:rsidRDefault="1B8CAE75" w14:paraId="1FEEC3DE" w14:textId="6B75E4E7">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 xml:space="preserve">RPA roadmaps </w:t>
            </w:r>
          </w:p>
        </w:tc>
        <w:tc>
          <w:tcPr>
            <w:tcW w:w="2990" w:type="dxa"/>
            <w:tcBorders>
              <w:top w:val="single" w:sz="6"/>
              <w:left w:val="single" w:sz="6"/>
              <w:bottom w:val="single" w:sz="6"/>
              <w:right w:val="single" w:sz="6"/>
            </w:tcBorders>
            <w:tcMar/>
            <w:vAlign w:val="top"/>
          </w:tcPr>
          <w:p w:rsidR="1B8CAE75" w:rsidP="1B8CAE75" w:rsidRDefault="1B8CAE75" w14:paraId="35D68D5D" w14:textId="5E839AB1">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54894ECA" w14:textId="56C7A9AA">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2/100</w:t>
            </w:r>
          </w:p>
        </w:tc>
      </w:tr>
      <w:tr w:rsidR="1B8CAE75" w:rsidTr="1B8CAE75" w14:paraId="797E97C9">
        <w:trPr>
          <w:trHeight w:val="825"/>
        </w:trPr>
        <w:tc>
          <w:tcPr>
            <w:tcW w:w="6025" w:type="dxa"/>
            <w:tcBorders>
              <w:top w:val="single" w:sz="6"/>
              <w:left w:val="single" w:sz="6"/>
              <w:bottom w:val="single" w:sz="6"/>
              <w:right w:val="single" w:sz="6"/>
            </w:tcBorders>
            <w:tcMar/>
            <w:vAlign w:val="center"/>
          </w:tcPr>
          <w:p w:rsidR="1B8CAE75" w:rsidP="1B8CAE75" w:rsidRDefault="1B8CAE75" w14:paraId="4CA66D40" w14:textId="769FDC0B">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Training and mentoring/ Handover to CoE</w:t>
            </w:r>
          </w:p>
        </w:tc>
        <w:tc>
          <w:tcPr>
            <w:tcW w:w="2990" w:type="dxa"/>
            <w:tcBorders>
              <w:top w:val="single" w:sz="6"/>
              <w:left w:val="single" w:sz="6"/>
              <w:bottom w:val="single" w:sz="6"/>
              <w:right w:val="single" w:sz="6"/>
            </w:tcBorders>
            <w:tcMar/>
            <w:vAlign w:val="top"/>
          </w:tcPr>
          <w:p w:rsidR="1B8CAE75" w:rsidP="1B8CAE75" w:rsidRDefault="1B8CAE75" w14:paraId="28D856DA" w14:textId="66C39B58">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300868F0" w14:textId="01F120DB">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6/100</w:t>
            </w:r>
          </w:p>
        </w:tc>
      </w:tr>
      <w:tr w:rsidR="1B8CAE75" w:rsidTr="1B8CAE75" w14:paraId="66046956">
        <w:trPr>
          <w:trHeight w:val="825"/>
        </w:trPr>
        <w:tc>
          <w:tcPr>
            <w:tcW w:w="6025" w:type="dxa"/>
            <w:tcBorders>
              <w:top w:val="single" w:sz="6"/>
              <w:left w:val="single" w:sz="6"/>
              <w:bottom w:val="single" w:sz="6"/>
              <w:right w:val="single" w:sz="6"/>
            </w:tcBorders>
            <w:tcMar/>
            <w:vAlign w:val="center"/>
          </w:tcPr>
          <w:p w:rsidR="1B8CAE75" w:rsidP="1B8CAE75" w:rsidRDefault="1B8CAE75" w14:paraId="6D90C9B2" w14:textId="5EA3111B">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 xml:space="preserve">Delivery methodology </w:t>
            </w:r>
          </w:p>
        </w:tc>
        <w:tc>
          <w:tcPr>
            <w:tcW w:w="2990" w:type="dxa"/>
            <w:tcBorders>
              <w:top w:val="single" w:sz="6"/>
              <w:left w:val="single" w:sz="6"/>
              <w:bottom w:val="single" w:sz="6"/>
              <w:right w:val="single" w:sz="6"/>
            </w:tcBorders>
            <w:tcMar/>
            <w:vAlign w:val="top"/>
          </w:tcPr>
          <w:p w:rsidR="1B8CAE75" w:rsidP="1B8CAE75" w:rsidRDefault="1B8CAE75" w14:paraId="292522BC" w14:textId="2BC88568">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43C5D2A7" w14:textId="454EED51">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6/100</w:t>
            </w:r>
          </w:p>
        </w:tc>
      </w:tr>
      <w:tr w:rsidR="1B8CAE75" w:rsidTr="1B8CAE75" w14:paraId="41B565BE">
        <w:trPr>
          <w:trHeight w:val="825"/>
        </w:trPr>
        <w:tc>
          <w:tcPr>
            <w:tcW w:w="6025" w:type="dxa"/>
            <w:tcBorders>
              <w:top w:val="single" w:sz="6"/>
              <w:left w:val="single" w:sz="6"/>
              <w:bottom w:val="single" w:sz="6"/>
              <w:right w:val="single" w:sz="6"/>
            </w:tcBorders>
            <w:tcMar/>
            <w:vAlign w:val="center"/>
          </w:tcPr>
          <w:p w:rsidR="1B8CAE75" w:rsidP="1B8CAE75" w:rsidRDefault="1B8CAE75" w14:paraId="4C215579" w14:textId="3D11824D">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 xml:space="preserve">Measuring and reporting benefits </w:t>
            </w:r>
          </w:p>
        </w:tc>
        <w:tc>
          <w:tcPr>
            <w:tcW w:w="2990" w:type="dxa"/>
            <w:tcBorders>
              <w:top w:val="single" w:sz="6"/>
              <w:left w:val="single" w:sz="6"/>
              <w:bottom w:val="single" w:sz="6"/>
              <w:right w:val="single" w:sz="6"/>
            </w:tcBorders>
            <w:tcMar/>
            <w:vAlign w:val="top"/>
          </w:tcPr>
          <w:p w:rsidR="1B8CAE75" w:rsidP="1B8CAE75" w:rsidRDefault="1B8CAE75" w14:paraId="4C60DB50" w14:textId="3A71D003">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0E04D99F" w14:textId="5C39E256">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6/100</w:t>
            </w:r>
          </w:p>
        </w:tc>
      </w:tr>
      <w:tr w:rsidR="1B8CAE75" w:rsidTr="1B8CAE75" w14:paraId="62C0F98B">
        <w:trPr>
          <w:trHeight w:val="825"/>
        </w:trPr>
        <w:tc>
          <w:tcPr>
            <w:tcW w:w="6025" w:type="dxa"/>
            <w:tcBorders>
              <w:top w:val="single" w:sz="6"/>
              <w:left w:val="single" w:sz="6"/>
              <w:bottom w:val="single" w:sz="6"/>
              <w:right w:val="single" w:sz="6"/>
            </w:tcBorders>
            <w:tcMar/>
            <w:vAlign w:val="center"/>
          </w:tcPr>
          <w:p w:rsidR="1B8CAE75" w:rsidP="1B8CAE75" w:rsidRDefault="1B8CAE75" w14:paraId="757B0AD5" w14:textId="36E450DC">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 xml:space="preserve">SOW1 - Discovery </w:t>
            </w:r>
          </w:p>
        </w:tc>
        <w:tc>
          <w:tcPr>
            <w:tcW w:w="2990" w:type="dxa"/>
            <w:tcBorders>
              <w:top w:val="single" w:sz="6"/>
              <w:left w:val="single" w:sz="6"/>
              <w:bottom w:val="single" w:sz="6"/>
              <w:right w:val="single" w:sz="6"/>
            </w:tcBorders>
            <w:tcMar/>
            <w:vAlign w:val="top"/>
          </w:tcPr>
          <w:p w:rsidR="1B8CAE75" w:rsidP="1B8CAE75" w:rsidRDefault="1B8CAE75" w14:paraId="5C6953A5" w14:textId="2C6C89CD">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65F0C12B" w14:textId="2FDC6681">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4/100</w:t>
            </w:r>
          </w:p>
        </w:tc>
      </w:tr>
      <w:tr w:rsidR="1B8CAE75" w:rsidTr="1B8CAE75" w14:paraId="47A1E5CA">
        <w:trPr>
          <w:trHeight w:val="825"/>
        </w:trPr>
        <w:tc>
          <w:tcPr>
            <w:tcW w:w="6025" w:type="dxa"/>
            <w:tcBorders>
              <w:top w:val="single" w:sz="6"/>
              <w:left w:val="single" w:sz="6"/>
              <w:bottom w:val="single" w:sz="6"/>
              <w:right w:val="single" w:sz="6"/>
            </w:tcBorders>
            <w:tcMar/>
            <w:vAlign w:val="center"/>
          </w:tcPr>
          <w:p w:rsidR="1B8CAE75" w:rsidP="1B8CAE75" w:rsidRDefault="1B8CAE75" w14:paraId="057F38F4" w14:textId="650BB6F5">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 xml:space="preserve">Stakeholder management </w:t>
            </w:r>
          </w:p>
        </w:tc>
        <w:tc>
          <w:tcPr>
            <w:tcW w:w="2990" w:type="dxa"/>
            <w:tcBorders>
              <w:top w:val="single" w:sz="6"/>
              <w:left w:val="single" w:sz="6"/>
              <w:bottom w:val="single" w:sz="6"/>
              <w:right w:val="single" w:sz="6"/>
            </w:tcBorders>
            <w:tcMar/>
            <w:vAlign w:val="top"/>
          </w:tcPr>
          <w:p w:rsidR="1B8CAE75" w:rsidP="1B8CAE75" w:rsidRDefault="1B8CAE75" w14:paraId="75AD34ED" w14:textId="76D96171">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27D763CA" w14:textId="65DA6E7B">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6/100</w:t>
            </w:r>
          </w:p>
        </w:tc>
      </w:tr>
      <w:tr w:rsidR="1B8CAE75" w:rsidTr="1B8CAE75" w14:paraId="36AAE428">
        <w:trPr>
          <w:trHeight w:val="825"/>
        </w:trPr>
        <w:tc>
          <w:tcPr>
            <w:tcW w:w="6025" w:type="dxa"/>
            <w:tcBorders>
              <w:top w:val="single" w:sz="6"/>
              <w:left w:val="single" w:sz="6"/>
              <w:bottom w:val="single" w:sz="6"/>
              <w:right w:val="single" w:sz="6"/>
            </w:tcBorders>
            <w:tcMar/>
            <w:vAlign w:val="center"/>
          </w:tcPr>
          <w:p w:rsidR="1B8CAE75" w:rsidP="1B8CAE75" w:rsidRDefault="1B8CAE75" w14:paraId="2264F5DE" w14:textId="0A571C12">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Technical Engagement</w:t>
            </w:r>
          </w:p>
        </w:tc>
        <w:tc>
          <w:tcPr>
            <w:tcW w:w="2990" w:type="dxa"/>
            <w:tcBorders>
              <w:top w:val="single" w:sz="6"/>
              <w:left w:val="single" w:sz="6"/>
              <w:bottom w:val="single" w:sz="6"/>
              <w:right w:val="single" w:sz="6"/>
            </w:tcBorders>
            <w:tcMar/>
            <w:vAlign w:val="top"/>
          </w:tcPr>
          <w:p w:rsidR="1B8CAE75" w:rsidP="1B8CAE75" w:rsidRDefault="1B8CAE75" w14:paraId="1EF976B0" w14:textId="65212E5C">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52DA4B53" w14:textId="64EB461B">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4/100</w:t>
            </w:r>
          </w:p>
        </w:tc>
      </w:tr>
      <w:tr w:rsidR="1B8CAE75" w:rsidTr="1B8CAE75" w14:paraId="0DDFBEFA">
        <w:trPr>
          <w:trHeight w:val="825"/>
        </w:trPr>
        <w:tc>
          <w:tcPr>
            <w:tcW w:w="6025" w:type="dxa"/>
            <w:tcBorders>
              <w:top w:val="single" w:sz="6"/>
              <w:left w:val="single" w:sz="6"/>
              <w:bottom w:val="single" w:sz="6"/>
              <w:right w:val="single" w:sz="6"/>
            </w:tcBorders>
            <w:tcMar/>
            <w:vAlign w:val="center"/>
          </w:tcPr>
          <w:p w:rsidR="1B8CAE75" w:rsidP="1B8CAE75" w:rsidRDefault="1B8CAE75" w14:paraId="478C4892" w14:textId="6C7696E8">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 xml:space="preserve">Capacity responsiveness </w:t>
            </w:r>
          </w:p>
        </w:tc>
        <w:tc>
          <w:tcPr>
            <w:tcW w:w="2990" w:type="dxa"/>
            <w:tcBorders>
              <w:top w:val="single" w:sz="6"/>
              <w:left w:val="single" w:sz="6"/>
              <w:bottom w:val="single" w:sz="6"/>
              <w:right w:val="single" w:sz="6"/>
            </w:tcBorders>
            <w:tcMar/>
            <w:vAlign w:val="top"/>
          </w:tcPr>
          <w:p w:rsidR="1B8CAE75" w:rsidP="1B8CAE75" w:rsidRDefault="1B8CAE75" w14:paraId="197B6F1C" w14:textId="1321464A">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2602E6C0" w14:textId="6165D00E">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6/100</w:t>
            </w:r>
          </w:p>
        </w:tc>
      </w:tr>
      <w:tr w:rsidR="1B8CAE75" w:rsidTr="1B8CAE75" w14:paraId="3743A418">
        <w:trPr>
          <w:trHeight w:val="825"/>
        </w:trPr>
        <w:tc>
          <w:tcPr>
            <w:tcW w:w="6025" w:type="dxa"/>
            <w:tcBorders>
              <w:top w:val="single" w:sz="6"/>
              <w:left w:val="single" w:sz="6"/>
              <w:bottom w:val="single" w:sz="6"/>
              <w:right w:val="single" w:sz="6"/>
            </w:tcBorders>
            <w:tcMar/>
            <w:vAlign w:val="center"/>
          </w:tcPr>
          <w:p w:rsidR="1B8CAE75" w:rsidP="1B8CAE75" w:rsidRDefault="1B8CAE75" w14:paraId="352377C7" w14:textId="4FDC87E3">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Clinical risk management standards</w:t>
            </w:r>
          </w:p>
        </w:tc>
        <w:tc>
          <w:tcPr>
            <w:tcW w:w="2990" w:type="dxa"/>
            <w:tcBorders>
              <w:top w:val="single" w:sz="6"/>
              <w:left w:val="single" w:sz="6"/>
              <w:bottom w:val="single" w:sz="6"/>
              <w:right w:val="single" w:sz="6"/>
            </w:tcBorders>
            <w:tcMar/>
            <w:vAlign w:val="top"/>
          </w:tcPr>
          <w:p w:rsidR="1B8CAE75" w:rsidP="1B8CAE75" w:rsidRDefault="1B8CAE75" w14:paraId="6C230245" w14:textId="75C8D6AD">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4F6B5B98" w14:textId="196D7D6F">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6/100</w:t>
            </w:r>
          </w:p>
        </w:tc>
      </w:tr>
      <w:tr w:rsidR="1B8CAE75" w:rsidTr="1B8CAE75" w14:paraId="18FCBF45">
        <w:trPr>
          <w:trHeight w:val="825"/>
        </w:trPr>
        <w:tc>
          <w:tcPr>
            <w:tcW w:w="6025" w:type="dxa"/>
            <w:tcBorders>
              <w:top w:val="single" w:sz="6"/>
              <w:left w:val="single" w:sz="6"/>
              <w:bottom w:val="single" w:sz="6"/>
              <w:right w:val="single" w:sz="6"/>
            </w:tcBorders>
            <w:tcMar/>
            <w:vAlign w:val="center"/>
          </w:tcPr>
          <w:p w:rsidR="1B8CAE75" w:rsidP="1B8CAE75" w:rsidRDefault="1B8CAE75" w14:paraId="349E6E29" w14:textId="2DC5ED1A">
            <w:pPr>
              <w:spacing w:after="0" w:line="240" w:lineRule="auto"/>
              <w:ind w:left="720"/>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Social Value Evaluation (10% weighting)</w:t>
            </w:r>
          </w:p>
        </w:tc>
        <w:tc>
          <w:tcPr>
            <w:tcW w:w="2990" w:type="dxa"/>
            <w:tcBorders>
              <w:top w:val="single" w:sz="6"/>
              <w:left w:val="single" w:sz="6"/>
              <w:bottom w:val="single" w:sz="6"/>
              <w:right w:val="single" w:sz="6"/>
            </w:tcBorders>
            <w:tcMar/>
            <w:vAlign w:val="top"/>
          </w:tcPr>
          <w:p w:rsidR="1B8CAE75" w:rsidP="1B8CAE75" w:rsidRDefault="1B8CAE75" w14:paraId="786CD8A2" w14:textId="2597872E">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tc>
      </w:tr>
      <w:tr w:rsidR="1B8CAE75" w:rsidTr="1B8CAE75" w14:paraId="776A41B1">
        <w:trPr>
          <w:trHeight w:val="825"/>
        </w:trPr>
        <w:tc>
          <w:tcPr>
            <w:tcW w:w="6025" w:type="dxa"/>
            <w:tcBorders>
              <w:top w:val="single" w:sz="6"/>
              <w:left w:val="single" w:sz="6"/>
              <w:bottom w:val="single" w:sz="6"/>
              <w:right w:val="single" w:sz="6"/>
            </w:tcBorders>
            <w:tcMar/>
            <w:vAlign w:val="center"/>
          </w:tcPr>
          <w:p w:rsidR="1B8CAE75" w:rsidP="1B8CAE75" w:rsidRDefault="1B8CAE75" w14:paraId="0D6E4F53" w14:textId="18841290">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Social Value</w:t>
            </w:r>
          </w:p>
        </w:tc>
        <w:tc>
          <w:tcPr>
            <w:tcW w:w="2990" w:type="dxa"/>
            <w:tcBorders>
              <w:top w:val="single" w:sz="6"/>
              <w:left w:val="single" w:sz="6"/>
              <w:bottom w:val="single" w:sz="6"/>
              <w:right w:val="single" w:sz="6"/>
            </w:tcBorders>
            <w:tcMar/>
            <w:vAlign w:val="top"/>
          </w:tcPr>
          <w:p w:rsidR="1B8CAE75" w:rsidP="1B8CAE75" w:rsidRDefault="1B8CAE75" w14:paraId="3E184F1C" w14:textId="2F214AC9">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41ED42E7" w14:textId="4E79BEDC">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10/100</w:t>
            </w:r>
          </w:p>
        </w:tc>
      </w:tr>
      <w:tr w:rsidR="1B8CAE75" w:rsidTr="1B8CAE75" w14:paraId="76EF3C33">
        <w:trPr>
          <w:trHeight w:val="1275"/>
        </w:trPr>
        <w:tc>
          <w:tcPr>
            <w:tcW w:w="6025" w:type="dxa"/>
            <w:tcBorders>
              <w:top w:val="single" w:sz="6"/>
              <w:left w:val="single" w:sz="6"/>
              <w:bottom w:val="single" w:sz="6"/>
              <w:right w:val="single" w:sz="6"/>
            </w:tcBorders>
            <w:tcMar/>
            <w:vAlign w:val="center"/>
          </w:tcPr>
          <w:p w:rsidR="1B8CAE75" w:rsidP="1B8CAE75" w:rsidRDefault="1B8CAE75" w14:paraId="11F09BDE" w14:textId="584C1479">
            <w:pPr>
              <w:spacing w:after="0" w:line="240" w:lineRule="auto"/>
              <w:ind w:left="720"/>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Price Evaluation (30% weighting)</w:t>
            </w:r>
          </w:p>
        </w:tc>
        <w:tc>
          <w:tcPr>
            <w:tcW w:w="2990" w:type="dxa"/>
            <w:tcBorders>
              <w:top w:val="single" w:sz="6"/>
              <w:left w:val="single" w:sz="6"/>
              <w:bottom w:val="single" w:sz="6"/>
              <w:right w:val="single" w:sz="6"/>
            </w:tcBorders>
            <w:tcMar/>
            <w:vAlign w:val="top"/>
          </w:tcPr>
          <w:p w:rsidR="1B8CAE75" w:rsidP="1B8CAE75" w:rsidRDefault="1B8CAE75" w14:paraId="1025E713" w14:textId="5CC48306">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tc>
      </w:tr>
      <w:tr w:rsidR="1B8CAE75" w:rsidTr="1B8CAE75" w14:paraId="75CAD5E8">
        <w:trPr>
          <w:trHeight w:val="1965"/>
        </w:trPr>
        <w:tc>
          <w:tcPr>
            <w:tcW w:w="6025" w:type="dxa"/>
            <w:tcBorders>
              <w:top w:val="single" w:sz="6"/>
              <w:left w:val="single" w:sz="6"/>
              <w:bottom w:val="single" w:sz="6"/>
              <w:right w:val="single" w:sz="6"/>
            </w:tcBorders>
            <w:tcMar/>
            <w:vAlign w:val="center"/>
          </w:tcPr>
          <w:p w:rsidR="1B8CAE75" w:rsidP="1B8CAE75" w:rsidRDefault="1B8CAE75" w14:paraId="10134CC4" w14:textId="66F59D2A">
            <w:pPr>
              <w:pStyle w:val="ListParagraph"/>
              <w:numPr>
                <w:ilvl w:val="0"/>
                <w:numId w:val="15"/>
              </w:num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Pricing (clarifying question 13 and Appendix 3)</w:t>
            </w:r>
          </w:p>
          <w:p w:rsidR="1B8CAE75" w:rsidP="1B8CAE75" w:rsidRDefault="1B8CAE75" w14:paraId="2697CB6B" w14:textId="29356CE9">
            <w:pPr>
              <w:spacing w:after="0" w:line="240" w:lineRule="auto"/>
              <w:ind w:left="720"/>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433DFE5B" w14:textId="6C2FAC1A">
            <w:pPr>
              <w:spacing w:after="0" w:line="240" w:lineRule="auto"/>
              <w:ind w:left="720"/>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Sub-weightings of 80% for onshore rate card and 20% for offshore rate card.</w:t>
            </w:r>
          </w:p>
        </w:tc>
        <w:tc>
          <w:tcPr>
            <w:tcW w:w="2990" w:type="dxa"/>
            <w:tcBorders>
              <w:top w:val="single" w:sz="6"/>
              <w:left w:val="single" w:sz="6"/>
              <w:bottom w:val="single" w:sz="6"/>
              <w:right w:val="single" w:sz="6"/>
            </w:tcBorders>
            <w:tcMar/>
            <w:vAlign w:val="top"/>
          </w:tcPr>
          <w:p w:rsidR="1B8CAE75" w:rsidP="1B8CAE75" w:rsidRDefault="1B8CAE75" w14:paraId="3F750252" w14:textId="1AC8B8EF">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583B8EFE" w14:textId="356DFB69">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30 / 100</w:t>
            </w:r>
          </w:p>
          <w:p w:rsidR="1B8CAE75" w:rsidP="1B8CAE75" w:rsidRDefault="1B8CAE75" w14:paraId="5B631AB2" w14:textId="58A7BE39">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00C45557" w14:textId="4B840B85">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24 points for a ‘mean average’ onshore Rate Card; and</w:t>
            </w:r>
          </w:p>
          <w:p w:rsidR="1B8CAE75" w:rsidP="1B8CAE75" w:rsidRDefault="1B8CAE75" w14:paraId="0152C5B2" w14:textId="229BCB6A">
            <w:pPr>
              <w:spacing w:after="0" w:line="240" w:lineRule="auto"/>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538E71C1" w14:textId="59235F13">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6 points for a ‘mean average’ offshore Rate Card.</w:t>
            </w:r>
          </w:p>
          <w:p w:rsidR="1B8CAE75" w:rsidP="1B8CAE75" w:rsidRDefault="1B8CAE75" w14:paraId="68D4F388" w14:textId="7A5F9DB5">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1B8CAE75" w:rsidR="1B8CAE75">
              <w:rPr>
                <w:rFonts w:ascii="Arial" w:hAnsi="Arial" w:eastAsia="Arial" w:cs="Arial"/>
                <w:b w:val="0"/>
                <w:bCs w:val="0"/>
                <w:i w:val="0"/>
                <w:iCs w:val="0"/>
                <w:caps w:val="0"/>
                <w:smallCaps w:val="0"/>
                <w:color w:val="000000" w:themeColor="text1" w:themeTint="FF" w:themeShade="FF"/>
                <w:sz w:val="22"/>
                <w:szCs w:val="22"/>
                <w:lang w:val="en-GB"/>
              </w:rPr>
              <w:t xml:space="preserve"> </w:t>
            </w:r>
          </w:p>
          <w:p w:rsidR="1B8CAE75" w:rsidP="1B8CAE75" w:rsidRDefault="1B8CAE75" w14:paraId="7621304E" w14:textId="0B87AFA8">
            <w:pPr>
              <w:spacing w:after="0" w:line="240" w:lineRule="auto"/>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74D9DCD9" w14:textId="2A4D4DA1">
            <w:pPr>
              <w:spacing w:after="0" w:line="240" w:lineRule="auto"/>
              <w:rPr>
                <w:rFonts w:ascii="Arial" w:hAnsi="Arial" w:eastAsia="Arial" w:cs="Arial"/>
                <w:b w:val="0"/>
                <w:bCs w:val="0"/>
                <w:i w:val="0"/>
                <w:iCs w:val="0"/>
                <w:caps w:val="0"/>
                <w:smallCaps w:val="0"/>
                <w:color w:val="000000" w:themeColor="text1" w:themeTint="FF" w:themeShade="FF"/>
                <w:sz w:val="22"/>
                <w:szCs w:val="22"/>
              </w:rPr>
            </w:pPr>
          </w:p>
          <w:p w:rsidR="1B8CAE75" w:rsidP="1B8CAE75" w:rsidRDefault="1B8CAE75" w14:paraId="5ADC32C7" w14:textId="74222EA2">
            <w:pPr>
              <w:spacing w:after="0" w:line="240" w:lineRule="auto"/>
              <w:rPr>
                <w:rFonts w:ascii="Arial" w:hAnsi="Arial" w:eastAsia="Arial" w:cs="Arial"/>
                <w:b w:val="0"/>
                <w:bCs w:val="0"/>
                <w:i w:val="0"/>
                <w:iCs w:val="0"/>
                <w:caps w:val="0"/>
                <w:smallCaps w:val="0"/>
                <w:color w:val="000000" w:themeColor="text1" w:themeTint="FF" w:themeShade="FF"/>
                <w:sz w:val="22"/>
                <w:szCs w:val="22"/>
              </w:rPr>
            </w:pPr>
          </w:p>
        </w:tc>
      </w:tr>
    </w:tbl>
    <w:p w:rsidR="1B8CAE75" w:rsidP="1B8CAE75" w:rsidRDefault="1B8CAE75" w14:paraId="7B4FD943" w14:textId="3A598D58">
      <w:pPr>
        <w:pStyle w:val="Normal"/>
        <w:tabs>
          <w:tab w:val="left" w:leader="none" w:pos="851"/>
        </w:tabs>
        <w:spacing w:after="240"/>
        <w:ind w:left="0"/>
        <w:rPr>
          <w:rFonts w:ascii="Arial" w:hAnsi="Arial" w:eastAsia="Arial" w:cs="Arial"/>
          <w:color w:val="000000" w:themeColor="text1" w:themeTint="FF" w:themeShade="FF"/>
          <w:sz w:val="24"/>
          <w:szCs w:val="24"/>
        </w:rPr>
      </w:pPr>
    </w:p>
    <w:sectPr w:rsidR="00620EB6">
      <w:headerReference w:type="default" r:id="rId8"/>
      <w:footerReference w:type="default" r:id="rId9"/>
      <w:headerReference w:type="first" r:id="rId10"/>
      <w:footerReference w:type="first" r:id="rId11"/>
      <w:pgSz w:w="11906" w:h="16838" w:orient="portrait"/>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4252" w:rsidRDefault="00B84252" w14:paraId="01506F59" w14:textId="77777777">
      <w:r>
        <w:separator/>
      </w:r>
    </w:p>
  </w:endnote>
  <w:endnote w:type="continuationSeparator" w:id="0">
    <w:p w:rsidR="00B84252" w:rsidRDefault="00B84252" w14:paraId="0CE8D92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iberation Sans">
    <w:panose1 w:val="00000000000000000000"/>
    <w:charset w:val="00"/>
    <w:family w:val="roman"/>
    <w:notTrueType/>
    <w:pitch w:val="default"/>
  </w:font>
  <w:font w:name="Arial Unicode MS">
    <w:altName w:val="Arial"/>
    <w:panose1 w:val="020B0604020202020204"/>
    <w:charset w:val="00"/>
    <w:family w:val="auto"/>
    <w:pitch w:val="default"/>
  </w:font>
  <w:font w:name="STZhongsong">
    <w:charset w:val="86"/>
    <w:family w:val="auto"/>
    <w:pitch w:val="variable"/>
    <w:sig w:usb0="00000287" w:usb1="080F0000" w:usb2="00000010" w:usb3="00000000" w:csb0="0004009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0EB6" w:rsidRDefault="00CE28E7" w14:paraId="01FE9CA8" w14:textId="77777777">
    <w:pPr>
      <w:tabs>
        <w:tab w:val="center" w:pos="4513"/>
        <w:tab w:val="right" w:pos="9026"/>
      </w:tabs>
      <w:rPr>
        <w:rFonts w:ascii="Arial" w:hAnsi="Arial" w:eastAsia="Arial" w:cs="Arial"/>
        <w:color w:val="000000"/>
        <w:sz w:val="20"/>
        <w:szCs w:val="20"/>
      </w:rPr>
    </w:pPr>
    <w:r>
      <w:rPr>
        <w:rFonts w:ascii="Arial" w:hAnsi="Arial" w:eastAsia="Arial" w:cs="Arial"/>
        <w:sz w:val="20"/>
        <w:szCs w:val="20"/>
      </w:rPr>
      <w:t>DPS Ref: RM6173</w:t>
    </w:r>
    <w:r>
      <w:rPr>
        <w:rFonts w:ascii="Arial" w:hAnsi="Arial" w:eastAsia="Arial" w:cs="Arial"/>
        <w:sz w:val="20"/>
        <w:szCs w:val="20"/>
      </w:rPr>
      <w:tab/>
    </w:r>
    <w:r>
      <w:rPr>
        <w:rFonts w:ascii="Arial" w:hAnsi="Arial" w:eastAsia="Arial" w:cs="Arial"/>
        <w:sz w:val="20"/>
        <w:szCs w:val="20"/>
      </w:rPr>
      <w:t xml:space="preserve">                                           </w:t>
    </w:r>
    <w:r>
      <w:rPr>
        <w:rFonts w:ascii="Arial" w:hAnsi="Arial" w:eastAsia="Arial" w:cs="Arial"/>
        <w:color w:val="000000"/>
        <w:sz w:val="20"/>
        <w:szCs w:val="20"/>
      </w:rPr>
      <w:tab/>
    </w:r>
    <w:r>
      <w:rPr>
        <w:rFonts w:ascii="Arial" w:hAnsi="Arial" w:eastAsia="Arial" w:cs="Arial"/>
        <w:color w:val="000000"/>
        <w:sz w:val="20"/>
        <w:szCs w:val="20"/>
      </w:rPr>
      <w:t xml:space="preserve"> </w:t>
    </w:r>
    <w:r>
      <w:rPr>
        <w:rFonts w:ascii="Arial" w:hAnsi="Arial" w:eastAsia="Arial" w:cs="Arial"/>
        <w:color w:val="000000"/>
        <w:sz w:val="20"/>
        <w:szCs w:val="20"/>
      </w:rPr>
      <w:fldChar w:fldCharType="begin"/>
    </w:r>
    <w:r>
      <w:rPr>
        <w:rFonts w:ascii="Arial" w:hAnsi="Arial" w:eastAsia="Arial" w:cs="Arial"/>
        <w:color w:val="000000"/>
        <w:sz w:val="20"/>
        <w:szCs w:val="20"/>
      </w:rPr>
      <w:instrText>PAGE</w:instrText>
    </w:r>
    <w:r>
      <w:rPr>
        <w:rFonts w:ascii="Arial" w:hAnsi="Arial" w:eastAsia="Arial" w:cs="Arial"/>
        <w:color w:val="000000"/>
        <w:sz w:val="20"/>
        <w:szCs w:val="20"/>
      </w:rPr>
      <w:fldChar w:fldCharType="separate"/>
    </w:r>
    <w:r w:rsidR="00506A1C">
      <w:rPr>
        <w:rFonts w:ascii="Arial" w:hAnsi="Arial" w:eastAsia="Arial" w:cs="Arial"/>
        <w:noProof/>
        <w:color w:val="000000"/>
        <w:sz w:val="20"/>
        <w:szCs w:val="20"/>
      </w:rPr>
      <w:t>2</w:t>
    </w:r>
    <w:r>
      <w:rPr>
        <w:rFonts w:ascii="Arial" w:hAnsi="Arial" w:eastAsia="Arial" w:cs="Arial"/>
        <w:color w:val="000000"/>
        <w:sz w:val="20"/>
        <w:szCs w:val="20"/>
      </w:rPr>
      <w:fldChar w:fldCharType="end"/>
    </w:r>
  </w:p>
  <w:p w:rsidR="00620EB6" w:rsidRDefault="00CE28E7" w14:paraId="1FCC90DB" w14:textId="77777777">
    <w:pPr>
      <w:tabs>
        <w:tab w:val="left" w:pos="720"/>
        <w:tab w:val="left" w:pos="1440"/>
        <w:tab w:val="left" w:pos="2160"/>
        <w:tab w:val="left" w:pos="2880"/>
        <w:tab w:val="left" w:pos="3600"/>
        <w:tab w:val="center" w:pos="4513"/>
      </w:tabs>
      <w:rPr>
        <w:rFonts w:ascii="Arial" w:hAnsi="Arial" w:eastAsia="Arial" w:cs="Arial"/>
        <w:sz w:val="20"/>
        <w:szCs w:val="20"/>
      </w:rPr>
    </w:pPr>
    <w:r>
      <w:rPr>
        <w:rFonts w:ascii="Arial" w:hAnsi="Arial" w:eastAsia="Arial" w:cs="Arial"/>
        <w:sz w:val="20"/>
        <w:szCs w:val="20"/>
      </w:rPr>
      <w:t xml:space="preserve">Model </w:t>
    </w:r>
    <w:proofErr w:type="gramStart"/>
    <w:r>
      <w:rPr>
        <w:rFonts w:ascii="Arial" w:hAnsi="Arial" w:eastAsia="Arial" w:cs="Arial"/>
        <w:sz w:val="20"/>
        <w:szCs w:val="20"/>
      </w:rPr>
      <w:t>Version :</w:t>
    </w:r>
    <w:proofErr w:type="gramEnd"/>
    <w:r>
      <w:rPr>
        <w:rFonts w:ascii="Arial" w:hAnsi="Arial" w:eastAsia="Arial" w:cs="Arial"/>
        <w:sz w:val="20"/>
        <w:szCs w:val="20"/>
      </w:rPr>
      <w:t xml:space="preserve"> v1.0</w:t>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0EB6" w:rsidRDefault="00620EB6" w14:paraId="6616302E" w14:textId="77777777">
    <w:pPr>
      <w:widowControl/>
      <w:pBdr>
        <w:top w:val="nil"/>
        <w:left w:val="nil"/>
        <w:bottom w:val="nil"/>
        <w:right w:val="nil"/>
        <w:between w:val="nil"/>
      </w:pBdr>
      <w:tabs>
        <w:tab w:val="center" w:pos="4513"/>
        <w:tab w:val="right" w:pos="9026"/>
      </w:tabs>
      <w:jc w:val="both"/>
      <w:rPr>
        <w:color w:val="000000"/>
      </w:rPr>
    </w:pPr>
  </w:p>
  <w:p w:rsidR="00620EB6" w:rsidRDefault="00CE28E7" w14:paraId="7C433BE2" w14:textId="77777777">
    <w:pPr>
      <w:tabs>
        <w:tab w:val="center" w:pos="4513"/>
        <w:tab w:val="right" w:pos="9026"/>
      </w:tabs>
      <w:rPr>
        <w:rFonts w:ascii="Arial" w:hAnsi="Arial" w:eastAsia="Arial" w:cs="Arial"/>
        <w:sz w:val="20"/>
        <w:szCs w:val="20"/>
      </w:rPr>
    </w:pPr>
    <w:r>
      <w:rPr>
        <w:rFonts w:ascii="Arial" w:hAnsi="Arial" w:eastAsia="Arial" w:cs="Arial"/>
        <w:sz w:val="20"/>
        <w:szCs w:val="20"/>
      </w:rPr>
      <w:t>Framework Ref: RM</w:t>
    </w:r>
    <w:r>
      <w:rPr>
        <w:rFonts w:ascii="Arial" w:hAnsi="Arial" w:eastAsia="Arial" w:cs="Arial"/>
        <w:sz w:val="20"/>
        <w:szCs w:val="20"/>
      </w:rPr>
      <w:tab/>
    </w:r>
  </w:p>
  <w:p w:rsidR="00620EB6" w:rsidRDefault="00CE28E7" w14:paraId="3A5D51E0" w14:textId="77777777">
    <w:pPr>
      <w:tabs>
        <w:tab w:val="center" w:pos="4513"/>
        <w:tab w:val="right" w:pos="9026"/>
      </w:tabs>
      <w:rPr>
        <w:rFonts w:ascii="Arial" w:hAnsi="Arial" w:eastAsia="Arial" w:cs="Arial"/>
        <w:sz w:val="20"/>
        <w:szCs w:val="20"/>
      </w:rPr>
    </w:pPr>
    <w:r>
      <w:rPr>
        <w:rFonts w:ascii="Arial" w:hAnsi="Arial" w:eastAsia="Arial" w:cs="Arial"/>
        <w:sz w:val="20"/>
        <w:szCs w:val="20"/>
      </w:rPr>
      <w:t>Project Version: 1.0</w:t>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 xml:space="preserve"> </w:t>
    </w:r>
    <w:r>
      <w:rPr>
        <w:rFonts w:ascii="Arial" w:hAnsi="Arial" w:eastAsia="Arial" w:cs="Arial"/>
        <w:sz w:val="20"/>
        <w:szCs w:val="20"/>
      </w:rPr>
      <w:fldChar w:fldCharType="begin"/>
    </w:r>
    <w:r>
      <w:rPr>
        <w:rFonts w:ascii="Arial" w:hAnsi="Arial" w:eastAsia="Arial" w:cs="Arial"/>
        <w:sz w:val="20"/>
        <w:szCs w:val="20"/>
      </w:rPr>
      <w:instrText>PAGE</w:instrText>
    </w:r>
    <w:r>
      <w:rPr>
        <w:rFonts w:ascii="Arial" w:hAnsi="Arial" w:eastAsia="Arial" w:cs="Arial"/>
        <w:sz w:val="20"/>
        <w:szCs w:val="20"/>
      </w:rPr>
      <w:fldChar w:fldCharType="end"/>
    </w:r>
  </w:p>
  <w:p w:rsidR="00620EB6" w:rsidRDefault="00CE28E7" w14:paraId="291AD31F" w14:textId="77777777">
    <w:pPr>
      <w:tabs>
        <w:tab w:val="left" w:pos="720"/>
        <w:tab w:val="left" w:pos="1440"/>
        <w:tab w:val="left" w:pos="2160"/>
        <w:tab w:val="left" w:pos="2880"/>
        <w:tab w:val="left" w:pos="3600"/>
        <w:tab w:val="center" w:pos="4513"/>
      </w:tabs>
      <w:rPr>
        <w:rFonts w:ascii="Arial" w:hAnsi="Arial" w:eastAsia="Arial" w:cs="Arial"/>
        <w:sz w:val="20"/>
        <w:szCs w:val="20"/>
      </w:rPr>
    </w:pPr>
    <w:r>
      <w:rPr>
        <w:rFonts w:ascii="Arial" w:hAnsi="Arial" w:eastAsia="Arial" w:cs="Arial"/>
        <w:sz w:val="20"/>
        <w:szCs w:val="20"/>
      </w:rPr>
      <w:t xml:space="preserve">Model </w:t>
    </w:r>
    <w:proofErr w:type="gramStart"/>
    <w:r>
      <w:rPr>
        <w:rFonts w:ascii="Arial" w:hAnsi="Arial" w:eastAsia="Arial" w:cs="Arial"/>
        <w:sz w:val="20"/>
        <w:szCs w:val="20"/>
      </w:rPr>
      <w:t>Version :</w:t>
    </w:r>
    <w:proofErr w:type="gramEnd"/>
    <w:r>
      <w:rPr>
        <w:rFonts w:ascii="Arial" w:hAnsi="Arial" w:eastAsia="Arial" w:cs="Arial"/>
        <w:sz w:val="20"/>
        <w:szCs w:val="20"/>
      </w:rPr>
      <w:t xml:space="preserve"> v3.0</w:t>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4252" w:rsidRDefault="00B84252" w14:paraId="100923D1" w14:textId="77777777">
      <w:r>
        <w:separator/>
      </w:r>
    </w:p>
  </w:footnote>
  <w:footnote w:type="continuationSeparator" w:id="0">
    <w:p w:rsidR="00B84252" w:rsidRDefault="00B84252" w14:paraId="73F5C2F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0EB6" w:rsidRDefault="00CE28E7" w14:paraId="71C56319" w14:textId="77777777">
    <w:pPr>
      <w:widowControl/>
      <w:pBdr>
        <w:top w:val="nil"/>
        <w:left w:val="nil"/>
        <w:bottom w:val="nil"/>
        <w:right w:val="nil"/>
        <w:between w:val="nil"/>
      </w:pBdr>
      <w:tabs>
        <w:tab w:val="center" w:pos="4513"/>
        <w:tab w:val="right" w:pos="9026"/>
      </w:tabs>
      <w:jc w:val="both"/>
      <w:rPr>
        <w:rFonts w:ascii="Arial" w:hAnsi="Arial" w:eastAsia="Arial" w:cs="Arial"/>
        <w:b/>
        <w:color w:val="000000"/>
        <w:sz w:val="20"/>
        <w:szCs w:val="20"/>
      </w:rPr>
    </w:pPr>
    <w:r>
      <w:rPr>
        <w:rFonts w:ascii="Arial" w:hAnsi="Arial" w:eastAsia="Arial" w:cs="Arial"/>
        <w:b/>
        <w:color w:val="000000"/>
        <w:sz w:val="20"/>
        <w:szCs w:val="20"/>
      </w:rPr>
      <w:t>DPS Schedule 7 (Order Procedure)</w:t>
    </w:r>
  </w:p>
  <w:p w:rsidR="00620EB6" w:rsidRDefault="00CE28E7" w14:paraId="3C779C6F" w14:textId="77777777">
    <w:pPr>
      <w:widowControl/>
      <w:pBdr>
        <w:top w:val="nil"/>
        <w:left w:val="nil"/>
        <w:bottom w:val="nil"/>
        <w:right w:val="nil"/>
        <w:between w:val="nil"/>
      </w:pBdr>
      <w:tabs>
        <w:tab w:val="center" w:pos="4513"/>
        <w:tab w:val="right" w:pos="9026"/>
      </w:tabs>
      <w:jc w:val="both"/>
      <w:rPr>
        <w:rFonts w:ascii="Arial" w:hAnsi="Arial" w:eastAsia="Arial" w:cs="Arial"/>
        <w:color w:val="000000"/>
        <w:sz w:val="20"/>
        <w:szCs w:val="20"/>
      </w:rPr>
    </w:pPr>
    <w:r>
      <w:rPr>
        <w:rFonts w:ascii="Arial" w:hAnsi="Arial" w:eastAsia="Arial" w:cs="Arial"/>
        <w:color w:val="000000"/>
        <w:sz w:val="20"/>
        <w:szCs w:val="20"/>
      </w:rPr>
      <w:t>Crown Copyright 20</w:t>
    </w:r>
    <w:r w:rsidR="00506A1C">
      <w:rPr>
        <w:rFonts w:ascii="Arial" w:hAnsi="Arial" w:eastAsia="Arial" w:cs="Arial"/>
        <w:color w:val="000000"/>
        <w:sz w:val="20"/>
        <w:szCs w:val="20"/>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0EB6" w:rsidRDefault="00CE28E7" w14:paraId="2C1CED9B" w14:textId="77777777">
    <w:pPr>
      <w:widowControl/>
      <w:pBdr>
        <w:top w:val="nil"/>
        <w:left w:val="nil"/>
        <w:bottom w:val="nil"/>
        <w:right w:val="nil"/>
        <w:between w:val="nil"/>
      </w:pBdr>
      <w:tabs>
        <w:tab w:val="center" w:pos="4513"/>
        <w:tab w:val="right" w:pos="9026"/>
      </w:tabs>
      <w:jc w:val="both"/>
      <w:rPr>
        <w:rFonts w:ascii="Arial" w:hAnsi="Arial" w:eastAsia="Arial" w:cs="Arial"/>
        <w:b/>
        <w:color w:val="BFBFBF"/>
        <w:sz w:val="20"/>
        <w:szCs w:val="20"/>
      </w:rPr>
    </w:pPr>
    <w:r>
      <w:rPr>
        <w:rFonts w:ascii="Arial" w:hAnsi="Arial" w:eastAsia="Arial" w:cs="Arial"/>
        <w:b/>
        <w:color w:val="BFBFBF"/>
        <w:sz w:val="20"/>
        <w:szCs w:val="20"/>
      </w:rPr>
      <w:t>Framework Schedule 7 (Call-Off Award Procedure)</w:t>
    </w:r>
  </w:p>
  <w:p w:rsidR="00620EB6" w:rsidRDefault="00CE28E7" w14:paraId="6CD42E32" w14:textId="77777777">
    <w:pPr>
      <w:widowControl/>
      <w:pBdr>
        <w:top w:val="nil"/>
        <w:left w:val="nil"/>
        <w:bottom w:val="nil"/>
        <w:right w:val="nil"/>
        <w:between w:val="nil"/>
      </w:pBdr>
      <w:tabs>
        <w:tab w:val="center" w:pos="4513"/>
        <w:tab w:val="right" w:pos="9026"/>
      </w:tabs>
      <w:jc w:val="both"/>
      <w:rPr>
        <w:rFonts w:ascii="Arial" w:hAnsi="Arial" w:eastAsia="Arial" w:cs="Arial"/>
        <w:color w:val="BFBFBF"/>
        <w:sz w:val="20"/>
        <w:szCs w:val="20"/>
      </w:rPr>
    </w:pPr>
    <w:r>
      <w:rPr>
        <w:rFonts w:ascii="Arial" w:hAnsi="Arial" w:eastAsia="Arial" w:cs="Arial"/>
        <w:color w:val="BFBFBF"/>
        <w:sz w:val="20"/>
        <w:szCs w:val="20"/>
      </w:rPr>
      <w:t>Crown Copyright 2018</w:t>
    </w:r>
  </w:p>
  <w:p w:rsidR="00620EB6" w:rsidRDefault="00620EB6" w14:paraId="22FD1AAB" w14:textId="77777777">
    <w:pPr>
      <w:widowControl/>
      <w:pBdr>
        <w:top w:val="nil"/>
        <w:left w:val="nil"/>
        <w:bottom w:val="nil"/>
        <w:right w:val="nil"/>
        <w:between w:val="nil"/>
      </w:pBdr>
      <w:tabs>
        <w:tab w:val="center" w:pos="4513"/>
        <w:tab w:val="right" w:pos="9026"/>
      </w:tabs>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259D2C20"/>
    <w:multiLevelType w:val="multilevel"/>
    <w:tmpl w:val="0A247B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2D1B5C"/>
    <w:multiLevelType w:val="multilevel"/>
    <w:tmpl w:val="BB2ACC50"/>
    <w:lvl w:ilvl="0">
      <w:start w:val="1"/>
      <w:numFmt w:val="decimal"/>
      <w:lvlText w:val="%1."/>
      <w:lvlJc w:val="left"/>
      <w:pPr>
        <w:ind w:left="360" w:hanging="360"/>
      </w:pPr>
      <w:rPr>
        <w:b/>
        <w:i w:val="0"/>
        <w:smallCaps w:val="0"/>
        <w:strike w:val="0"/>
        <w:color w:val="00000A"/>
        <w:sz w:val="24"/>
        <w:szCs w:val="24"/>
        <w:u w:val="none"/>
        <w:vertAlign w:val="baseline"/>
      </w:rPr>
    </w:lvl>
    <w:lvl w:ilvl="1">
      <w:start w:val="1"/>
      <w:numFmt w:val="decimal"/>
      <w:lvlText w:val="%1.%2"/>
      <w:lvlJc w:val="left"/>
      <w:pPr>
        <w:ind w:left="1080" w:hanging="360"/>
      </w:pPr>
      <w:rPr>
        <w:b w:val="0"/>
        <w:i w:val="0"/>
        <w:smallCaps w:val="0"/>
        <w:strike w:val="0"/>
        <w:color w:val="00000A"/>
        <w:sz w:val="22"/>
        <w:szCs w:val="22"/>
        <w:u w:val="none"/>
        <w:vertAlign w:val="baseline"/>
      </w:rPr>
    </w:lvl>
    <w:lvl w:ilvl="2">
      <w:start w:val="1"/>
      <w:numFmt w:val="decimal"/>
      <w:lvlText w:val="%1.%2.%3"/>
      <w:lvlJc w:val="left"/>
      <w:pPr>
        <w:ind w:left="2610" w:hanging="720"/>
      </w:pPr>
      <w:rPr>
        <w:b w:val="0"/>
        <w:i w:val="0"/>
        <w:smallCaps w:val="0"/>
        <w:strike w:val="0"/>
        <w:color w:val="00000A"/>
        <w:sz w:val="22"/>
        <w:szCs w:val="22"/>
        <w:u w:val="none"/>
        <w:vertAlign w:val="baseline"/>
      </w:rPr>
    </w:lvl>
    <w:lvl w:ilvl="3">
      <w:start w:val="1"/>
      <w:numFmt w:val="lowerLetter"/>
      <w:lvlText w:val="(%4)"/>
      <w:lvlJc w:val="left"/>
      <w:pPr>
        <w:ind w:left="2847" w:hanging="720"/>
      </w:pPr>
      <w:rPr>
        <w:b w:val="0"/>
        <w:i w:val="0"/>
        <w:smallCaps w:val="0"/>
        <w:strike w:val="0"/>
        <w:color w:val="00000A"/>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46D528DD"/>
    <w:multiLevelType w:val="multilevel"/>
    <w:tmpl w:val="AC30580C"/>
    <w:lvl w:ilvl="0">
      <w:start w:val="1"/>
      <w:numFmt w:val="decimal"/>
      <w:lvlText w:val="%1."/>
      <w:lvlJc w:val="left"/>
      <w:pPr>
        <w:ind w:left="1080" w:hanging="360"/>
      </w:pPr>
      <w:rPr>
        <w:b w:val="0"/>
        <w:i w:val="0"/>
        <w:smallCaps w:val="0"/>
        <w:strike w:val="0"/>
        <w:color w:val="00000A"/>
        <w:sz w:val="24"/>
        <w:szCs w:val="24"/>
        <w:u w:val="none"/>
        <w:vertAlign w:val="baseline"/>
      </w:rPr>
    </w:lvl>
    <w:lvl w:ilvl="1">
      <w:start w:val="1"/>
      <w:numFmt w:val="decimal"/>
      <w:lvlText w:val="%1.%2"/>
      <w:lvlJc w:val="left"/>
      <w:pPr>
        <w:ind w:left="1800" w:hanging="360"/>
      </w:pPr>
      <w:rPr>
        <w:b w:val="0"/>
        <w:i w:val="0"/>
        <w:smallCaps w:val="0"/>
        <w:strike w:val="0"/>
        <w:color w:val="00000A"/>
        <w:sz w:val="22"/>
        <w:szCs w:val="22"/>
        <w:u w:val="none"/>
        <w:vertAlign w:val="baseline"/>
      </w:rPr>
    </w:lvl>
    <w:lvl w:ilvl="2">
      <w:start w:val="1"/>
      <w:numFmt w:val="decimal"/>
      <w:lvlText w:val="%1.%2.%3"/>
      <w:lvlJc w:val="left"/>
      <w:pPr>
        <w:ind w:left="3330" w:hanging="720"/>
      </w:pPr>
      <w:rPr>
        <w:b w:val="0"/>
        <w:i w:val="0"/>
        <w:smallCaps w:val="0"/>
        <w:strike w:val="0"/>
        <w:color w:val="00000A"/>
        <w:sz w:val="22"/>
        <w:szCs w:val="22"/>
        <w:u w:val="none"/>
        <w:vertAlign w:val="baseline"/>
      </w:rPr>
    </w:lvl>
    <w:lvl w:ilvl="3">
      <w:start w:val="1"/>
      <w:numFmt w:val="lowerLetter"/>
      <w:lvlText w:val="(%4)"/>
      <w:lvlJc w:val="left"/>
      <w:pPr>
        <w:ind w:left="3567" w:hanging="720"/>
      </w:pPr>
      <w:rPr>
        <w:b w:val="0"/>
        <w:i w:val="0"/>
        <w:smallCaps w:val="0"/>
        <w:strike w:val="0"/>
        <w:color w:val="00000A"/>
        <w:sz w:val="22"/>
        <w:szCs w:val="22"/>
        <w:u w:val="none"/>
        <w:vertAlign w:val="baseline"/>
      </w:rPr>
    </w:lvl>
    <w:lvl w:ilvl="4">
      <w:start w:val="1"/>
      <w:numFmt w:val="lowerRoman"/>
      <w:lvlText w:val="(%5)"/>
      <w:lvlJc w:val="left"/>
      <w:pPr>
        <w:ind w:left="2160" w:hanging="1080"/>
      </w:pPr>
      <w:rPr>
        <w:b w:val="0"/>
        <w:i w:val="0"/>
        <w:smallCaps w:val="0"/>
        <w:strike w:val="0"/>
        <w:color w:val="000000"/>
        <w:u w:val="none"/>
        <w:vertAlign w:val="baseline"/>
      </w:rPr>
    </w:lvl>
    <w:lvl w:ilvl="5">
      <w:start w:val="1"/>
      <w:numFmt w:val="upperLetter"/>
      <w:lvlText w:val="(%6)"/>
      <w:lvlJc w:val="left"/>
      <w:pPr>
        <w:ind w:left="2160" w:hanging="1080"/>
      </w:pPr>
      <w:rPr>
        <w:b w:val="0"/>
        <w:i w:val="0"/>
        <w:smallCaps w:val="0"/>
        <w:strike w:val="0"/>
        <w:color w:val="000000"/>
        <w:u w:val="none"/>
        <w:vertAlign w:val="baseline"/>
      </w:r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3" w15:restartNumberingAfterBreak="0">
    <w:nsid w:val="60AA2682"/>
    <w:multiLevelType w:val="multilevel"/>
    <w:tmpl w:val="1FDA45B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79FC10C1"/>
    <w:multiLevelType w:val="multilevel"/>
    <w:tmpl w:val="007C016E"/>
    <w:lvl w:ilvl="0">
      <w:start w:val="1"/>
      <w:numFmt w:val="decimal"/>
      <w:lvlText w:val="%1."/>
      <w:lvlJc w:val="left"/>
      <w:pPr>
        <w:ind w:left="360" w:hanging="360"/>
      </w:pPr>
      <w:rPr>
        <w:b/>
        <w:i w:val="0"/>
        <w:smallCaps w:val="0"/>
        <w:strike w:val="0"/>
        <w:color w:val="00000A"/>
        <w:sz w:val="24"/>
        <w:szCs w:val="24"/>
        <w:u w:val="none"/>
        <w:vertAlign w:val="baseline"/>
      </w:rPr>
    </w:lvl>
    <w:lvl w:ilvl="1">
      <w:start w:val="1"/>
      <w:numFmt w:val="decimal"/>
      <w:lvlText w:val="%1.%2"/>
      <w:lvlJc w:val="left"/>
      <w:pPr>
        <w:ind w:left="1080" w:hanging="360"/>
      </w:pPr>
      <w:rPr>
        <w:b w:val="0"/>
        <w:i w:val="0"/>
        <w:smallCaps w:val="0"/>
        <w:strike w:val="0"/>
        <w:color w:val="00000A"/>
        <w:sz w:val="24"/>
        <w:szCs w:val="24"/>
        <w:u w:val="none"/>
        <w:vertAlign w:val="baseline"/>
      </w:rPr>
    </w:lvl>
    <w:lvl w:ilvl="2">
      <w:start w:val="1"/>
      <w:numFmt w:val="decimal"/>
      <w:lvlText w:val="%1.%2.%3"/>
      <w:lvlJc w:val="left"/>
      <w:pPr>
        <w:ind w:left="2610" w:hanging="720"/>
      </w:pPr>
      <w:rPr>
        <w:b w:val="0"/>
        <w:i w:val="0"/>
        <w:smallCaps w:val="0"/>
        <w:strike w:val="0"/>
        <w:color w:val="00000A"/>
        <w:sz w:val="24"/>
        <w:szCs w:val="24"/>
        <w:u w:val="none"/>
        <w:vertAlign w:val="baseline"/>
      </w:rPr>
    </w:lvl>
    <w:lvl w:ilvl="3">
      <w:start w:val="1"/>
      <w:numFmt w:val="lowerLetter"/>
      <w:lvlText w:val="(%4)"/>
      <w:lvlJc w:val="left"/>
      <w:pPr>
        <w:ind w:left="2847" w:hanging="720"/>
      </w:pPr>
      <w:rPr>
        <w:b w:val="0"/>
        <w:i w:val="0"/>
        <w:smallCaps w:val="0"/>
        <w:strike w:val="0"/>
        <w:color w:val="00000A"/>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5">
    <w:abstractNumId w:val="5"/>
  </w:num>
  <w:num w:numId="1">
    <w:abstractNumId w:val="3"/>
  </w:num>
  <w:num w:numId="2">
    <w:abstractNumId w:val="4"/>
  </w:num>
  <w:num w:numId="3">
    <w:abstractNumId w:val="1"/>
  </w:num>
  <w:num w:numId="4">
    <w:abstractNumId w:val="2"/>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B6"/>
    <w:rsid w:val="00506A1C"/>
    <w:rsid w:val="00620EB6"/>
    <w:rsid w:val="00B84252"/>
    <w:rsid w:val="00CE28E7"/>
    <w:rsid w:val="00D84228"/>
    <w:rsid w:val="1B8CAE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3BF83"/>
  <w15:docId w15:val="{CA25E894-FB65-4ACE-9B64-3FA65BBCE78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en-GB"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tandard" w:customStyle="1">
    <w:name w:val="Standard"/>
    <w:pPr>
      <w:widowControl/>
      <w:spacing w:after="240"/>
      <w:jc w:val="both"/>
    </w:pPr>
    <w:rPr>
      <w:rFonts w:eastAsia="Times New Roman" w:cs="Arial"/>
    </w:rPr>
  </w:style>
  <w:style w:type="paragraph" w:styleId="Heading" w:customStyle="1">
    <w:name w:val="Heading"/>
    <w:basedOn w:val="Standard"/>
    <w:next w:val="Textbody"/>
    <w:pPr>
      <w:keepNext/>
      <w:spacing w:before="240" w:after="120"/>
    </w:pPr>
    <w:rPr>
      <w:rFonts w:ascii="Liberation Sans" w:hAnsi="Liberation Sans" w:eastAsia="Arial Unicode MS" w:cs="Arial Unicode MS"/>
      <w:sz w:val="28"/>
      <w:szCs w:val="28"/>
    </w:rPr>
  </w:style>
  <w:style w:type="paragraph" w:styleId="Textbody" w:customStyle="1">
    <w:name w:val="Text body"/>
    <w:basedOn w:val="Standard"/>
    <w:pPr>
      <w:spacing w:after="140" w:line="288" w:lineRule="auto"/>
    </w:pPr>
  </w:style>
  <w:style w:type="paragraph" w:styleId="List">
    <w:name w:val="List"/>
    <w:basedOn w:val="Textbody"/>
    <w:rPr>
      <w:sz w:val="24"/>
    </w:rPr>
  </w:style>
  <w:style w:type="paragraph" w:styleId="Caption">
    <w:name w:val="caption"/>
    <w:basedOn w:val="Standard"/>
    <w:pPr>
      <w:suppressLineNumbers/>
      <w:spacing w:before="120" w:after="120"/>
    </w:pPr>
    <w:rPr>
      <w:i/>
      <w:iCs/>
      <w:sz w:val="24"/>
      <w:szCs w:val="24"/>
    </w:rPr>
  </w:style>
  <w:style w:type="paragraph" w:styleId="Index" w:customStyle="1">
    <w:name w:val="Index"/>
    <w:basedOn w:val="Standard"/>
    <w:pPr>
      <w:suppressLineNumbers/>
    </w:pPr>
    <w:rPr>
      <w:sz w:val="24"/>
    </w:rPr>
  </w:style>
  <w:style w:type="paragraph" w:styleId="Header">
    <w:name w:val="header"/>
    <w:basedOn w:val="Standard"/>
    <w:pPr>
      <w:tabs>
        <w:tab w:val="center" w:pos="4513"/>
        <w:tab w:val="right" w:pos="9026"/>
      </w:tabs>
      <w:spacing w:after="0"/>
    </w:pPr>
  </w:style>
  <w:style w:type="paragraph" w:styleId="Footer">
    <w:name w:val="footer"/>
    <w:basedOn w:val="Standard"/>
    <w:uiPriority w:val="99"/>
    <w:pPr>
      <w:tabs>
        <w:tab w:val="center" w:pos="4513"/>
        <w:tab w:val="right" w:pos="9026"/>
      </w:tabs>
      <w:spacing w:after="0"/>
    </w:pPr>
  </w:style>
  <w:style w:type="paragraph" w:styleId="MarginText" w:customStyle="1">
    <w:name w:val="Margin Text"/>
    <w:basedOn w:val="Standard"/>
    <w:pPr>
      <w:keepNext/>
      <w:overflowPunct w:val="0"/>
      <w:spacing w:before="240" w:after="120"/>
      <w:ind w:left="142"/>
    </w:pPr>
    <w:rPr>
      <w:rFonts w:eastAsia="STZhongsong" w:cs="Times New Roman"/>
      <w:szCs w:val="18"/>
      <w:lang w:eastAsia="zh-CN"/>
    </w:rPr>
  </w:style>
  <w:style w:type="paragraph" w:styleId="GPSL1CLAUSEHEADING" w:customStyle="1">
    <w:name w:val="GPS L1 CLAUSE HEADING"/>
    <w:basedOn w:val="Standard"/>
    <w:next w:val="Standard"/>
    <w:pPr>
      <w:tabs>
        <w:tab w:val="left" w:pos="142"/>
      </w:tabs>
      <w:overflowPunct w:val="0"/>
      <w:spacing w:before="120"/>
      <w:outlineLvl w:val="1"/>
    </w:pPr>
    <w:rPr>
      <w:rFonts w:eastAsia="STZhongsong"/>
      <w:b/>
      <w:caps/>
      <w:lang w:eastAsia="zh-CN"/>
    </w:rPr>
  </w:style>
  <w:style w:type="paragraph" w:styleId="GPSL3numberedclause" w:customStyle="1">
    <w:name w:val="GPS L3 numbered clause"/>
    <w:basedOn w:val="Standard"/>
    <w:pPr>
      <w:tabs>
        <w:tab w:val="left" w:pos="3641"/>
      </w:tabs>
      <w:overflowPunct w:val="0"/>
      <w:spacing w:before="120" w:after="120"/>
      <w:ind w:left="1656"/>
    </w:pPr>
    <w:rPr>
      <w:lang w:eastAsia="zh-CN"/>
    </w:rPr>
  </w:style>
  <w:style w:type="paragraph" w:styleId="GPSL4numberedclause" w:customStyle="1">
    <w:name w:val="GPS L4 numbered clause"/>
    <w:basedOn w:val="GPSL3numberedclause"/>
    <w:pPr>
      <w:tabs>
        <w:tab w:val="clear" w:pos="3641"/>
      </w:tabs>
      <w:ind w:left="2592" w:hanging="936"/>
    </w:pPr>
  </w:style>
  <w:style w:type="paragraph" w:styleId="GPSL5numberedclause" w:customStyle="1">
    <w:name w:val="GPS L5 numbered clause"/>
    <w:basedOn w:val="GPSL4numberedclause"/>
    <w:pPr>
      <w:tabs>
        <w:tab w:val="left" w:pos="6238"/>
      </w:tabs>
      <w:ind w:left="3119" w:hanging="567"/>
    </w:pPr>
  </w:style>
  <w:style w:type="paragraph" w:styleId="GPSL2NumberedBoldHeading" w:customStyle="1">
    <w:name w:val="GPS L2 Numbered Bold Heading"/>
    <w:basedOn w:val="Standard"/>
    <w:pPr>
      <w:tabs>
        <w:tab w:val="left" w:pos="3054"/>
      </w:tabs>
      <w:overflowPunct w:val="0"/>
      <w:spacing w:before="120" w:after="120"/>
      <w:ind w:left="1920"/>
    </w:pPr>
    <w:rPr>
      <w:b/>
      <w:lang w:eastAsia="zh-CN"/>
    </w:rPr>
  </w:style>
  <w:style w:type="paragraph" w:styleId="GPSL6numbered" w:customStyle="1">
    <w:name w:val="GPS L6 numbered"/>
    <w:basedOn w:val="GPSL5numberedclause"/>
    <w:pPr>
      <w:tabs>
        <w:tab w:val="clear" w:pos="6238"/>
        <w:tab w:val="left" w:pos="4046"/>
        <w:tab w:val="left" w:pos="7372"/>
      </w:tabs>
      <w:ind w:left="3686"/>
    </w:pPr>
  </w:style>
  <w:style w:type="paragraph" w:styleId="GPSL1Guidance" w:customStyle="1">
    <w:name w:val="GPS L1 Guidance"/>
    <w:basedOn w:val="Standard"/>
    <w:pPr>
      <w:spacing w:before="240" w:after="120"/>
      <w:ind w:left="426"/>
    </w:pPr>
    <w:rPr>
      <w:b/>
      <w:i/>
    </w:rPr>
  </w:style>
  <w:style w:type="paragraph" w:styleId="GPSL1SCHEDULEHeading" w:customStyle="1">
    <w:name w:val="GPS L1 SCHEDULE Heading"/>
    <w:basedOn w:val="GPSL1CLAUSEHEADING"/>
    <w:pPr>
      <w:tabs>
        <w:tab w:val="clear" w:pos="142"/>
      </w:tabs>
    </w:pPr>
  </w:style>
  <w:style w:type="paragraph" w:styleId="GPSmacrorestart" w:customStyle="1">
    <w:name w:val="GPS macro restart"/>
    <w:basedOn w:val="Standard"/>
    <w:qFormat/>
    <w:pPr>
      <w:spacing w:after="0"/>
    </w:pPr>
    <w:rPr>
      <w:color w:val="FFFFFF"/>
      <w:sz w:val="16"/>
      <w:szCs w:val="16"/>
    </w:rPr>
  </w:style>
  <w:style w:type="paragraph" w:styleId="GPSSchTitleandNumber" w:customStyle="1">
    <w:name w:val="GPS Sch Title and Number"/>
    <w:basedOn w:val="Standard"/>
    <w:pPr>
      <w:keepNext/>
      <w:overflowPunct w:val="0"/>
      <w:ind w:firstLine="426"/>
      <w:jc w:val="center"/>
      <w:outlineLvl w:val="0"/>
    </w:pPr>
    <w:rPr>
      <w:rFonts w:ascii="Arial Bold" w:hAnsi="Arial Bold" w:eastAsia="STZhongsong" w:cs="Times New Roman"/>
      <w:b/>
      <w:caps/>
      <w:lang w:eastAsia="zh-CN"/>
    </w:rPr>
  </w:style>
  <w:style w:type="paragraph" w:styleId="GPSSchPart" w:customStyle="1">
    <w:name w:val="GPS Sch Part"/>
    <w:basedOn w:val="Standard"/>
    <w:qFormat/>
    <w:pPr>
      <w:keepNext/>
      <w:overflowPunct w:val="0"/>
      <w:spacing w:before="240"/>
      <w:ind w:firstLine="426"/>
      <w:jc w:val="center"/>
    </w:pPr>
    <w:rPr>
      <w:rFonts w:ascii="Arial Bold" w:hAnsi="Arial Bold" w:eastAsia="STZhongsong" w:cs="Times New Roman"/>
      <w:b/>
      <w:caps/>
      <w:lang w:eastAsia="zh-CN"/>
    </w:rPr>
  </w:style>
  <w:style w:type="paragraph" w:styleId="GPSL2Numbered" w:customStyle="1">
    <w:name w:val="GPS L2 Numbered"/>
    <w:basedOn w:val="GPSL2NumberedBoldHeading"/>
    <w:pPr>
      <w:tabs>
        <w:tab w:val="clear" w:pos="3054"/>
      </w:tabs>
      <w:ind w:left="936" w:hanging="576"/>
    </w:pPr>
    <w:rPr>
      <w:b w:val="0"/>
    </w:rPr>
  </w:style>
  <w:style w:type="paragraph" w:styleId="GPSL1Schedulenumbered" w:customStyle="1">
    <w:name w:val="GPS L1 Schedule numbered"/>
    <w:basedOn w:val="Standard"/>
    <w:qFormat/>
    <w:pPr>
      <w:tabs>
        <w:tab w:val="left" w:pos="851"/>
      </w:tabs>
    </w:pPr>
  </w:style>
  <w:style w:type="paragraph" w:styleId="BalloonText">
    <w:name w:val="Balloon Text"/>
    <w:basedOn w:val="Standard"/>
    <w:pPr>
      <w:spacing w:after="0"/>
    </w:pPr>
    <w:rPr>
      <w:rFonts w:ascii="Tahoma" w:hAnsi="Tahoma" w:eastAsia="Tahoma" w:cs="Tahoma"/>
      <w:sz w:val="16"/>
      <w:szCs w:val="16"/>
    </w:rPr>
  </w:style>
  <w:style w:type="paragraph" w:styleId="GPSL2Guidance" w:customStyle="1">
    <w:name w:val="GPS L2 Guidance"/>
    <w:basedOn w:val="Standard"/>
    <w:pPr>
      <w:tabs>
        <w:tab w:val="left" w:pos="2268"/>
      </w:tabs>
      <w:overflowPunct w:val="0"/>
      <w:spacing w:before="120" w:after="120"/>
      <w:ind w:left="1134"/>
    </w:pPr>
    <w:rPr>
      <w:b/>
      <w:i/>
      <w:lang w:eastAsia="zh-CN"/>
    </w:rPr>
  </w:style>
  <w:style w:type="paragraph" w:styleId="GPSL2Indent" w:customStyle="1">
    <w:name w:val="GPS L2 Indent"/>
    <w:basedOn w:val="Standard"/>
    <w:pPr>
      <w:tabs>
        <w:tab w:val="left" w:pos="4536"/>
      </w:tabs>
      <w:spacing w:after="220"/>
      <w:ind w:left="1134"/>
    </w:pPr>
    <w:rPr>
      <w:szCs w:val="24"/>
    </w:rPr>
  </w:style>
  <w:style w:type="paragraph" w:styleId="GPSL4Guidance" w:customStyle="1">
    <w:name w:val="GPS L4 Guidance"/>
    <w:basedOn w:val="Standard"/>
    <w:pPr>
      <w:tabs>
        <w:tab w:val="left" w:pos="3970"/>
      </w:tabs>
      <w:overflowPunct w:val="0"/>
      <w:spacing w:before="120" w:after="120"/>
      <w:ind w:left="1985"/>
    </w:pPr>
    <w:rPr>
      <w:b/>
      <w:i/>
      <w:lang w:eastAsia="zh-CN"/>
    </w:rPr>
  </w:style>
  <w:style w:type="paragraph" w:styleId="GPSL2non-numberboldheading" w:customStyle="1">
    <w:name w:val="GPS L2 non-number bold heading"/>
    <w:basedOn w:val="GPSL2NumberedBoldHeading"/>
    <w:pPr>
      <w:ind w:left="1134"/>
    </w:pPr>
  </w:style>
  <w:style w:type="paragraph" w:styleId="CommentText">
    <w:name w:val="annotation text"/>
    <w:basedOn w:val="Standard"/>
    <w:rPr>
      <w:sz w:val="20"/>
      <w:szCs w:val="20"/>
    </w:rPr>
  </w:style>
  <w:style w:type="paragraph" w:styleId="CommentSubject">
    <w:name w:val="annotation subject"/>
    <w:basedOn w:val="CommentText"/>
    <w:rPr>
      <w:b/>
      <w:bCs/>
    </w:rPr>
  </w:style>
  <w:style w:type="character" w:styleId="HeaderChar" w:customStyle="1">
    <w:name w:val="Header Char"/>
    <w:basedOn w:val="DefaultParagraphFont"/>
  </w:style>
  <w:style w:type="character" w:styleId="FooterChar" w:customStyle="1">
    <w:name w:val="Footer Char"/>
    <w:basedOn w:val="DefaultParagraphFont"/>
    <w:uiPriority w:val="99"/>
  </w:style>
  <w:style w:type="character" w:styleId="Emphasis">
    <w:name w:val="Emphasis"/>
    <w:basedOn w:val="DefaultParagraphFont"/>
    <w:rPr>
      <w:i/>
      <w:iCs/>
    </w:rPr>
  </w:style>
  <w:style w:type="character" w:styleId="MarginTextChar" w:customStyle="1">
    <w:name w:val="Margin Text Char"/>
    <w:rPr>
      <w:rFonts w:ascii="Calibri" w:hAnsi="Calibri" w:eastAsia="STZhongsong" w:cs="Times New Roman"/>
      <w:szCs w:val="18"/>
      <w:lang w:eastAsia="zh-CN"/>
    </w:rPr>
  </w:style>
  <w:style w:type="character" w:styleId="GPSL2NumberedChar" w:customStyle="1">
    <w:name w:val="GPS L2 Numbered Char"/>
    <w:rPr>
      <w:rFonts w:ascii="Calibri" w:hAnsi="Calibri" w:eastAsia="Times New Roman" w:cs="Arial"/>
      <w:lang w:eastAsia="zh-CN"/>
    </w:rPr>
  </w:style>
  <w:style w:type="character" w:styleId="GPSL1SCHEDULEHeadingChar" w:customStyle="1">
    <w:name w:val="GPS L1 SCHEDULE Heading Char"/>
    <w:rPr>
      <w:rFonts w:ascii="Calibri" w:hAnsi="Calibri" w:eastAsia="STZhongsong" w:cs="Arial"/>
      <w:b/>
      <w:caps/>
      <w:lang w:eastAsia="zh-CN"/>
    </w:rPr>
  </w:style>
  <w:style w:type="character" w:styleId="GPSL1SchedulenumberedChar1" w:customStyle="1">
    <w:name w:val="GPS L1 Schedule numbered Char1"/>
    <w:rPr>
      <w:rFonts w:ascii="Calibri" w:hAnsi="Calibri" w:eastAsia="Times New Roman" w:cs="Arial"/>
    </w:rPr>
  </w:style>
  <w:style w:type="character" w:styleId="GPSL1GuidanceChar" w:customStyle="1">
    <w:name w:val="GPS L1 Guidance Char"/>
    <w:rPr>
      <w:rFonts w:ascii="Calibri" w:hAnsi="Calibri" w:eastAsia="Times New Roman" w:cs="Arial"/>
      <w:b/>
      <w:i/>
    </w:rPr>
  </w:style>
  <w:style w:type="character" w:styleId="GPSSchTitleandNumberChar" w:customStyle="1">
    <w:name w:val="GPS Sch Title and Number Char"/>
    <w:rPr>
      <w:rFonts w:ascii="Arial Bold" w:hAnsi="Arial Bold" w:eastAsia="STZhongsong" w:cs="Times New Roman"/>
      <w:b/>
      <w:caps/>
      <w:lang w:eastAsia="zh-CN"/>
    </w:rPr>
  </w:style>
  <w:style w:type="character" w:styleId="GPSSchPartChar" w:customStyle="1">
    <w:name w:val="GPS Sch Part Char"/>
    <w:rPr>
      <w:rFonts w:ascii="Arial Bold" w:hAnsi="Arial Bold" w:eastAsia="STZhongsong" w:cs="Times New Roman"/>
      <w:b/>
      <w:caps/>
      <w:lang w:eastAsia="zh-CN"/>
    </w:rPr>
  </w:style>
  <w:style w:type="character" w:styleId="BalloonTextChar" w:customStyle="1">
    <w:name w:val="Balloon Text Char"/>
    <w:basedOn w:val="DefaultParagraphFont"/>
    <w:rPr>
      <w:rFonts w:ascii="Tahoma" w:hAnsi="Tahoma" w:eastAsia="Times New Roman" w:cs="Tahoma"/>
      <w:sz w:val="16"/>
      <w:szCs w:val="16"/>
    </w:rPr>
  </w:style>
  <w:style w:type="character" w:styleId="GPSL4numberedclauseChar" w:customStyle="1">
    <w:name w:val="GPS L4 numbered clause Char"/>
    <w:rPr>
      <w:rFonts w:ascii="Calibri" w:hAnsi="Calibri" w:eastAsia="Times New Roman" w:cs="Arial"/>
      <w:lang w:eastAsia="zh-CN"/>
    </w:rPr>
  </w:style>
  <w:style w:type="character" w:styleId="GPSL3numberedclauseChar" w:customStyle="1">
    <w:name w:val="GPS L3 numbered clause Char"/>
    <w:rPr>
      <w:rFonts w:ascii="Calibri" w:hAnsi="Calibri" w:eastAsia="Times New Roman" w:cs="Arial"/>
      <w:lang w:eastAsia="zh-CN"/>
    </w:rPr>
  </w:style>
  <w:style w:type="character" w:styleId="GPSL5numberedclauseChar" w:customStyle="1">
    <w:name w:val="GPS L5 numbered clause Char"/>
    <w:rPr>
      <w:rFonts w:ascii="Calibri" w:hAnsi="Calibri" w:eastAsia="Times New Roman" w:cs="Arial"/>
      <w:lang w:eastAsia="zh-CN"/>
    </w:rPr>
  </w:style>
  <w:style w:type="character" w:styleId="GPSL4GuidanceChar" w:customStyle="1">
    <w:name w:val="GPS L4 Guidance Char"/>
    <w:rPr>
      <w:rFonts w:ascii="Calibri" w:hAnsi="Calibri" w:eastAsia="Times New Roman" w:cs="Arial"/>
      <w:b/>
      <w:i/>
      <w:lang w:eastAsia="zh-CN"/>
    </w:rPr>
  </w:style>
  <w:style w:type="character" w:styleId="GPSL2non-numberboldheadingChar" w:customStyle="1">
    <w:name w:val="GPS L2 non-number bold heading Char"/>
    <w:rPr>
      <w:rFonts w:ascii="Calibri" w:hAnsi="Calibri" w:eastAsia="Times New Roman" w:cs="Arial"/>
      <w:b/>
      <w:lang w:eastAsia="zh-CN"/>
    </w:rPr>
  </w:style>
  <w:style w:type="character" w:styleId="GPSL2IndentChar" w:customStyle="1">
    <w:name w:val="GPS L2 Indent Char"/>
    <w:rPr>
      <w:rFonts w:ascii="Calibri" w:hAnsi="Calibri" w:eastAsia="Times New Roman" w:cs="Arial"/>
      <w:szCs w:val="24"/>
    </w:rPr>
  </w:style>
  <w:style w:type="character" w:styleId="GPSL2GuidanceChar" w:customStyle="1">
    <w:name w:val="GPS L2 Guidance Char"/>
    <w:rPr>
      <w:rFonts w:ascii="Calibri" w:hAnsi="Calibri" w:eastAsia="Times New Roman" w:cs="Arial"/>
      <w:b/>
      <w:i/>
      <w:lang w:eastAsia="zh-CN"/>
    </w:rPr>
  </w:style>
  <w:style w:type="character" w:styleId="CommentReference">
    <w:name w:val="annotation reference"/>
    <w:basedOn w:val="DefaultParagraphFont"/>
    <w:rPr>
      <w:sz w:val="16"/>
      <w:szCs w:val="16"/>
    </w:rPr>
  </w:style>
  <w:style w:type="character" w:styleId="CommentTextChar" w:customStyle="1">
    <w:name w:val="Comment Text Char"/>
    <w:basedOn w:val="DefaultParagraphFont"/>
    <w:rPr>
      <w:rFonts w:ascii="Calibri" w:hAnsi="Calibri" w:eastAsia="Times New Roman" w:cs="Arial"/>
      <w:sz w:val="20"/>
      <w:szCs w:val="20"/>
    </w:rPr>
  </w:style>
  <w:style w:type="character" w:styleId="CommentSubjectChar" w:customStyle="1">
    <w:name w:val="Comment Subject Char"/>
    <w:basedOn w:val="CommentTextChar"/>
    <w:rPr>
      <w:rFonts w:ascii="Calibri" w:hAnsi="Calibri" w:eastAsia="Times New Roman" w:cs="Arial"/>
      <w:b/>
      <w:bCs/>
      <w:sz w:val="20"/>
      <w:szCs w:val="20"/>
    </w:rPr>
  </w:style>
  <w:style w:type="character" w:styleId="ListLabel1" w:customStyle="1">
    <w:name w:val="ListLabel 1"/>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2" w:customStyle="1">
    <w:name w:val="ListLabel 2"/>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3" w:customStyle="1">
    <w:name w:val="ListLabel 3"/>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4" w:customStyle="1">
    <w:name w:val="ListLabel 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5" w:customStyle="1">
    <w:name w:val="ListLabel 5"/>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6" w:customStyle="1">
    <w:name w:val="ListLabel 6"/>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7" w:customStyle="1">
    <w:name w:val="ListLabel 7"/>
    <w:rPr>
      <w:rFonts w:cs="Times New Roman"/>
    </w:rPr>
  </w:style>
  <w:style w:type="character" w:styleId="ListLabel8" w:customStyle="1">
    <w:name w:val="ListLabel 8"/>
    <w:rPr>
      <w:rFonts w:cs="Times New Roman"/>
    </w:rPr>
  </w:style>
  <w:style w:type="character" w:styleId="ListLabel9" w:customStyle="1">
    <w:name w:val="ListLabel 9"/>
    <w:rPr>
      <w:rFonts w:cs="Times New Roman"/>
    </w:rPr>
  </w:style>
  <w:style w:type="character" w:styleId="ListLabel10" w:customStyle="1">
    <w:name w:val="ListLabel 1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11" w:customStyle="1">
    <w:name w:val="ListLabel 11"/>
    <w:rPr>
      <w:rFonts w:cs="Times New Roman"/>
    </w:rPr>
  </w:style>
  <w:style w:type="character" w:styleId="ListLabel12" w:customStyle="1">
    <w:name w:val="ListLabel 12"/>
    <w:rPr>
      <w:rFonts w:cs="Times New Roman"/>
    </w:rPr>
  </w:style>
  <w:style w:type="character" w:styleId="ListLabel13" w:customStyle="1">
    <w:name w:val="ListLabel 13"/>
    <w:rPr>
      <w:rFonts w:cs="Times New Roman"/>
    </w:rPr>
  </w:style>
  <w:style w:type="character" w:styleId="ListLabel14" w:customStyle="1">
    <w:name w:val="ListLabel 14"/>
    <w:rPr>
      <w:rFonts w:cs="Times New Roman"/>
    </w:rPr>
  </w:style>
  <w:style w:type="character" w:styleId="ListLabel15" w:customStyle="1">
    <w:name w:val="ListLabel 15"/>
    <w:rPr>
      <w:rFonts w:cs="Times New Roman"/>
    </w:rPr>
  </w:style>
  <w:style w:type="character" w:styleId="ListLabel16" w:customStyle="1">
    <w:name w:val="ListLabel 16"/>
    <w:rPr>
      <w:rFonts w:cs="Times New Roman"/>
    </w:rPr>
  </w:style>
  <w:style w:type="character" w:styleId="ListLabel17" w:customStyle="1">
    <w:name w:val="ListLabel 17"/>
    <w:rPr>
      <w:rFonts w:cs="Times New Roman"/>
    </w:rPr>
  </w:style>
  <w:style w:type="character" w:styleId="ListLabel18" w:customStyle="1">
    <w:name w:val="ListLabel 18"/>
    <w:rPr>
      <w:rFonts w:cs="Times New Roman"/>
    </w:rPr>
  </w:style>
  <w:style w:type="character" w:styleId="ListLabel19" w:customStyle="1">
    <w:name w:val="ListLabel 1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20" w:customStyle="1">
    <w:name w:val="ListLabel 20"/>
    <w:rPr>
      <w:rFonts w:cs="Times New Roman"/>
    </w:rPr>
  </w:style>
  <w:style w:type="character" w:styleId="ListLabel21" w:customStyle="1">
    <w:name w:val="ListLabel 21"/>
    <w:rPr>
      <w:rFonts w:cs="Times New Roman"/>
    </w:rPr>
  </w:style>
  <w:style w:type="character" w:styleId="ListLabel22" w:customStyle="1">
    <w:name w:val="ListLabel 22"/>
    <w:rPr>
      <w:rFonts w:cs="Times New Roman"/>
    </w:rPr>
  </w:style>
  <w:style w:type="character" w:styleId="ListLabel23" w:customStyle="1">
    <w:name w:val="ListLabel 23"/>
    <w:rPr>
      <w:rFonts w:cs="Times New Roman"/>
    </w:rPr>
  </w:style>
  <w:style w:type="character" w:styleId="ListLabel24" w:customStyle="1">
    <w:name w:val="ListLabel 24"/>
    <w:rPr>
      <w:rFonts w:cs="Times New Roman"/>
    </w:rPr>
  </w:style>
  <w:style w:type="character" w:styleId="ListLabel25" w:customStyle="1">
    <w:name w:val="ListLabel 25"/>
    <w:rPr>
      <w:rFonts w:cs="Times New Roman"/>
    </w:rPr>
  </w:style>
  <w:style w:type="character" w:styleId="ListLabel26" w:customStyle="1">
    <w:name w:val="ListLabel 26"/>
    <w:rPr>
      <w:rFonts w:cs="Times New Roman"/>
    </w:rPr>
  </w:style>
  <w:style w:type="character" w:styleId="ListLabel27" w:customStyle="1">
    <w:name w:val="ListLabel 27"/>
    <w:rPr>
      <w:rFonts w:cs="Times New Roman"/>
    </w:rPr>
  </w:style>
  <w:style w:type="character" w:styleId="ListLabel28" w:customStyle="1">
    <w:name w:val="ListLabel 28"/>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29" w:customStyle="1">
    <w:name w:val="ListLabel 2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30" w:customStyle="1">
    <w:name w:val="ListLabel 3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31" w:customStyle="1">
    <w:name w:val="ListLabel 31"/>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32" w:customStyle="1">
    <w:name w:val="ListLabel 32"/>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33" w:customStyle="1">
    <w:name w:val="ListLabel 33"/>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34" w:customStyle="1">
    <w:name w:val="ListLabel 34"/>
    <w:rPr>
      <w:rFonts w:cs="Times New Roman"/>
    </w:rPr>
  </w:style>
  <w:style w:type="character" w:styleId="ListLabel35" w:customStyle="1">
    <w:name w:val="ListLabel 35"/>
    <w:rPr>
      <w:rFonts w:cs="Times New Roman"/>
    </w:rPr>
  </w:style>
  <w:style w:type="character" w:styleId="ListLabel36" w:customStyle="1">
    <w:name w:val="ListLabel 36"/>
    <w:rPr>
      <w:rFonts w:cs="Times New Roman"/>
    </w:rPr>
  </w:style>
  <w:style w:type="character" w:styleId="ListLabel37" w:customStyle="1">
    <w:name w:val="ListLabel 37"/>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38" w:customStyle="1">
    <w:name w:val="ListLabel 3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39" w:customStyle="1">
    <w:name w:val="ListLabel 3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40" w:customStyle="1">
    <w:name w:val="ListLabel 40"/>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41" w:customStyle="1">
    <w:name w:val="ListLabel 41"/>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42" w:customStyle="1">
    <w:name w:val="ListLabel 42"/>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43" w:customStyle="1">
    <w:name w:val="ListLabel 43"/>
    <w:rPr>
      <w:rFonts w:cs="Times New Roman"/>
    </w:rPr>
  </w:style>
  <w:style w:type="character" w:styleId="ListLabel44" w:customStyle="1">
    <w:name w:val="ListLabel 44"/>
    <w:rPr>
      <w:rFonts w:cs="Times New Roman"/>
    </w:rPr>
  </w:style>
  <w:style w:type="character" w:styleId="ListLabel45" w:customStyle="1">
    <w:name w:val="ListLabel 45"/>
    <w:rPr>
      <w:rFonts w:cs="Times New Roman"/>
    </w:rPr>
  </w:style>
  <w:style w:type="character" w:styleId="ListLabel46" w:customStyle="1">
    <w:name w:val="ListLabel 46"/>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47" w:customStyle="1">
    <w:name w:val="ListLabel 47"/>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48" w:customStyle="1">
    <w:name w:val="ListLabel 4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49" w:customStyle="1">
    <w:name w:val="ListLabel 49"/>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50" w:customStyle="1">
    <w:name w:val="ListLabel 50"/>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51" w:customStyle="1">
    <w:name w:val="ListLabel 51"/>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52" w:customStyle="1">
    <w:name w:val="ListLabel 52"/>
    <w:rPr>
      <w:rFonts w:cs="Times New Roman"/>
    </w:rPr>
  </w:style>
  <w:style w:type="character" w:styleId="ListLabel53" w:customStyle="1">
    <w:name w:val="ListLabel 53"/>
    <w:rPr>
      <w:rFonts w:cs="Times New Roman"/>
    </w:rPr>
  </w:style>
  <w:style w:type="character" w:styleId="ListLabel54" w:customStyle="1">
    <w:name w:val="ListLabel 54"/>
    <w:rPr>
      <w:rFonts w:cs="Times New Roman"/>
    </w:rPr>
  </w:style>
  <w:style w:type="character" w:styleId="ListLabel55" w:customStyle="1">
    <w:name w:val="ListLabel 55"/>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56" w:customStyle="1">
    <w:name w:val="ListLabel 56"/>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57" w:customStyle="1">
    <w:name w:val="ListLabel 57"/>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58" w:customStyle="1">
    <w:name w:val="ListLabel 58"/>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59" w:customStyle="1">
    <w:name w:val="ListLabel 59"/>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60" w:customStyle="1">
    <w:name w:val="ListLabel 60"/>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61" w:customStyle="1">
    <w:name w:val="ListLabel 61"/>
    <w:rPr>
      <w:rFonts w:cs="Times New Roman"/>
    </w:rPr>
  </w:style>
  <w:style w:type="character" w:styleId="ListLabel62" w:customStyle="1">
    <w:name w:val="ListLabel 62"/>
    <w:rPr>
      <w:rFonts w:cs="Times New Roman"/>
    </w:rPr>
  </w:style>
  <w:style w:type="character" w:styleId="ListLabel63" w:customStyle="1">
    <w:name w:val="ListLabel 63"/>
    <w:rPr>
      <w:rFonts w:cs="Times New Roman"/>
    </w:rPr>
  </w:style>
  <w:style w:type="character" w:styleId="ListLabel64" w:customStyle="1">
    <w:name w:val="ListLabel 64"/>
    <w:rPr>
      <w:rFonts w:cs="Courier New"/>
      <w:b w:val="0"/>
    </w:rPr>
  </w:style>
  <w:style w:type="character" w:styleId="ListLabel65" w:customStyle="1">
    <w:name w:val="ListLabel 65"/>
    <w:rPr>
      <w:rFonts w:cs="Courier New"/>
    </w:rPr>
  </w:style>
  <w:style w:type="character" w:styleId="ListLabel66" w:customStyle="1">
    <w:name w:val="ListLabel 66"/>
    <w:rPr>
      <w:rFonts w:cs="Courier New"/>
    </w:rPr>
  </w:style>
  <w:style w:type="character" w:styleId="ListLabel67" w:customStyle="1">
    <w:name w:val="ListLabel 67"/>
    <w:rPr>
      <w:rFonts w:cs="Courier New"/>
    </w:rPr>
  </w:style>
  <w:style w:type="character" w:styleId="ListLabel68" w:customStyle="1">
    <w:name w:val="ListLabel 68"/>
    <w:rPr>
      <w:rFonts w:cs="Courier New"/>
    </w:rPr>
  </w:style>
  <w:style w:type="character" w:styleId="ListLabel69" w:customStyle="1">
    <w:name w:val="ListLabel 69"/>
    <w:rPr>
      <w:rFonts w:cs="Courier New"/>
    </w:rPr>
  </w:style>
  <w:style w:type="character" w:styleId="ListLabel70" w:customStyle="1">
    <w:name w:val="ListLabel 70"/>
    <w:rPr>
      <w:rFonts w:cs="Courier New"/>
    </w:rPr>
  </w:style>
  <w:style w:type="character" w:styleId="ListLabel71" w:customStyle="1">
    <w:name w:val="ListLabel 71"/>
    <w:rPr>
      <w:rFonts w:cs="Courier New"/>
    </w:rPr>
  </w:style>
  <w:style w:type="character" w:styleId="ListLabel72" w:customStyle="1">
    <w:name w:val="ListLabel 72"/>
    <w:rPr>
      <w:rFonts w:cs="Courier New"/>
    </w:rPr>
  </w:style>
  <w:style w:type="character" w:styleId="ListLabel73" w:customStyle="1">
    <w:name w:val="ListLabel 73"/>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74" w:customStyle="1">
    <w:name w:val="ListLabel 7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75" w:customStyle="1">
    <w:name w:val="ListLabel 75"/>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76" w:customStyle="1">
    <w:name w:val="ListLabel 76"/>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77" w:customStyle="1">
    <w:name w:val="ListLabel 77"/>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78" w:customStyle="1">
    <w:name w:val="ListLabel 78"/>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79" w:customStyle="1">
    <w:name w:val="ListLabel 79"/>
    <w:rPr>
      <w:rFonts w:cs="Times New Roman"/>
    </w:rPr>
  </w:style>
  <w:style w:type="character" w:styleId="ListLabel80" w:customStyle="1">
    <w:name w:val="ListLabel 80"/>
    <w:rPr>
      <w:rFonts w:cs="Times New Roman"/>
    </w:rPr>
  </w:style>
  <w:style w:type="character" w:styleId="ListLabel81" w:customStyle="1">
    <w:name w:val="ListLabel 81"/>
    <w:rPr>
      <w:rFonts w:cs="Times New Roman"/>
    </w:rPr>
  </w:style>
  <w:style w:type="character" w:styleId="ListLabel82" w:customStyle="1">
    <w:name w:val="ListLabel 82"/>
    <w:rPr>
      <w:rFonts w:cs="Arial"/>
      <w:b/>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83" w:customStyle="1">
    <w:name w:val="ListLabel 83"/>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84" w:customStyle="1">
    <w:name w:val="ListLabel 84"/>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85" w:customStyle="1">
    <w:name w:val="ListLabel 85"/>
    <w:rPr>
      <w:rFonts w:cs="Arial"/>
      <w:b w:val="0"/>
      <w:bCs w:val="0"/>
      <w:i w:val="0"/>
      <w:iCs w:val="0"/>
      <w:caps w:val="0"/>
      <w:smallCaps w:val="0"/>
      <w:strike w:val="0"/>
      <w:dstrike w:val="0"/>
      <w:vanish w:val="0"/>
      <w:color w:val="00000A"/>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ListLabel86" w:customStyle="1">
    <w:name w:val="ListLabel 86"/>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87" w:customStyle="1">
    <w:name w:val="ListLabel 87"/>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ListLabel88" w:customStyle="1">
    <w:name w:val="ListLabel 88"/>
    <w:rPr>
      <w:rFonts w:cs="Times New Roman"/>
    </w:rPr>
  </w:style>
  <w:style w:type="character" w:styleId="ListLabel89" w:customStyle="1">
    <w:name w:val="ListLabel 89"/>
    <w:rPr>
      <w:rFonts w:cs="Times New Roman"/>
    </w:rPr>
  </w:style>
  <w:style w:type="character" w:styleId="ListLabel90" w:customStyle="1">
    <w:name w:val="ListLabel 90"/>
    <w:rPr>
      <w:rFonts w:cs="Times New Roman"/>
    </w:rPr>
  </w:style>
  <w:style w:type="numbering" w:styleId="NoList1" w:customStyle="1">
    <w:name w:val="No List_1"/>
    <w:basedOn w:val="NoList"/>
  </w:style>
  <w:style w:type="numbering" w:styleId="WWNum1" w:customStyle="1">
    <w:name w:val="WWNum1"/>
    <w:basedOn w:val="NoList"/>
  </w:style>
  <w:style w:type="numbering" w:styleId="WWNum2" w:customStyle="1">
    <w:name w:val="WWNum2"/>
    <w:basedOn w:val="NoList"/>
  </w:style>
  <w:style w:type="numbering" w:styleId="WWNum3" w:customStyle="1">
    <w:name w:val="WWNum3"/>
    <w:basedOn w:val="NoList"/>
  </w:style>
  <w:style w:type="numbering" w:styleId="WWNum4" w:customStyle="1">
    <w:name w:val="WWNum4"/>
    <w:basedOn w:val="NoList"/>
  </w:style>
  <w:style w:type="numbering" w:styleId="WWNum5" w:customStyle="1">
    <w:name w:val="WWNum5"/>
    <w:basedOn w:val="NoList"/>
  </w:style>
  <w:style w:type="numbering" w:styleId="WWNum6" w:customStyle="1">
    <w:name w:val="WWNum6"/>
    <w:basedOn w:val="NoList"/>
  </w:style>
  <w:style w:type="numbering" w:styleId="WWNum7" w:customStyle="1">
    <w:name w:val="WWNum7"/>
    <w:basedOn w:val="NoList"/>
  </w:style>
  <w:style w:type="numbering" w:styleId="WWNum8" w:customStyle="1">
    <w:name w:val="WWNum8"/>
    <w:basedOn w:val="NoList"/>
  </w:style>
  <w:style w:type="numbering" w:styleId="WWNum9" w:customStyle="1">
    <w:name w:val="WWNum9"/>
    <w:basedOn w:val="NoList"/>
  </w:style>
  <w:style w:type="numbering" w:styleId="WWNum10" w:customStyle="1">
    <w:name w:val="WWNum10"/>
    <w:basedOn w:val="NoList"/>
  </w:style>
  <w:style w:type="numbering" w:styleId="WWNum11" w:customStyle="1">
    <w:name w:val="WWNum11"/>
    <w:basedOn w:val="NoList"/>
  </w:style>
  <w:style w:type="numbering" w:styleId="WWNum12" w:customStyle="1">
    <w:name w:val="WWNum12"/>
    <w:basedOn w:val="NoList"/>
  </w:style>
  <w:style w:type="numbering" w:styleId="WWNum13" w:customStyle="1">
    <w:name w:val="WWNum13"/>
    <w:basedOn w:val="NoList"/>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TFRNoyIY7obA1ZEFzF3u6CnMTg==">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</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DC80FE-6634-4CB3-83B5-3482FDF0F592}"/>
</file>

<file path=customXml/itemProps3.xml><?xml version="1.0" encoding="utf-8"?>
<ds:datastoreItem xmlns:ds="http://schemas.openxmlformats.org/officeDocument/2006/customXml" ds:itemID="{02F03550-998A-4C5E-BB24-8E46F8B4413E}"/>
</file>

<file path=customXml/itemProps4.xml><?xml version="1.0" encoding="utf-8"?>
<ds:datastoreItem xmlns:ds="http://schemas.openxmlformats.org/officeDocument/2006/customXml" ds:itemID="{5BB6060B-5DAE-448E-B839-91217A601B4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Cabinet Office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Peter Hanlon</dc:creator>
  <lastModifiedBy>Liz Hobson</lastModifiedBy>
  <revision>3</revision>
  <lastPrinted>2020-02-12T16:18:00.0000000Z</lastPrinted>
  <dcterms:created xsi:type="dcterms:W3CDTF">2021-06-30T09:42:00.0000000Z</dcterms:created>
  <dcterms:modified xsi:type="dcterms:W3CDTF">2021-07-13T15:20:25.7709789Z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CurrentVersion">
    <vt:lpwstr>15 November 2017 D1V4</vt:lpwstr>
  </property>
  <property fmtid="{D5CDD505-2E9C-101B-9397-08002B2CF9AE}" pid="9" name="ContentTypeId">
    <vt:lpwstr>0x010100DABEEA943F9FB541A5AA9DC9E9C180D5</vt:lpwstr>
  </property>
</Properties>
</file>