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88C75" w14:textId="77777777" w:rsidR="00120B3E" w:rsidRDefault="00296198">
      <w:pPr>
        <w:keepNext/>
        <w:jc w:val="left"/>
        <w:rPr>
          <w:rFonts w:ascii="Arial" w:eastAsia="Arial" w:hAnsi="Arial"/>
          <w:b/>
          <w:sz w:val="36"/>
          <w:szCs w:val="36"/>
        </w:rPr>
      </w:pPr>
      <w:bookmarkStart w:id="0" w:name="_heading=h.gjdgxs" w:colFirst="0" w:colLast="0"/>
      <w:bookmarkEnd w:id="0"/>
      <w:r>
        <w:rPr>
          <w:rFonts w:ascii="Arial" w:eastAsia="Arial" w:hAnsi="Arial"/>
          <w:b/>
          <w:sz w:val="36"/>
          <w:szCs w:val="36"/>
        </w:rPr>
        <w:t>Order Schedule 16 (Benchmarking)</w:t>
      </w:r>
    </w:p>
    <w:p w14:paraId="61D88C76" w14:textId="77777777" w:rsidR="00120B3E" w:rsidRDefault="00296198">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w:eastAsia="Arial" w:hAnsi="Arial"/>
          <w:b/>
          <w:smallCaps/>
          <w:color w:val="000000"/>
          <w:sz w:val="24"/>
          <w:szCs w:val="24"/>
        </w:rPr>
        <w:t>DEFINITIONS</w:t>
      </w:r>
    </w:p>
    <w:p w14:paraId="61D88C77" w14:textId="77777777" w:rsidR="00120B3E" w:rsidRDefault="00296198">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In this Schedule, the following expressions shall have the following meanings:</w:t>
      </w:r>
    </w:p>
    <w:tbl>
      <w:tblPr>
        <w:tblStyle w:val="a"/>
        <w:tblW w:w="8042" w:type="dxa"/>
        <w:tblInd w:w="1008" w:type="dxa"/>
        <w:tblLayout w:type="fixed"/>
        <w:tblLook w:val="0400" w:firstRow="0" w:lastRow="0" w:firstColumn="0" w:lastColumn="0" w:noHBand="0" w:noVBand="1"/>
      </w:tblPr>
      <w:tblGrid>
        <w:gridCol w:w="2900"/>
        <w:gridCol w:w="5142"/>
      </w:tblGrid>
      <w:tr w:rsidR="00120B3E" w14:paraId="61D88C7A" w14:textId="77777777">
        <w:tc>
          <w:tcPr>
            <w:tcW w:w="2900" w:type="dxa"/>
            <w:shd w:val="clear" w:color="auto" w:fill="auto"/>
          </w:tcPr>
          <w:p w14:paraId="61D88C78" w14:textId="77777777" w:rsidR="00120B3E" w:rsidRDefault="00296198">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t>"Benchmark Review"</w:t>
            </w:r>
          </w:p>
        </w:tc>
        <w:tc>
          <w:tcPr>
            <w:tcW w:w="5142" w:type="dxa"/>
            <w:shd w:val="clear" w:color="auto" w:fill="auto"/>
          </w:tcPr>
          <w:p w14:paraId="61D88C79" w14:textId="77777777" w:rsidR="00120B3E" w:rsidRDefault="00296198">
            <w:pPr>
              <w:numPr>
                <w:ilvl w:val="0"/>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a review of the Deliverables carried out in accordance with this Schedule to determine whether those Deliverables represent Good Value;</w:t>
            </w:r>
          </w:p>
        </w:tc>
      </w:tr>
      <w:tr w:rsidR="00120B3E" w14:paraId="61D88C7D" w14:textId="77777777">
        <w:tc>
          <w:tcPr>
            <w:tcW w:w="2900" w:type="dxa"/>
            <w:shd w:val="clear" w:color="auto" w:fill="auto"/>
          </w:tcPr>
          <w:p w14:paraId="61D88C7B" w14:textId="77777777" w:rsidR="00120B3E" w:rsidRDefault="00296198">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t>"Benchmarked Deliverables"</w:t>
            </w:r>
          </w:p>
        </w:tc>
        <w:tc>
          <w:tcPr>
            <w:tcW w:w="5142" w:type="dxa"/>
            <w:shd w:val="clear" w:color="auto" w:fill="auto"/>
          </w:tcPr>
          <w:p w14:paraId="61D88C7C" w14:textId="77777777" w:rsidR="00120B3E" w:rsidRDefault="00296198">
            <w:pPr>
              <w:numPr>
                <w:ilvl w:val="0"/>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any Deliverables included within the scope of a Benchmark Review pursuant to this Schedule;</w:t>
            </w:r>
          </w:p>
        </w:tc>
      </w:tr>
      <w:tr w:rsidR="00120B3E" w14:paraId="61D88C80" w14:textId="77777777">
        <w:tc>
          <w:tcPr>
            <w:tcW w:w="2900" w:type="dxa"/>
            <w:shd w:val="clear" w:color="auto" w:fill="auto"/>
          </w:tcPr>
          <w:p w14:paraId="61D88C7E" w14:textId="77777777" w:rsidR="00120B3E" w:rsidRDefault="00296198">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t>"Comparable Rates"</w:t>
            </w:r>
          </w:p>
        </w:tc>
        <w:tc>
          <w:tcPr>
            <w:tcW w:w="5142" w:type="dxa"/>
            <w:shd w:val="clear" w:color="auto" w:fill="auto"/>
          </w:tcPr>
          <w:p w14:paraId="61D88C7F" w14:textId="77777777" w:rsidR="00120B3E" w:rsidRDefault="00296198">
            <w:pPr>
              <w:numPr>
                <w:ilvl w:val="0"/>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the Charges for Comparable Deliverables;</w:t>
            </w:r>
          </w:p>
        </w:tc>
      </w:tr>
      <w:tr w:rsidR="00120B3E" w14:paraId="61D88C83" w14:textId="77777777">
        <w:tc>
          <w:tcPr>
            <w:tcW w:w="2900" w:type="dxa"/>
            <w:shd w:val="clear" w:color="auto" w:fill="auto"/>
          </w:tcPr>
          <w:p w14:paraId="61D88C81" w14:textId="77777777" w:rsidR="00120B3E" w:rsidRDefault="00296198">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t>"Comparable Deliverables"</w:t>
            </w:r>
          </w:p>
        </w:tc>
        <w:tc>
          <w:tcPr>
            <w:tcW w:w="5142" w:type="dxa"/>
            <w:shd w:val="clear" w:color="auto" w:fill="auto"/>
          </w:tcPr>
          <w:p w14:paraId="61D88C82" w14:textId="77777777" w:rsidR="00120B3E" w:rsidRDefault="00296198">
            <w:pPr>
              <w:numPr>
                <w:ilvl w:val="0"/>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 xml:space="preserve">deliverables that are identical or materially </w:t>
            </w:r>
            <w:proofErr w:type="gramStart"/>
            <w:r>
              <w:rPr>
                <w:rFonts w:ascii="Arial" w:eastAsia="Arial" w:hAnsi="Arial"/>
                <w:color w:val="000000"/>
                <w:sz w:val="24"/>
                <w:szCs w:val="24"/>
              </w:rPr>
              <w:t>similar to</w:t>
            </w:r>
            <w:proofErr w:type="gramEnd"/>
            <w:r>
              <w:rPr>
                <w:rFonts w:ascii="Arial" w:eastAsia="Arial" w:hAnsi="Arial"/>
                <w:color w:val="000000"/>
                <w:sz w:val="24"/>
                <w:szCs w:val="24"/>
              </w:rPr>
              <w:t xml:space="preserve"> the Benchmarked Deliverables (including in terms of scope, specification, volume and quality of performance) provided that if no identical or materially similar Deliverables exist in the market, the Supplier shall propose an approach for developing a comparable Deliverables benchmark;</w:t>
            </w:r>
          </w:p>
        </w:tc>
      </w:tr>
      <w:tr w:rsidR="00120B3E" w14:paraId="61D88C86" w14:textId="77777777">
        <w:tc>
          <w:tcPr>
            <w:tcW w:w="2900" w:type="dxa"/>
            <w:shd w:val="clear" w:color="auto" w:fill="auto"/>
          </w:tcPr>
          <w:p w14:paraId="61D88C84" w14:textId="77777777" w:rsidR="00120B3E" w:rsidRDefault="00296198">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t>"Comparison Group"</w:t>
            </w:r>
          </w:p>
        </w:tc>
        <w:tc>
          <w:tcPr>
            <w:tcW w:w="5142" w:type="dxa"/>
            <w:shd w:val="clear" w:color="auto" w:fill="auto"/>
          </w:tcPr>
          <w:p w14:paraId="61D88C85" w14:textId="77777777" w:rsidR="00120B3E" w:rsidRDefault="00296198">
            <w:pPr>
              <w:numPr>
                <w:ilvl w:val="0"/>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 xml:space="preserve">a sample group of organisations providing Comparable Deliverables which consists of organisations which are either of similar size to the Supplier or which are similarly structured in terms of their business and their service offering </w:t>
            </w:r>
            <w:proofErr w:type="gramStart"/>
            <w:r>
              <w:rPr>
                <w:rFonts w:ascii="Arial" w:eastAsia="Arial" w:hAnsi="Arial"/>
                <w:color w:val="000000"/>
                <w:sz w:val="24"/>
                <w:szCs w:val="24"/>
              </w:rPr>
              <w:t>so as to</w:t>
            </w:r>
            <w:proofErr w:type="gramEnd"/>
            <w:r>
              <w:rPr>
                <w:rFonts w:ascii="Arial" w:eastAsia="Arial" w:hAnsi="Arial"/>
                <w:color w:val="000000"/>
                <w:sz w:val="24"/>
                <w:szCs w:val="24"/>
              </w:rPr>
              <w:t xml:space="preserve"> be fair comparators with the Supplier or which, are best practice organisations;</w:t>
            </w:r>
          </w:p>
        </w:tc>
      </w:tr>
      <w:tr w:rsidR="00120B3E" w14:paraId="61D88C89" w14:textId="77777777">
        <w:tc>
          <w:tcPr>
            <w:tcW w:w="2900" w:type="dxa"/>
            <w:shd w:val="clear" w:color="auto" w:fill="auto"/>
          </w:tcPr>
          <w:p w14:paraId="61D88C87" w14:textId="77777777" w:rsidR="00120B3E" w:rsidRDefault="00296198">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t>"Equivalent Data"</w:t>
            </w:r>
          </w:p>
        </w:tc>
        <w:tc>
          <w:tcPr>
            <w:tcW w:w="5142" w:type="dxa"/>
            <w:shd w:val="clear" w:color="auto" w:fill="auto"/>
          </w:tcPr>
          <w:p w14:paraId="61D88C88" w14:textId="77777777" w:rsidR="00120B3E" w:rsidRDefault="00296198">
            <w:pPr>
              <w:numPr>
                <w:ilvl w:val="0"/>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data derived from an analysis of the Comparable Rates and/or the Comparable Deliverables (as applicable) provided by the Comparison Group;</w:t>
            </w:r>
          </w:p>
        </w:tc>
      </w:tr>
      <w:tr w:rsidR="00120B3E" w14:paraId="61D88C8C" w14:textId="77777777">
        <w:tc>
          <w:tcPr>
            <w:tcW w:w="2900" w:type="dxa"/>
            <w:shd w:val="clear" w:color="auto" w:fill="auto"/>
          </w:tcPr>
          <w:p w14:paraId="61D88C8A" w14:textId="77777777" w:rsidR="00120B3E" w:rsidRDefault="00296198">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t>"Good Value"</w:t>
            </w:r>
          </w:p>
        </w:tc>
        <w:tc>
          <w:tcPr>
            <w:tcW w:w="5142" w:type="dxa"/>
            <w:shd w:val="clear" w:color="auto" w:fill="auto"/>
          </w:tcPr>
          <w:p w14:paraId="61D88C8B" w14:textId="77777777" w:rsidR="00120B3E" w:rsidRDefault="00296198">
            <w:pPr>
              <w:numPr>
                <w:ilvl w:val="0"/>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that the Benchmarked Rates are within the Upper Quartile; and</w:t>
            </w:r>
          </w:p>
        </w:tc>
      </w:tr>
      <w:tr w:rsidR="00120B3E" w14:paraId="61D88C8F" w14:textId="77777777">
        <w:tc>
          <w:tcPr>
            <w:tcW w:w="2900" w:type="dxa"/>
            <w:shd w:val="clear" w:color="auto" w:fill="auto"/>
          </w:tcPr>
          <w:p w14:paraId="61D88C8D" w14:textId="77777777" w:rsidR="00120B3E" w:rsidRDefault="00296198">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t>"Upper Quartile"</w:t>
            </w:r>
          </w:p>
        </w:tc>
        <w:tc>
          <w:tcPr>
            <w:tcW w:w="5142" w:type="dxa"/>
            <w:shd w:val="clear" w:color="auto" w:fill="auto"/>
          </w:tcPr>
          <w:p w14:paraId="61D88C8E" w14:textId="77777777" w:rsidR="00120B3E" w:rsidRDefault="00296198">
            <w:pPr>
              <w:numPr>
                <w:ilvl w:val="0"/>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in respect of Benchmarked Rates, that based on an analysis of Equivalent Data, the Benchmarked Rates, as compared to the range of prices for Comparable Deliverables, are within the top 25% in terms of best value for money for the recipients of Comparable Deliverables.</w:t>
            </w:r>
          </w:p>
        </w:tc>
      </w:tr>
    </w:tbl>
    <w:p w14:paraId="61D88C90" w14:textId="77777777" w:rsidR="00120B3E" w:rsidRDefault="00296198">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Bold" w:eastAsia="Arial Bold" w:hAnsi="Arial Bold" w:cs="Arial Bold"/>
          <w:b/>
          <w:color w:val="000000"/>
          <w:sz w:val="24"/>
          <w:szCs w:val="24"/>
        </w:rPr>
        <w:lastRenderedPageBreak/>
        <w:t>When you should use this Schedule</w:t>
      </w:r>
    </w:p>
    <w:p w14:paraId="61D88C91" w14:textId="77777777" w:rsidR="00120B3E" w:rsidRDefault="00296198">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b/>
          <w:color w:val="000000"/>
          <w:sz w:val="24"/>
          <w:szCs w:val="24"/>
        </w:rPr>
      </w:pPr>
      <w:r>
        <w:rPr>
          <w:rFonts w:ascii="Arial" w:eastAsia="Arial" w:hAnsi="Arial"/>
          <w:color w:val="000000"/>
          <w:sz w:val="24"/>
          <w:szCs w:val="24"/>
        </w:rPr>
        <w:t xml:space="preserve">The Supplier acknowledges that the Buyer wishes to ensure that the Deliverables, represent value for money to the taxpayer throughout the Contract Period.  </w:t>
      </w:r>
    </w:p>
    <w:p w14:paraId="61D88C92" w14:textId="77777777" w:rsidR="00120B3E" w:rsidRDefault="00296198">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This Schedule sets to ensure the Contracts represent value for money throughout and that the Buyer may terminate the Contract by issuing a Termination Notice to the Supplier if the Supplier refuses or fails to comply with its obligations as set out in Paragraphs 3 of this Schedule.</w:t>
      </w:r>
    </w:p>
    <w:p w14:paraId="61D88C93" w14:textId="77777777" w:rsidR="00120B3E" w:rsidRDefault="00296198">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Amounts payable under this Schedule shall not fall within the definition of a Cost.</w:t>
      </w:r>
    </w:p>
    <w:p w14:paraId="61D88C94" w14:textId="77777777" w:rsidR="00120B3E" w:rsidRDefault="00296198">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Benchmarking</w:t>
      </w:r>
    </w:p>
    <w:p w14:paraId="61D88C95" w14:textId="77777777" w:rsidR="00120B3E" w:rsidRDefault="00296198">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b/>
          <w:color w:val="000000"/>
          <w:sz w:val="24"/>
          <w:szCs w:val="24"/>
        </w:rPr>
      </w:pPr>
      <w:proofErr w:type="gramStart"/>
      <w:r>
        <w:rPr>
          <w:rFonts w:ascii="Arial" w:eastAsia="Arial" w:hAnsi="Arial"/>
          <w:b/>
          <w:color w:val="000000"/>
          <w:sz w:val="24"/>
          <w:szCs w:val="24"/>
        </w:rPr>
        <w:t>How</w:t>
      </w:r>
      <w:proofErr w:type="gramEnd"/>
      <w:r>
        <w:rPr>
          <w:rFonts w:ascii="Arial" w:eastAsia="Arial" w:hAnsi="Arial"/>
          <w:b/>
          <w:color w:val="000000"/>
          <w:sz w:val="24"/>
          <w:szCs w:val="24"/>
        </w:rPr>
        <w:t xml:space="preserve"> benchmarking works</w:t>
      </w:r>
    </w:p>
    <w:p w14:paraId="61D88C96" w14:textId="77777777" w:rsidR="00120B3E" w:rsidRDefault="00296198">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The Buyer and the Supplier recognise that, where specified in DPS Schedule 4 (DPS Management), the Buyer may give CCS the right to enforce the Buyer's rights under this Schedule.</w:t>
      </w:r>
    </w:p>
    <w:p w14:paraId="61D88C97" w14:textId="77777777" w:rsidR="00120B3E" w:rsidRDefault="00296198">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The Buyer may, by written notice to the Supplier, require a Benchmark Review of any or </w:t>
      </w:r>
      <w:proofErr w:type="gramStart"/>
      <w:r>
        <w:rPr>
          <w:rFonts w:ascii="Arial" w:eastAsia="Arial" w:hAnsi="Arial"/>
          <w:color w:val="000000"/>
          <w:sz w:val="24"/>
          <w:szCs w:val="24"/>
        </w:rPr>
        <w:t>all of</w:t>
      </w:r>
      <w:proofErr w:type="gramEnd"/>
      <w:r>
        <w:rPr>
          <w:rFonts w:ascii="Arial" w:eastAsia="Arial" w:hAnsi="Arial"/>
          <w:color w:val="000000"/>
          <w:sz w:val="24"/>
          <w:szCs w:val="24"/>
        </w:rPr>
        <w:t xml:space="preserve"> the Deliverables.</w:t>
      </w:r>
    </w:p>
    <w:p w14:paraId="61D88C98" w14:textId="77777777" w:rsidR="00120B3E" w:rsidRDefault="00296198">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The Buyer shall not be entitled to request a Benchmark Review during the first six (6) Month period from the Contract Start Date or at intervals of less than twelve (12) Months after any previous Benchmark Review. </w:t>
      </w:r>
    </w:p>
    <w:p w14:paraId="61D88C99" w14:textId="77777777" w:rsidR="00120B3E" w:rsidRDefault="00296198">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The purpose of a Benchmark Review will be to establish whether the Benchmarked Deliverables are, individually and/</w:t>
      </w:r>
      <w:proofErr w:type="gramStart"/>
      <w:r>
        <w:rPr>
          <w:rFonts w:ascii="Arial" w:eastAsia="Arial" w:hAnsi="Arial"/>
          <w:color w:val="000000"/>
          <w:sz w:val="24"/>
          <w:szCs w:val="24"/>
        </w:rPr>
        <w:t>or as a whole, Good</w:t>
      </w:r>
      <w:proofErr w:type="gramEnd"/>
      <w:r>
        <w:rPr>
          <w:rFonts w:ascii="Arial" w:eastAsia="Arial" w:hAnsi="Arial"/>
          <w:color w:val="000000"/>
          <w:sz w:val="24"/>
          <w:szCs w:val="24"/>
        </w:rPr>
        <w:t xml:space="preserve"> Value.</w:t>
      </w:r>
    </w:p>
    <w:p w14:paraId="61D88C9A" w14:textId="77777777" w:rsidR="00120B3E" w:rsidRDefault="00296198">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The Deliverables that are to be the Benchmarked Deliverables will be identified by the Buyer in writing.</w:t>
      </w:r>
    </w:p>
    <w:p w14:paraId="61D88C9B" w14:textId="77777777" w:rsidR="00120B3E" w:rsidRDefault="00296198">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Upon its request for a Benchmark Review the Buyer shall nominate a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The Supplier must approve the nomination within ten (10) Working Days unless the Supplier provides a reasonable explanation for rejecting the appointment.   If the appointment is </w:t>
      </w:r>
      <w:proofErr w:type="gramStart"/>
      <w:r>
        <w:rPr>
          <w:rFonts w:ascii="Arial" w:eastAsia="Arial" w:hAnsi="Arial"/>
          <w:color w:val="000000"/>
          <w:sz w:val="24"/>
          <w:szCs w:val="24"/>
        </w:rPr>
        <w:t>rejected</w:t>
      </w:r>
      <w:proofErr w:type="gramEnd"/>
      <w:r>
        <w:rPr>
          <w:rFonts w:ascii="Arial" w:eastAsia="Arial" w:hAnsi="Arial"/>
          <w:color w:val="000000"/>
          <w:sz w:val="24"/>
          <w:szCs w:val="24"/>
        </w:rPr>
        <w:t xml:space="preserve"> then the Buyer may propose an alternative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If the Parties cannot agree the appointment within twenty (20) days of the initial request for Benchmark </w:t>
      </w:r>
      <w:proofErr w:type="gramStart"/>
      <w:r>
        <w:rPr>
          <w:rFonts w:ascii="Arial" w:eastAsia="Arial" w:hAnsi="Arial"/>
          <w:color w:val="000000"/>
          <w:sz w:val="24"/>
          <w:szCs w:val="24"/>
        </w:rPr>
        <w:t>review</w:t>
      </w:r>
      <w:proofErr w:type="gramEnd"/>
      <w:r>
        <w:rPr>
          <w:rFonts w:ascii="Arial" w:eastAsia="Arial" w:hAnsi="Arial"/>
          <w:color w:val="000000"/>
          <w:sz w:val="24"/>
          <w:szCs w:val="24"/>
        </w:rPr>
        <w:t xml:space="preserve"> then a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shall be selected by the Chartered Institute of Financial Accountants. </w:t>
      </w:r>
    </w:p>
    <w:p w14:paraId="61D88C9C" w14:textId="77777777" w:rsidR="00120B3E" w:rsidRDefault="00296198">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The cost of a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shall be borne by the Buyer (provided that each Party shall bear its own internal costs of the Benchmark Review) except where the Benchmark Review demonstrates that the Benchmarked Service and/or the Benchmarked Deliverables are not Good Value, in which case the Parties shall share the cost of the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in such </w:t>
      </w:r>
      <w:r>
        <w:rPr>
          <w:rFonts w:ascii="Arial" w:eastAsia="Arial" w:hAnsi="Arial"/>
          <w:color w:val="000000"/>
          <w:sz w:val="24"/>
          <w:szCs w:val="24"/>
        </w:rPr>
        <w:lastRenderedPageBreak/>
        <w:t xml:space="preserve">proportions as the Parties agree (acting reasonably). Invoices by the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shall be raised against the Supplier and the relevant portion shall be reimbursed by the Buyer.</w:t>
      </w:r>
    </w:p>
    <w:p w14:paraId="61D88C9D" w14:textId="77777777" w:rsidR="00120B3E" w:rsidRDefault="00296198">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b/>
          <w:color w:val="000000"/>
          <w:sz w:val="24"/>
          <w:szCs w:val="24"/>
        </w:rPr>
      </w:pPr>
      <w:r>
        <w:rPr>
          <w:rFonts w:ascii="Arial" w:eastAsia="Arial" w:hAnsi="Arial"/>
          <w:b/>
          <w:color w:val="000000"/>
          <w:sz w:val="24"/>
          <w:szCs w:val="24"/>
        </w:rPr>
        <w:t>Benchmarking Process</w:t>
      </w:r>
    </w:p>
    <w:p w14:paraId="61D88C9E" w14:textId="77777777" w:rsidR="00120B3E" w:rsidRDefault="00296198">
      <w:pPr>
        <w:keepNext/>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1" w:name="_heading=h.30j0zll" w:colFirst="0" w:colLast="0"/>
      <w:bookmarkEnd w:id="1"/>
      <w:r>
        <w:rPr>
          <w:rFonts w:ascii="Arial" w:eastAsia="Arial" w:hAnsi="Arial"/>
          <w:color w:val="000000"/>
          <w:sz w:val="24"/>
          <w:szCs w:val="24"/>
        </w:rPr>
        <w:t xml:space="preserve">The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shall produce and send to the Buyer, for Approval, a draft plan for the Benchmark Review which must include:</w:t>
      </w:r>
    </w:p>
    <w:p w14:paraId="61D88C9F" w14:textId="77777777" w:rsidR="00120B3E" w:rsidRDefault="00296198">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a proposed cost and timetable for the Benchmark </w:t>
      </w:r>
      <w:proofErr w:type="gramStart"/>
      <w:r>
        <w:rPr>
          <w:rFonts w:ascii="Arial" w:eastAsia="Arial" w:hAnsi="Arial"/>
          <w:color w:val="000000"/>
          <w:sz w:val="24"/>
          <w:szCs w:val="24"/>
        </w:rPr>
        <w:t>Review;</w:t>
      </w:r>
      <w:proofErr w:type="gramEnd"/>
    </w:p>
    <w:p w14:paraId="61D88CA0" w14:textId="77777777" w:rsidR="00120B3E" w:rsidRDefault="00296198">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a description of the benchmarking methodology to be used which must demonstrate that the methodology to be used </w:t>
      </w:r>
      <w:proofErr w:type="gramStart"/>
      <w:r>
        <w:rPr>
          <w:rFonts w:ascii="Arial" w:eastAsia="Arial" w:hAnsi="Arial"/>
          <w:color w:val="000000"/>
          <w:sz w:val="24"/>
          <w:szCs w:val="24"/>
        </w:rPr>
        <w:t>is capable of fulfilling</w:t>
      </w:r>
      <w:proofErr w:type="gramEnd"/>
      <w:r>
        <w:rPr>
          <w:rFonts w:ascii="Arial" w:eastAsia="Arial" w:hAnsi="Arial"/>
          <w:color w:val="000000"/>
          <w:sz w:val="24"/>
          <w:szCs w:val="24"/>
        </w:rPr>
        <w:t xml:space="preserve"> the benchmarking purpose; and</w:t>
      </w:r>
    </w:p>
    <w:p w14:paraId="61D88CA1" w14:textId="77777777" w:rsidR="00120B3E" w:rsidRDefault="00296198">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a description of how the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will scope and identify the Comparison Group. </w:t>
      </w:r>
    </w:p>
    <w:p w14:paraId="61D88CA2" w14:textId="77777777" w:rsidR="00120B3E" w:rsidRDefault="00296198">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2" w:name="_heading=h.1fob9te" w:colFirst="0" w:colLast="0"/>
      <w:bookmarkEnd w:id="2"/>
      <w:r>
        <w:rPr>
          <w:rFonts w:ascii="Arial" w:eastAsia="Arial" w:hAnsi="Arial"/>
          <w:color w:val="000000"/>
          <w:sz w:val="24"/>
          <w:szCs w:val="24"/>
        </w:rPr>
        <w:t xml:space="preserve">The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acting reasonably, shall be entitled to use any model to determine the achievement of value for money and to carry out the benchmarking. </w:t>
      </w:r>
    </w:p>
    <w:p w14:paraId="61D88CA3" w14:textId="77777777" w:rsidR="00120B3E" w:rsidRDefault="00296198">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3" w:name="_heading=h.3znysh7" w:colFirst="0" w:colLast="0"/>
      <w:bookmarkEnd w:id="3"/>
      <w:r>
        <w:rPr>
          <w:rFonts w:ascii="Arial" w:eastAsia="Arial" w:hAnsi="Arial"/>
          <w:color w:val="000000"/>
          <w:sz w:val="24"/>
          <w:szCs w:val="24"/>
        </w:rPr>
        <w:t xml:space="preserve">The Buyer must give notice in writing to the Supplier within ten (10) Working Days after receiving the draft plan, advising the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and the Supplier whether it Approves the draft plan, or, if it does not approve the draft plan, suggesting amendments to that plan (which must be reasonable). If amendments are </w:t>
      </w:r>
      <w:proofErr w:type="gramStart"/>
      <w:r>
        <w:rPr>
          <w:rFonts w:ascii="Arial" w:eastAsia="Arial" w:hAnsi="Arial"/>
          <w:color w:val="000000"/>
          <w:sz w:val="24"/>
          <w:szCs w:val="24"/>
        </w:rPr>
        <w:t>suggested</w:t>
      </w:r>
      <w:proofErr w:type="gramEnd"/>
      <w:r>
        <w:rPr>
          <w:rFonts w:ascii="Arial" w:eastAsia="Arial" w:hAnsi="Arial"/>
          <w:color w:val="000000"/>
          <w:sz w:val="24"/>
          <w:szCs w:val="24"/>
        </w:rPr>
        <w:t xml:space="preserve"> then the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must produce an amended draft plan and this Paragraph 3.2.3 shall apply to any amended draft plan.</w:t>
      </w:r>
    </w:p>
    <w:p w14:paraId="61D88CA4" w14:textId="77777777" w:rsidR="00120B3E" w:rsidRDefault="00296198">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Once both Parties have approved the draft plan then they will notify the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No Party may unreasonably withhold or delay its Approval of the draft plan.</w:t>
      </w:r>
    </w:p>
    <w:p w14:paraId="61D88CA5" w14:textId="77777777" w:rsidR="00120B3E" w:rsidRDefault="00296198">
      <w:pPr>
        <w:keepNext/>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Once it has received the Approval of the draft plan, the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shall:</w:t>
      </w:r>
    </w:p>
    <w:p w14:paraId="61D88CA6" w14:textId="77777777" w:rsidR="00120B3E" w:rsidRDefault="00296198">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finalise the Comparison Group and collect data relating to Comparable Rates. The selection of the Comparable Rates (both in terms of number and identity) shall be a matter for the Supplier's professional judgment using:</w:t>
      </w:r>
    </w:p>
    <w:p w14:paraId="61D88CA7" w14:textId="77777777" w:rsidR="00120B3E" w:rsidRDefault="00296198">
      <w:pPr>
        <w:numPr>
          <w:ilvl w:val="4"/>
          <w:numId w:val="2"/>
        </w:numPr>
        <w:pBdr>
          <w:top w:val="nil"/>
          <w:left w:val="nil"/>
          <w:bottom w:val="nil"/>
          <w:right w:val="nil"/>
          <w:between w:val="nil"/>
        </w:pBdr>
        <w:tabs>
          <w:tab w:val="left" w:pos="3119"/>
        </w:tabs>
        <w:spacing w:before="120" w:after="120"/>
        <w:jc w:val="left"/>
        <w:rPr>
          <w:rFonts w:ascii="Arial" w:eastAsia="Arial" w:hAnsi="Arial"/>
          <w:color w:val="000000"/>
          <w:sz w:val="24"/>
          <w:szCs w:val="24"/>
        </w:rPr>
      </w:pPr>
      <w:r>
        <w:rPr>
          <w:rFonts w:ascii="Arial" w:eastAsia="Arial" w:hAnsi="Arial"/>
          <w:color w:val="000000"/>
          <w:sz w:val="24"/>
          <w:szCs w:val="24"/>
        </w:rPr>
        <w:t xml:space="preserve">market </w:t>
      </w:r>
      <w:proofErr w:type="gramStart"/>
      <w:r>
        <w:rPr>
          <w:rFonts w:ascii="Arial" w:eastAsia="Arial" w:hAnsi="Arial"/>
          <w:color w:val="000000"/>
          <w:sz w:val="24"/>
          <w:szCs w:val="24"/>
        </w:rPr>
        <w:t>intelligence;</w:t>
      </w:r>
      <w:proofErr w:type="gramEnd"/>
    </w:p>
    <w:p w14:paraId="61D88CA8" w14:textId="77777777" w:rsidR="00120B3E" w:rsidRDefault="00296198">
      <w:pPr>
        <w:numPr>
          <w:ilvl w:val="4"/>
          <w:numId w:val="2"/>
        </w:numPr>
        <w:pBdr>
          <w:top w:val="nil"/>
          <w:left w:val="nil"/>
          <w:bottom w:val="nil"/>
          <w:right w:val="nil"/>
          <w:between w:val="nil"/>
        </w:pBdr>
        <w:tabs>
          <w:tab w:val="left" w:pos="3119"/>
        </w:tabs>
        <w:spacing w:before="120" w:after="120"/>
        <w:jc w:val="left"/>
        <w:rPr>
          <w:rFonts w:ascii="Arial" w:eastAsia="Arial" w:hAnsi="Arial"/>
          <w:color w:val="000000"/>
          <w:sz w:val="24"/>
          <w:szCs w:val="24"/>
        </w:rPr>
      </w:pPr>
      <w:r>
        <w:rPr>
          <w:rFonts w:ascii="Arial" w:eastAsia="Arial" w:hAnsi="Arial"/>
          <w:color w:val="000000"/>
          <w:sz w:val="24"/>
          <w:szCs w:val="24"/>
        </w:rPr>
        <w:t xml:space="preserve">the </w:t>
      </w:r>
      <w:proofErr w:type="spellStart"/>
      <w:r>
        <w:rPr>
          <w:rFonts w:ascii="Arial" w:eastAsia="Arial" w:hAnsi="Arial"/>
          <w:color w:val="000000"/>
          <w:sz w:val="24"/>
          <w:szCs w:val="24"/>
        </w:rPr>
        <w:t>benchmarker’s</w:t>
      </w:r>
      <w:proofErr w:type="spellEnd"/>
      <w:r>
        <w:rPr>
          <w:rFonts w:ascii="Arial" w:eastAsia="Arial" w:hAnsi="Arial"/>
          <w:color w:val="000000"/>
          <w:sz w:val="24"/>
          <w:szCs w:val="24"/>
        </w:rPr>
        <w:t xml:space="preserve"> own data and </w:t>
      </w:r>
      <w:proofErr w:type="gramStart"/>
      <w:r>
        <w:rPr>
          <w:rFonts w:ascii="Arial" w:eastAsia="Arial" w:hAnsi="Arial"/>
          <w:color w:val="000000"/>
          <w:sz w:val="24"/>
          <w:szCs w:val="24"/>
        </w:rPr>
        <w:t>experience;</w:t>
      </w:r>
      <w:proofErr w:type="gramEnd"/>
    </w:p>
    <w:p w14:paraId="61D88CA9" w14:textId="77777777" w:rsidR="00120B3E" w:rsidRDefault="00296198">
      <w:pPr>
        <w:numPr>
          <w:ilvl w:val="4"/>
          <w:numId w:val="2"/>
        </w:numPr>
        <w:pBdr>
          <w:top w:val="nil"/>
          <w:left w:val="nil"/>
          <w:bottom w:val="nil"/>
          <w:right w:val="nil"/>
          <w:between w:val="nil"/>
        </w:pBdr>
        <w:tabs>
          <w:tab w:val="left" w:pos="3119"/>
        </w:tabs>
        <w:spacing w:before="120" w:after="120"/>
        <w:jc w:val="left"/>
        <w:rPr>
          <w:rFonts w:ascii="Arial" w:eastAsia="Arial" w:hAnsi="Arial"/>
          <w:color w:val="000000"/>
          <w:sz w:val="24"/>
          <w:szCs w:val="24"/>
        </w:rPr>
      </w:pPr>
      <w:r>
        <w:rPr>
          <w:rFonts w:ascii="Arial" w:eastAsia="Arial" w:hAnsi="Arial"/>
          <w:color w:val="000000"/>
          <w:sz w:val="24"/>
          <w:szCs w:val="24"/>
        </w:rPr>
        <w:t>relevant published information; and</w:t>
      </w:r>
    </w:p>
    <w:p w14:paraId="61D88CAA" w14:textId="77777777" w:rsidR="00120B3E" w:rsidRDefault="00296198">
      <w:pPr>
        <w:numPr>
          <w:ilvl w:val="4"/>
          <w:numId w:val="2"/>
        </w:numPr>
        <w:pBdr>
          <w:top w:val="nil"/>
          <w:left w:val="nil"/>
          <w:bottom w:val="nil"/>
          <w:right w:val="nil"/>
          <w:between w:val="nil"/>
        </w:pBdr>
        <w:tabs>
          <w:tab w:val="left" w:pos="3119"/>
        </w:tabs>
        <w:spacing w:before="120" w:after="120"/>
        <w:jc w:val="left"/>
        <w:rPr>
          <w:rFonts w:ascii="Arial" w:eastAsia="Arial" w:hAnsi="Arial"/>
          <w:color w:val="000000"/>
          <w:sz w:val="24"/>
          <w:szCs w:val="24"/>
        </w:rPr>
      </w:pPr>
      <w:r>
        <w:rPr>
          <w:rFonts w:ascii="Arial" w:eastAsia="Arial" w:hAnsi="Arial"/>
          <w:color w:val="000000"/>
          <w:sz w:val="24"/>
          <w:szCs w:val="24"/>
        </w:rPr>
        <w:t xml:space="preserve">pursuant to Paragraph 3.2.7 below, information from other suppliers or purchasers on Comparable </w:t>
      </w:r>
      <w:proofErr w:type="gramStart"/>
      <w:r>
        <w:rPr>
          <w:rFonts w:ascii="Arial" w:eastAsia="Arial" w:hAnsi="Arial"/>
          <w:color w:val="000000"/>
          <w:sz w:val="24"/>
          <w:szCs w:val="24"/>
        </w:rPr>
        <w:t>Rates;</w:t>
      </w:r>
      <w:proofErr w:type="gramEnd"/>
    </w:p>
    <w:p w14:paraId="61D88CAB" w14:textId="77777777" w:rsidR="00120B3E" w:rsidRDefault="00296198">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by applying the adjustment factors listed in Paragraph 3.2.7 and from an analysis of the Comparable Rates, derive the Equivalent </w:t>
      </w:r>
      <w:proofErr w:type="gramStart"/>
      <w:r>
        <w:rPr>
          <w:rFonts w:ascii="Arial" w:eastAsia="Arial" w:hAnsi="Arial"/>
          <w:color w:val="000000"/>
          <w:sz w:val="24"/>
          <w:szCs w:val="24"/>
        </w:rPr>
        <w:t>Data;</w:t>
      </w:r>
      <w:proofErr w:type="gramEnd"/>
    </w:p>
    <w:p w14:paraId="61D88CAC" w14:textId="77777777" w:rsidR="00120B3E" w:rsidRDefault="00296198">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using the Equivalent Data, calculate the Upper </w:t>
      </w:r>
      <w:proofErr w:type="gramStart"/>
      <w:r>
        <w:rPr>
          <w:rFonts w:ascii="Arial" w:eastAsia="Arial" w:hAnsi="Arial"/>
          <w:color w:val="000000"/>
          <w:sz w:val="24"/>
          <w:szCs w:val="24"/>
        </w:rPr>
        <w:t>Quartile;</w:t>
      </w:r>
      <w:proofErr w:type="gramEnd"/>
    </w:p>
    <w:p w14:paraId="61D88CAD" w14:textId="77777777" w:rsidR="00120B3E" w:rsidRDefault="00296198">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lastRenderedPageBreak/>
        <w:t xml:space="preserve">determine </w:t>
      </w:r>
      <w:proofErr w:type="gramStart"/>
      <w:r>
        <w:rPr>
          <w:rFonts w:ascii="Arial" w:eastAsia="Arial" w:hAnsi="Arial"/>
          <w:color w:val="000000"/>
          <w:sz w:val="24"/>
          <w:szCs w:val="24"/>
        </w:rPr>
        <w:t>whether or not</w:t>
      </w:r>
      <w:proofErr w:type="gramEnd"/>
      <w:r>
        <w:rPr>
          <w:rFonts w:ascii="Arial" w:eastAsia="Arial" w:hAnsi="Arial"/>
          <w:color w:val="000000"/>
          <w:sz w:val="24"/>
          <w:szCs w:val="24"/>
        </w:rPr>
        <w:t xml:space="preserve"> each Benchmarked Rate is, and/or the Benchmarked Rates as a whole are, Good Value.</w:t>
      </w:r>
    </w:p>
    <w:p w14:paraId="61D88CAE" w14:textId="77777777" w:rsidR="00120B3E" w:rsidRDefault="00296198">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4" w:name="_heading=h.2et92p0" w:colFirst="0" w:colLast="0"/>
      <w:bookmarkEnd w:id="4"/>
      <w:r>
        <w:rPr>
          <w:rFonts w:ascii="Arial" w:eastAsia="Arial" w:hAnsi="Arial"/>
          <w:color w:val="000000"/>
          <w:sz w:val="24"/>
          <w:szCs w:val="24"/>
        </w:rPr>
        <w:t xml:space="preserve">The Supplier shall use all reasonable endeavours and act in good faith to supply information required by the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w:t>
      </w:r>
      <w:proofErr w:type="gramStart"/>
      <w:r>
        <w:rPr>
          <w:rFonts w:ascii="Arial" w:eastAsia="Arial" w:hAnsi="Arial"/>
          <w:color w:val="000000"/>
          <w:sz w:val="24"/>
          <w:szCs w:val="24"/>
        </w:rPr>
        <w:t>in order to</w:t>
      </w:r>
      <w:proofErr w:type="gramEnd"/>
      <w:r>
        <w:rPr>
          <w:rFonts w:ascii="Arial" w:eastAsia="Arial" w:hAnsi="Arial"/>
          <w:color w:val="000000"/>
          <w:sz w:val="24"/>
          <w:szCs w:val="24"/>
        </w:rPr>
        <w:t xml:space="preserve"> undertake the benchmarking.  The Supplier agrees to use its reasonable endeavours to obtain information from other suppliers or purchasers on Comparable Rates.</w:t>
      </w:r>
    </w:p>
    <w:p w14:paraId="61D88CAF" w14:textId="77777777" w:rsidR="00120B3E" w:rsidRDefault="00296198">
      <w:pPr>
        <w:keepNext/>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5" w:name="_heading=h.tyjcwt" w:colFirst="0" w:colLast="0"/>
      <w:bookmarkEnd w:id="5"/>
      <w:r>
        <w:rPr>
          <w:rFonts w:ascii="Arial" w:eastAsia="Arial" w:hAnsi="Arial"/>
          <w:color w:val="000000"/>
          <w:sz w:val="24"/>
          <w:szCs w:val="24"/>
        </w:rPr>
        <w:t xml:space="preserve">In carrying out the benchmarking analysis the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may have regard to the following matters when performing a comparative assessment of the Benchmarked Rates and the Comparable Rates </w:t>
      </w:r>
      <w:proofErr w:type="gramStart"/>
      <w:r>
        <w:rPr>
          <w:rFonts w:ascii="Arial" w:eastAsia="Arial" w:hAnsi="Arial"/>
          <w:color w:val="000000"/>
          <w:sz w:val="24"/>
          <w:szCs w:val="24"/>
        </w:rPr>
        <w:t>in order to</w:t>
      </w:r>
      <w:proofErr w:type="gramEnd"/>
      <w:r>
        <w:rPr>
          <w:rFonts w:ascii="Arial" w:eastAsia="Arial" w:hAnsi="Arial"/>
          <w:color w:val="000000"/>
          <w:sz w:val="24"/>
          <w:szCs w:val="24"/>
        </w:rPr>
        <w:t xml:space="preserve"> derive Equivalent Data:</w:t>
      </w:r>
    </w:p>
    <w:p w14:paraId="61D88CB0" w14:textId="77777777" w:rsidR="00120B3E" w:rsidRDefault="00296198">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the contractual terms and business environment under which the Comparable Rates are being provided (including the scale and geographical spread of the customers</w:t>
      </w:r>
      <w:proofErr w:type="gramStart"/>
      <w:r>
        <w:rPr>
          <w:rFonts w:ascii="Arial" w:eastAsia="Arial" w:hAnsi="Arial"/>
          <w:color w:val="000000"/>
          <w:sz w:val="24"/>
          <w:szCs w:val="24"/>
        </w:rPr>
        <w:t>);</w:t>
      </w:r>
      <w:proofErr w:type="gramEnd"/>
    </w:p>
    <w:p w14:paraId="61D88CB1" w14:textId="77777777" w:rsidR="00120B3E" w:rsidRDefault="00296198">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exchange </w:t>
      </w:r>
      <w:proofErr w:type="gramStart"/>
      <w:r>
        <w:rPr>
          <w:rFonts w:ascii="Arial" w:eastAsia="Arial" w:hAnsi="Arial"/>
          <w:color w:val="000000"/>
          <w:sz w:val="24"/>
          <w:szCs w:val="24"/>
        </w:rPr>
        <w:t>rates;</w:t>
      </w:r>
      <w:proofErr w:type="gramEnd"/>
    </w:p>
    <w:p w14:paraId="61D88CB2" w14:textId="77777777" w:rsidR="00120B3E" w:rsidRDefault="00296198">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any other factors reasonably identified by the Supplier, which, if not taken into consideration, could unfairly cause the Supplier's pricing to appear non-competitive.</w:t>
      </w:r>
    </w:p>
    <w:p w14:paraId="61D88CB3" w14:textId="77777777" w:rsidR="00120B3E" w:rsidRDefault="00296198">
      <w:pPr>
        <w:keepNext/>
        <w:numPr>
          <w:ilvl w:val="1"/>
          <w:numId w:val="2"/>
        </w:numPr>
        <w:pBdr>
          <w:top w:val="nil"/>
          <w:left w:val="nil"/>
          <w:bottom w:val="nil"/>
          <w:right w:val="nil"/>
          <w:between w:val="nil"/>
        </w:pBdr>
        <w:tabs>
          <w:tab w:val="left" w:pos="1134"/>
        </w:tabs>
        <w:spacing w:before="120" w:after="120"/>
        <w:ind w:left="648" w:hanging="216"/>
        <w:jc w:val="left"/>
        <w:rPr>
          <w:rFonts w:ascii="Arial" w:eastAsia="Arial" w:hAnsi="Arial"/>
          <w:b/>
          <w:color w:val="000000"/>
          <w:sz w:val="24"/>
          <w:szCs w:val="24"/>
        </w:rPr>
      </w:pPr>
      <w:r>
        <w:rPr>
          <w:rFonts w:ascii="Arial" w:eastAsia="Arial" w:hAnsi="Arial"/>
          <w:b/>
          <w:color w:val="000000"/>
          <w:sz w:val="24"/>
          <w:szCs w:val="24"/>
        </w:rPr>
        <w:t>Benchmarking Report</w:t>
      </w:r>
    </w:p>
    <w:p w14:paraId="61D88CB4" w14:textId="77777777" w:rsidR="00120B3E" w:rsidRDefault="00296198">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For the purposes of this Schedule </w:t>
      </w:r>
      <w:r>
        <w:rPr>
          <w:rFonts w:ascii="Arial" w:eastAsia="Arial" w:hAnsi="Arial"/>
          <w:b/>
          <w:color w:val="000000"/>
          <w:sz w:val="24"/>
          <w:szCs w:val="24"/>
        </w:rPr>
        <w:t>"Benchmarking Report"</w:t>
      </w:r>
      <w:r>
        <w:rPr>
          <w:rFonts w:ascii="Arial" w:eastAsia="Arial" w:hAnsi="Arial"/>
          <w:color w:val="000000"/>
          <w:sz w:val="24"/>
          <w:szCs w:val="24"/>
        </w:rPr>
        <w:t xml:space="preserve"> shall mean the report produced by the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following the Benchmark Review and as further described in this Schedule.</w:t>
      </w:r>
    </w:p>
    <w:p w14:paraId="61D88CB5" w14:textId="77777777" w:rsidR="00120B3E" w:rsidRDefault="00296198">
      <w:pPr>
        <w:keepNext/>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The </w:t>
      </w:r>
      <w:proofErr w:type="spellStart"/>
      <w:r>
        <w:rPr>
          <w:rFonts w:ascii="Arial" w:eastAsia="Arial" w:hAnsi="Arial"/>
          <w:color w:val="000000"/>
          <w:sz w:val="24"/>
          <w:szCs w:val="24"/>
        </w:rPr>
        <w:t>benchmarker</w:t>
      </w:r>
      <w:proofErr w:type="spellEnd"/>
      <w:r>
        <w:rPr>
          <w:rFonts w:ascii="Arial" w:eastAsia="Arial" w:hAnsi="Arial"/>
          <w:color w:val="000000"/>
          <w:sz w:val="24"/>
          <w:szCs w:val="24"/>
        </w:rPr>
        <w:t xml:space="preserve"> shall prepare a Benchmarking Report and deliver it to the Buyer, at the time specified in the plan Approved pursuant to Paragraph 3.2.3, setting out its findings.  Those findings shall be required to:</w:t>
      </w:r>
    </w:p>
    <w:p w14:paraId="61D88CB6" w14:textId="77777777" w:rsidR="00120B3E" w:rsidRDefault="00296198">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include a finding as to whether or not a Benchmarked Service and/or whether the Benchmarked Deliverables as a whole are, Good </w:t>
      </w:r>
      <w:proofErr w:type="gramStart"/>
      <w:r>
        <w:rPr>
          <w:rFonts w:ascii="Arial" w:eastAsia="Arial" w:hAnsi="Arial"/>
          <w:color w:val="000000"/>
          <w:sz w:val="24"/>
          <w:szCs w:val="24"/>
        </w:rPr>
        <w:t>Value;</w:t>
      </w:r>
      <w:proofErr w:type="gramEnd"/>
    </w:p>
    <w:p w14:paraId="61D88CB7" w14:textId="77777777" w:rsidR="00120B3E" w:rsidRDefault="00296198">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if any of the Benchmarked Deliverables are, individually </w:t>
      </w:r>
      <w:proofErr w:type="gramStart"/>
      <w:r>
        <w:rPr>
          <w:rFonts w:ascii="Arial" w:eastAsia="Arial" w:hAnsi="Arial"/>
          <w:color w:val="000000"/>
          <w:sz w:val="24"/>
          <w:szCs w:val="24"/>
        </w:rPr>
        <w:t>or as a whole, not</w:t>
      </w:r>
      <w:proofErr w:type="gramEnd"/>
      <w:r>
        <w:rPr>
          <w:rFonts w:ascii="Arial" w:eastAsia="Arial" w:hAnsi="Arial"/>
          <w:color w:val="000000"/>
          <w:sz w:val="24"/>
          <w:szCs w:val="24"/>
        </w:rPr>
        <w:t xml:space="preserve"> Good Value, specify the changes that would be required to make that Benchmarked Service or the Benchmarked Deliverables as a whole Good Value; and </w:t>
      </w:r>
    </w:p>
    <w:p w14:paraId="61D88CB8" w14:textId="77777777" w:rsidR="00120B3E" w:rsidRDefault="00296198">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include sufficient detail and transparency so that the Party requesting the Benchmarking can interpret and understand how the Supplier has calculated </w:t>
      </w:r>
      <w:proofErr w:type="gramStart"/>
      <w:r>
        <w:rPr>
          <w:rFonts w:ascii="Arial" w:eastAsia="Arial" w:hAnsi="Arial"/>
          <w:color w:val="000000"/>
          <w:sz w:val="24"/>
          <w:szCs w:val="24"/>
        </w:rPr>
        <w:t>whether or not</w:t>
      </w:r>
      <w:proofErr w:type="gramEnd"/>
      <w:r>
        <w:rPr>
          <w:rFonts w:ascii="Arial" w:eastAsia="Arial" w:hAnsi="Arial"/>
          <w:color w:val="000000"/>
          <w:sz w:val="24"/>
          <w:szCs w:val="24"/>
        </w:rPr>
        <w:t xml:space="preserve"> the Benchmarked Deliverables are, individually or as a whole, Good Value.</w:t>
      </w:r>
    </w:p>
    <w:p w14:paraId="61D88CB9" w14:textId="77777777" w:rsidR="00120B3E" w:rsidRDefault="00296198">
      <w:pPr>
        <w:pBdr>
          <w:top w:val="nil"/>
          <w:left w:val="nil"/>
          <w:bottom w:val="nil"/>
          <w:right w:val="nil"/>
          <w:between w:val="nil"/>
        </w:pBdr>
        <w:tabs>
          <w:tab w:val="left" w:pos="1985"/>
        </w:tabs>
        <w:spacing w:before="120" w:after="120"/>
        <w:ind w:left="1985" w:hanging="720"/>
        <w:jc w:val="left"/>
        <w:rPr>
          <w:rFonts w:ascii="Arial" w:eastAsia="Arial" w:hAnsi="Arial"/>
          <w:color w:val="000000"/>
          <w:sz w:val="24"/>
          <w:szCs w:val="24"/>
        </w:rPr>
      </w:pPr>
      <w:r>
        <w:rPr>
          <w:rFonts w:ascii="Arial" w:eastAsia="Arial" w:hAnsi="Arial"/>
          <w:color w:val="000000"/>
          <w:sz w:val="24"/>
          <w:szCs w:val="24"/>
        </w:rPr>
        <w:t>The Parties agree that any changes required to this Contract identified in the Benchmarking Report shall be implemented at the direction of the Buyer in accordance with Clause 24 (Changing the contract).</w:t>
      </w:r>
    </w:p>
    <w:sectPr w:rsidR="00120B3E">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3A6EA" w14:textId="77777777" w:rsidR="004375B7" w:rsidRDefault="004375B7">
      <w:pPr>
        <w:spacing w:after="0"/>
      </w:pPr>
      <w:r>
        <w:separator/>
      </w:r>
    </w:p>
  </w:endnote>
  <w:endnote w:type="continuationSeparator" w:id="0">
    <w:p w14:paraId="16EC4D16" w14:textId="77777777" w:rsidR="004375B7" w:rsidRDefault="004375B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Zhongsong">
    <w:charset w:val="86"/>
    <w:family w:val="auto"/>
    <w:pitch w:val="variable"/>
    <w:sig w:usb0="00000287" w:usb1="080F0000" w:usb2="00000010" w:usb3="00000000" w:csb0="0004009F" w:csb1="00000000"/>
  </w:font>
  <w:font w:name="Arial Bold">
    <w:altName w:val="Arial"/>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88CBE" w14:textId="77777777" w:rsidR="00120B3E" w:rsidRDefault="00120B3E">
    <w:pPr>
      <w:tabs>
        <w:tab w:val="center" w:pos="4513"/>
        <w:tab w:val="right" w:pos="9026"/>
      </w:tabs>
      <w:spacing w:after="0"/>
      <w:rPr>
        <w:rFonts w:ascii="Arial" w:eastAsia="Arial" w:hAnsi="Arial"/>
        <w:sz w:val="20"/>
        <w:szCs w:val="20"/>
      </w:rPr>
    </w:pPr>
  </w:p>
  <w:p w14:paraId="61D88CBF" w14:textId="75D799E4" w:rsidR="00120B3E" w:rsidRDefault="00296198">
    <w:pPr>
      <w:tabs>
        <w:tab w:val="center" w:pos="4513"/>
        <w:tab w:val="right" w:pos="9026"/>
      </w:tabs>
      <w:spacing w:after="0"/>
      <w:rPr>
        <w:rFonts w:ascii="Arial" w:eastAsia="Arial" w:hAnsi="Arial"/>
        <w:color w:val="000000"/>
        <w:sz w:val="20"/>
        <w:szCs w:val="20"/>
      </w:rPr>
    </w:pPr>
    <w:r>
      <w:rPr>
        <w:rFonts w:ascii="Arial" w:eastAsia="Arial" w:hAnsi="Arial"/>
        <w:sz w:val="20"/>
        <w:szCs w:val="20"/>
      </w:rPr>
      <w:t>DPS Ref: RM6173</w:t>
    </w:r>
    <w:r>
      <w:rPr>
        <w:rFonts w:ascii="Arial" w:eastAsia="Arial" w:hAnsi="Arial"/>
        <w:color w:val="000000"/>
        <w:sz w:val="20"/>
        <w:szCs w:val="20"/>
      </w:rPr>
      <w:tab/>
    </w:r>
    <w:r>
      <w:rPr>
        <w:rFonts w:ascii="Arial" w:eastAsia="Arial" w:hAnsi="Arial"/>
        <w:color w:val="000000"/>
        <w:sz w:val="20"/>
        <w:szCs w:val="20"/>
      </w:rPr>
      <w:tab/>
      <w:t xml:space="preserve"> </w:t>
    </w:r>
    <w:r>
      <w:rPr>
        <w:rFonts w:ascii="Arial" w:eastAsia="Arial" w:hAnsi="Arial"/>
        <w:color w:val="000000"/>
        <w:sz w:val="20"/>
        <w:szCs w:val="20"/>
      </w:rPr>
      <w:fldChar w:fldCharType="begin"/>
    </w:r>
    <w:r>
      <w:rPr>
        <w:rFonts w:ascii="Arial" w:eastAsia="Arial" w:hAnsi="Arial"/>
        <w:color w:val="000000"/>
        <w:sz w:val="20"/>
        <w:szCs w:val="20"/>
      </w:rPr>
      <w:instrText>PAGE</w:instrText>
    </w:r>
    <w:r>
      <w:rPr>
        <w:rFonts w:ascii="Arial" w:eastAsia="Arial" w:hAnsi="Arial"/>
        <w:color w:val="000000"/>
        <w:sz w:val="20"/>
        <w:szCs w:val="20"/>
      </w:rPr>
      <w:fldChar w:fldCharType="separate"/>
    </w:r>
    <w:r>
      <w:rPr>
        <w:rFonts w:ascii="Arial" w:eastAsia="Arial" w:hAnsi="Arial"/>
        <w:noProof/>
        <w:color w:val="000000"/>
        <w:sz w:val="20"/>
        <w:szCs w:val="20"/>
      </w:rPr>
      <w:t>4</w:t>
    </w:r>
    <w:r>
      <w:rPr>
        <w:rFonts w:ascii="Arial" w:eastAsia="Arial" w:hAnsi="Arial"/>
        <w:color w:val="000000"/>
        <w:sz w:val="20"/>
        <w:szCs w:val="20"/>
      </w:rPr>
      <w:fldChar w:fldCharType="end"/>
    </w:r>
  </w:p>
  <w:p w14:paraId="61D88CC0" w14:textId="77777777" w:rsidR="00120B3E" w:rsidRDefault="00296198">
    <w:pPr>
      <w:tabs>
        <w:tab w:val="center" w:pos="4513"/>
        <w:tab w:val="right" w:pos="9026"/>
      </w:tabs>
      <w:spacing w:after="0"/>
    </w:pPr>
    <w:r>
      <w:rPr>
        <w:rFonts w:ascii="Arial" w:eastAsia="Arial" w:hAnsi="Arial"/>
        <w:sz w:val="20"/>
        <w:szCs w:val="20"/>
      </w:rPr>
      <w:t>Model Version: v1.0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88CC2" w14:textId="77777777" w:rsidR="00120B3E" w:rsidRDefault="00296198">
    <w:pPr>
      <w:tabs>
        <w:tab w:val="center" w:pos="4513"/>
        <w:tab w:val="right" w:pos="9026"/>
      </w:tabs>
      <w:spacing w:after="0"/>
      <w:rPr>
        <w:rFonts w:ascii="Arial" w:eastAsia="Arial" w:hAnsi="Arial"/>
        <w:sz w:val="20"/>
        <w:szCs w:val="20"/>
      </w:rPr>
    </w:pPr>
    <w:r>
      <w:rPr>
        <w:rFonts w:ascii="Arial" w:eastAsia="Arial" w:hAnsi="Arial"/>
        <w:sz w:val="20"/>
        <w:szCs w:val="20"/>
      </w:rPr>
      <w:t>DPS Ref: RM</w:t>
    </w:r>
    <w:r>
      <w:rPr>
        <w:rFonts w:ascii="Arial" w:eastAsia="Arial" w:hAnsi="Arial"/>
        <w:sz w:val="20"/>
        <w:szCs w:val="20"/>
      </w:rPr>
      <w:tab/>
      <w:t xml:space="preserve">                                           </w:t>
    </w:r>
  </w:p>
  <w:p w14:paraId="61D88CC3" w14:textId="77777777" w:rsidR="00120B3E" w:rsidRDefault="00296198">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Project Version: v1.0</w:t>
    </w:r>
    <w:r>
      <w:rPr>
        <w:rFonts w:ascii="Arial" w:eastAsia="Arial" w:hAnsi="Arial"/>
        <w:color w:val="000000"/>
        <w:sz w:val="20"/>
        <w:szCs w:val="20"/>
      </w:rPr>
      <w:tab/>
    </w:r>
    <w:r>
      <w:rPr>
        <w:rFonts w:ascii="Arial" w:eastAsia="Arial" w:hAnsi="Arial"/>
        <w:color w:val="000000"/>
        <w:sz w:val="20"/>
        <w:szCs w:val="20"/>
      </w:rPr>
      <w:tab/>
    </w:r>
    <w:r>
      <w:rPr>
        <w:rFonts w:ascii="Arial" w:eastAsia="Arial" w:hAnsi="Arial"/>
        <w:color w:val="000000"/>
        <w:sz w:val="20"/>
        <w:szCs w:val="20"/>
      </w:rPr>
      <w:tab/>
      <w:t xml:space="preserve"> </w:t>
    </w:r>
    <w:r>
      <w:rPr>
        <w:rFonts w:ascii="Arial" w:eastAsia="Arial" w:hAnsi="Arial"/>
        <w:color w:val="000000"/>
        <w:sz w:val="20"/>
        <w:szCs w:val="20"/>
      </w:rPr>
      <w:fldChar w:fldCharType="begin"/>
    </w:r>
    <w:r>
      <w:rPr>
        <w:rFonts w:ascii="Arial" w:eastAsia="Arial" w:hAnsi="Arial"/>
        <w:color w:val="000000"/>
        <w:sz w:val="20"/>
        <w:szCs w:val="20"/>
      </w:rPr>
      <w:instrText>PAGE</w:instrText>
    </w:r>
    <w:r>
      <w:rPr>
        <w:rFonts w:ascii="Arial" w:eastAsia="Arial" w:hAnsi="Arial"/>
        <w:color w:val="000000"/>
        <w:sz w:val="20"/>
        <w:szCs w:val="20"/>
      </w:rPr>
      <w:fldChar w:fldCharType="end"/>
    </w:r>
  </w:p>
  <w:p w14:paraId="61D88CC4" w14:textId="77777777" w:rsidR="00120B3E" w:rsidRDefault="00296198">
    <w:pPr>
      <w:tabs>
        <w:tab w:val="center" w:pos="4513"/>
        <w:tab w:val="right" w:pos="9026"/>
      </w:tabs>
      <w:spacing w:after="0"/>
    </w:pPr>
    <w:r>
      <w:rPr>
        <w:rFonts w:ascii="Arial" w:eastAsia="Arial" w:hAnsi="Arial"/>
        <w:sz w:val="20"/>
        <w:szCs w:val="20"/>
      </w:rPr>
      <w:t>Model Version: v3.0</w:t>
    </w:r>
    <w:r>
      <w:rPr>
        <w:rFonts w:ascii="Arial" w:eastAsia="Arial" w:hAnsi="Arial"/>
        <w:sz w:val="20"/>
        <w:szCs w:val="20"/>
      </w:rP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36DB9" w14:textId="77777777" w:rsidR="004375B7" w:rsidRDefault="004375B7">
      <w:pPr>
        <w:spacing w:after="0"/>
      </w:pPr>
      <w:r>
        <w:separator/>
      </w:r>
    </w:p>
  </w:footnote>
  <w:footnote w:type="continuationSeparator" w:id="0">
    <w:p w14:paraId="77BC5075" w14:textId="77777777" w:rsidR="004375B7" w:rsidRDefault="004375B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88CBA" w14:textId="77777777" w:rsidR="00120B3E" w:rsidRDefault="00296198">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b/>
        <w:color w:val="000000"/>
        <w:sz w:val="20"/>
        <w:szCs w:val="20"/>
      </w:rPr>
      <w:t>Order Schedule 16 (Benchmarking)</w:t>
    </w:r>
  </w:p>
  <w:p w14:paraId="61D88CBB" w14:textId="77777777" w:rsidR="00120B3E" w:rsidRDefault="00296198">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Order Ref:</w:t>
    </w:r>
  </w:p>
  <w:p w14:paraId="61D88CBC" w14:textId="4D0CF646" w:rsidR="00120B3E" w:rsidRDefault="00296198">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Crown Copyright 2</w:t>
    </w:r>
    <w:r w:rsidR="00931E52">
      <w:rPr>
        <w:rFonts w:ascii="Arial" w:eastAsia="Arial" w:hAnsi="Arial"/>
        <w:color w:val="000000"/>
        <w:sz w:val="20"/>
        <w:szCs w:val="20"/>
      </w:rPr>
      <w:t>020</w:t>
    </w:r>
  </w:p>
  <w:p w14:paraId="61D88CBD" w14:textId="77777777" w:rsidR="00120B3E" w:rsidRDefault="00120B3E">
    <w:pPr>
      <w:pBdr>
        <w:top w:val="nil"/>
        <w:left w:val="nil"/>
        <w:bottom w:val="nil"/>
        <w:right w:val="nil"/>
        <w:between w:val="nil"/>
      </w:pBdr>
      <w:tabs>
        <w:tab w:val="center" w:pos="4513"/>
        <w:tab w:val="right" w:pos="9026"/>
      </w:tabs>
      <w:spacing w:after="0"/>
      <w:rPr>
        <w:rFonts w:eastAsia="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88CC1" w14:textId="77777777" w:rsidR="00120B3E" w:rsidRDefault="00296198">
    <w:pPr>
      <w:pBdr>
        <w:top w:val="nil"/>
        <w:left w:val="nil"/>
        <w:bottom w:val="nil"/>
        <w:right w:val="nil"/>
        <w:between w:val="nil"/>
      </w:pBdr>
      <w:tabs>
        <w:tab w:val="center" w:pos="4513"/>
        <w:tab w:val="right" w:pos="9026"/>
      </w:tabs>
      <w:spacing w:after="0"/>
      <w:rPr>
        <w:rFonts w:eastAsia="Calibri" w:cs="Calibri"/>
        <w:color w:val="000000"/>
      </w:rPr>
    </w:pPr>
    <w:r>
      <w:rPr>
        <w:noProof/>
      </w:rPr>
      <w:drawing>
        <wp:anchor distT="0" distB="0" distL="114300" distR="114300" simplePos="0" relativeHeight="251658240" behindDoc="0" locked="0" layoutInCell="1" hidden="0" allowOverlap="1" wp14:anchorId="61D88CC5" wp14:editId="61D88CC6">
          <wp:simplePos x="0" y="0"/>
          <wp:positionH relativeFrom="column">
            <wp:posOffset>5714365</wp:posOffset>
          </wp:positionH>
          <wp:positionV relativeFrom="paragraph">
            <wp:posOffset>-13333</wp:posOffset>
          </wp:positionV>
          <wp:extent cx="849085" cy="685627"/>
          <wp:effectExtent l="0" t="0" r="0" b="0"/>
          <wp:wrapNone/>
          <wp:docPr id="3" name="image1.png" descr="Crown Commercial Service"/>
          <wp:cNvGraphicFramePr/>
          <a:graphic xmlns:a="http://schemas.openxmlformats.org/drawingml/2006/main">
            <a:graphicData uri="http://schemas.openxmlformats.org/drawingml/2006/picture">
              <pic:pic xmlns:pic="http://schemas.openxmlformats.org/drawingml/2006/picture">
                <pic:nvPicPr>
                  <pic:cNvPr id="0" name="image1.png" descr="Crown Commercial Service"/>
                  <pic:cNvPicPr preferRelativeResize="0"/>
                </pic:nvPicPr>
                <pic:blipFill>
                  <a:blip r:embed="rId1"/>
                  <a:srcRect/>
                  <a:stretch>
                    <a:fillRect/>
                  </a:stretch>
                </pic:blipFill>
                <pic:spPr>
                  <a:xfrm>
                    <a:off x="0" y="0"/>
                    <a:ext cx="849085" cy="68562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375F8"/>
    <w:multiLevelType w:val="multilevel"/>
    <w:tmpl w:val="EC5E8876"/>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644" w:hanging="359"/>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563" w:hanging="720"/>
      </w:pPr>
      <w:rPr>
        <w:rFonts w:ascii="Calibri" w:eastAsia="Calibri" w:hAnsi="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1440" w:hanging="108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4B901F02"/>
    <w:multiLevelType w:val="multilevel"/>
    <w:tmpl w:val="A14EC092"/>
    <w:lvl w:ilvl="0">
      <w:start w:val="1"/>
      <w:numFmt w:val="decimal"/>
      <w:pStyle w:val="GPsDefinition"/>
      <w:lvlText w:val="%1"/>
      <w:lvlJc w:val="left"/>
      <w:pPr>
        <w:ind w:left="170" w:hanging="170"/>
      </w:pPr>
      <w:rPr>
        <w:rFonts w:ascii="Arial" w:eastAsia="Arial" w:hAnsi="Arial" w:cs="Arial"/>
        <w:sz w:val="22"/>
        <w:szCs w:val="22"/>
      </w:rPr>
    </w:lvl>
    <w:lvl w:ilvl="1">
      <w:start w:val="1"/>
      <w:numFmt w:val="lowerLetter"/>
      <w:pStyle w:val="GPSDefinitionL2"/>
      <w:lvlText w:val="%2)"/>
      <w:lvlJc w:val="left"/>
      <w:pPr>
        <w:ind w:left="720" w:hanging="360"/>
      </w:pPr>
      <w:rPr>
        <w:b w:val="0"/>
        <w:i w:val="0"/>
        <w:smallCaps w:val="0"/>
        <w:strike w:val="0"/>
        <w:color w:val="000000"/>
        <w:u w:val="none"/>
        <w:vertAlign w:val="baseline"/>
      </w:rPr>
    </w:lvl>
    <w:lvl w:ilvl="2">
      <w:start w:val="1"/>
      <w:numFmt w:val="lowerRoman"/>
      <w:pStyle w:val="GPSDefinitionL3"/>
      <w:lvlText w:val="%3)"/>
      <w:lvlJc w:val="left"/>
      <w:pPr>
        <w:ind w:left="1080" w:hanging="360"/>
      </w:pPr>
      <w:rPr>
        <w:rFonts w:ascii="Arial" w:eastAsia="Arial" w:hAnsi="Arial" w:cs="Arial"/>
        <w:sz w:val="22"/>
        <w:szCs w:val="22"/>
      </w:rPr>
    </w:lvl>
    <w:lvl w:ilvl="3">
      <w:start w:val="1"/>
      <w:numFmt w:val="decimal"/>
      <w:pStyle w:val="GPSDefinitionL4"/>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eastAsia="Arial" w:hAnsi="Arial" w:cs="Arial"/>
      </w:r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B3E"/>
    <w:rsid w:val="00120B3E"/>
    <w:rsid w:val="001D72DD"/>
    <w:rsid w:val="00296198"/>
    <w:rsid w:val="004375B7"/>
    <w:rsid w:val="0052656A"/>
    <w:rsid w:val="00931E52"/>
    <w:rsid w:val="009369D0"/>
    <w:rsid w:val="00A009B3"/>
    <w:rsid w:val="00BF7D7C"/>
    <w:rsid w:val="00E11E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88C75"/>
  <w15:docId w15:val="{DDF51B08-FE9B-417D-8754-553D05DD8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eastAsia="Times New Roman" w:cs="Arial"/>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uiPriority w:val="99"/>
    <w:qFormat/>
    <w:pPr>
      <w:numPr>
        <w:numId w:val="2"/>
      </w:numPr>
      <w:tabs>
        <w:tab w:val="left" w:pos="142"/>
      </w:tabs>
      <w:overflowPunct/>
      <w:autoSpaceDE/>
      <w:autoSpaceDN/>
      <w:spacing w:before="120"/>
      <w:ind w:left="426" w:hanging="426"/>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2"/>
      </w:numPr>
      <w:tabs>
        <w:tab w:val="left" w:pos="1985"/>
      </w:tabs>
      <w:overflowPunct/>
      <w:autoSpaceDE/>
      <w:autoSpaceDN/>
      <w:spacing w:before="120" w:after="120"/>
      <w:ind w:left="1656"/>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clear" w:pos="1985"/>
      </w:tabs>
      <w:ind w:left="2592" w:hanging="936"/>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link w:val="GPSL5numberedclauseChar"/>
    <w:qFormat/>
    <w:pPr>
      <w:numPr>
        <w:ilvl w:val="4"/>
      </w:numPr>
      <w:tabs>
        <w:tab w:val="left" w:pos="3119"/>
      </w:tabs>
      <w:ind w:left="3119" w:hanging="567"/>
    </w:pPr>
  </w:style>
  <w:style w:type="paragraph" w:customStyle="1" w:styleId="GPSL2NumberedBoldHeading">
    <w:name w:val="GPS L2 Numbered Bold Heading"/>
    <w:basedOn w:val="Normal"/>
    <w:link w:val="GPSL2NumberedBoldHeadingChar"/>
    <w:qFormat/>
    <w:pPr>
      <w:numPr>
        <w:ilvl w:val="1"/>
        <w:numId w:val="2"/>
      </w:numPr>
      <w:tabs>
        <w:tab w:val="left" w:pos="1134"/>
      </w:tabs>
      <w:overflowPunct/>
      <w:autoSpaceDE/>
      <w:autoSpaceDN/>
      <w:spacing w:before="120" w:after="120"/>
      <w:ind w:hanging="218"/>
      <w:textAlignment w:val="auto"/>
    </w:pPr>
    <w:rPr>
      <w:b/>
      <w:lang w:eastAsia="zh-CN"/>
    </w:rPr>
  </w:style>
  <w:style w:type="paragraph" w:customStyle="1" w:styleId="GPSL6numbered">
    <w:name w:val="GPS L6 numbered"/>
    <w:basedOn w:val="GPSL5numberedclause"/>
    <w:uiPriority w:val="99"/>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paragraph" w:customStyle="1" w:styleId="GPsDefinition">
    <w:name w:val="GPs Definition"/>
    <w:basedOn w:val="Normal"/>
    <w:uiPriority w:val="99"/>
    <w:qFormat/>
    <w:pPr>
      <w:numPr>
        <w:numId w:val="1"/>
      </w:numPr>
      <w:tabs>
        <w:tab w:val="left" w:pos="175"/>
      </w:tabs>
      <w:spacing w:after="120"/>
    </w:pPr>
  </w:style>
  <w:style w:type="paragraph" w:customStyle="1" w:styleId="GPSDefinitionL2">
    <w:name w:val="GPS Definition L2"/>
    <w:basedOn w:val="GPsDefinition"/>
    <w:uiPriority w:val="99"/>
    <w:qFormat/>
    <w:pPr>
      <w:numPr>
        <w:ilvl w:val="1"/>
      </w:numPr>
      <w:ind w:hanging="544"/>
    </w:pPr>
  </w:style>
  <w:style w:type="paragraph" w:customStyle="1" w:styleId="GPSDefinitionL3">
    <w:name w:val="GPS Definition L3"/>
    <w:basedOn w:val="GPSDefinitionL2"/>
    <w:uiPriority w:val="99"/>
    <w:qFormat/>
    <w:pPr>
      <w:numPr>
        <w:ilvl w:val="2"/>
      </w:numPr>
    </w:pPr>
  </w:style>
  <w:style w:type="paragraph" w:customStyle="1" w:styleId="GPSDefinitionL4">
    <w:name w:val="GPS Definition L4"/>
    <w:basedOn w:val="GPSDefinitionL3"/>
    <w:uiPriority w:val="99"/>
    <w:qFormat/>
    <w:pPr>
      <w:numPr>
        <w:ilvl w:val="3"/>
      </w:numPr>
    </w:pPr>
  </w:style>
  <w:style w:type="paragraph" w:customStyle="1" w:styleId="GPSDefinitionTerm">
    <w:name w:val="GPS Definition Term"/>
    <w:basedOn w:val="Normal"/>
    <w:uiPriority w:val="99"/>
    <w:qFormat/>
    <w:pPr>
      <w:spacing w:after="120"/>
      <w:ind w:left="-108"/>
      <w:jc w:val="left"/>
    </w:pPr>
    <w:rPr>
      <w:b/>
    </w:rPr>
  </w:style>
  <w:style w:type="paragraph" w:customStyle="1" w:styleId="GPSL1SCHEDULEHeading">
    <w:name w:val="GPS L1 SCHEDULE Heading"/>
    <w:basedOn w:val="GPSL1CLAUSEHEADING"/>
    <w:link w:val="GPSL1SCHEDULEHeadingChar"/>
    <w:qFormat/>
    <w:pPr>
      <w:ind w:left="360" w:hanging="360"/>
      <w:outlineLvl w:val="9"/>
    </w:pPr>
  </w:style>
  <w:style w:type="paragraph" w:customStyle="1" w:styleId="GPSmacrorestart">
    <w:name w:val="GPS macro restart"/>
    <w:basedOn w:val="Normal"/>
    <w:qFormat/>
    <w:pPr>
      <w:spacing w:after="0"/>
    </w:pPr>
    <w:rPr>
      <w:color w:val="FFFFFF"/>
      <w:sz w:val="16"/>
      <w:szCs w:val="16"/>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customStyle="1" w:styleId="GPSL2numberedclause">
    <w:name w:val="GPS L2 numbered clause"/>
    <w:basedOn w:val="Normal"/>
    <w:link w:val="GPSL2numberedclauseChar1"/>
    <w:qFormat/>
    <w:pPr>
      <w:tabs>
        <w:tab w:val="left" w:pos="1134"/>
      </w:tabs>
      <w:overflowPunct/>
      <w:autoSpaceDE/>
      <w:autoSpaceDN/>
      <w:spacing w:before="120" w:after="120"/>
      <w:ind w:left="1134" w:hanging="567"/>
      <w:textAlignment w:val="auto"/>
    </w:pPr>
    <w:rPr>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1CLAUSEHEADINGChar">
    <w:name w:val="GPS L1 CLAUSE HEADING Char"/>
    <w:link w:val="GPSL1CLAUSEHEADING"/>
    <w:rPr>
      <w:rFonts w:ascii="Calibri" w:eastAsia="STZhongsong" w:hAnsi="Calibri"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customStyle="1" w:styleId="Normal1">
    <w:name w:val="Normal1"/>
    <w:pPr>
      <w:widowControl w:val="0"/>
      <w:spacing w:after="80"/>
    </w:pPr>
    <w:rPr>
      <w:color w:val="000000"/>
    </w:rPr>
  </w:style>
  <w:style w:type="table" w:styleId="TableGrid">
    <w:name w:val="Table Grid"/>
    <w:basedOn w:val="TableNormal"/>
    <w:uiPriority w:val="59"/>
    <w:pPr>
      <w:spacing w:after="0"/>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D49BE"/>
    <w:pPr>
      <w:spacing w:after="0"/>
    </w:pPr>
    <w:rPr>
      <w:rFonts w:eastAsia="Times New Roman" w:cs="Arial"/>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eUgo+WGnDsuYB+y8uOmntu0TWQ==">AMUW2mVpbfWs0R4+xSJgsJm673yU+6+SC6ufjCs9h7rlrmZ7/X8H7dTfEHDD5tylwXlInNMppog6xpI7yJqxy/7Y/oTXw32nl6QV2DGTP0EQLW3Ob/dAjgB0GDDCzIMRwQr+k6zXrx7t2UPxURq4HyhUbkpqEMXXJIgwfYgJBsfu4Zk6UXZetXbrkhIRJyuYMDvtxOK/zJjG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FB7FCF8-A26E-4B74-AE1A-77F70377ECBD}"/>
</file>

<file path=customXml/itemProps3.xml><?xml version="1.0" encoding="utf-8"?>
<ds:datastoreItem xmlns:ds="http://schemas.openxmlformats.org/officeDocument/2006/customXml" ds:itemID="{51738103-2584-4EA6-925C-87751CED5D4B}"/>
</file>

<file path=customXml/itemProps4.xml><?xml version="1.0" encoding="utf-8"?>
<ds:datastoreItem xmlns:ds="http://schemas.openxmlformats.org/officeDocument/2006/customXml" ds:itemID="{873FBF5E-6591-48AA-9C27-BEC9F6398E22}"/>
</file>

<file path=docProps/app.xml><?xml version="1.0" encoding="utf-8"?>
<Properties xmlns="http://schemas.openxmlformats.org/officeDocument/2006/extended-properties" xmlns:vt="http://schemas.openxmlformats.org/officeDocument/2006/docPropsVTypes">
  <Template>Normal</Template>
  <TotalTime>6</TotalTime>
  <Pages>4</Pages>
  <Words>1222</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Mulligan</dc:creator>
  <cp:lastModifiedBy>Liz Hobson</cp:lastModifiedBy>
  <cp:revision>4</cp:revision>
  <cp:lastPrinted>2020-02-13T08:21:00Z</cp:lastPrinted>
  <dcterms:created xsi:type="dcterms:W3CDTF">2021-06-28T12:27:00Z</dcterms:created>
  <dcterms:modified xsi:type="dcterms:W3CDTF">2021-07-05T16:07:00Z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y fmtid="{D5CDD505-2E9C-101B-9397-08002B2CF9AE}" pid="3" name="ContentTypeId">
    <vt:lpwstr>0x010100DABEEA943F9FB541A5AA9DC9E9C180D5</vt:lpwstr>
  </property>
</Properties>
</file>