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CB64" w14:textId="77777777" w:rsidR="00617E64" w:rsidRDefault="00617E64" w:rsidP="00F1602D">
      <w:pPr>
        <w:rPr>
          <w:b/>
          <w:sz w:val="32"/>
          <w:szCs w:val="32"/>
        </w:rPr>
      </w:pPr>
    </w:p>
    <w:p w14:paraId="1C049B30" w14:textId="77777777" w:rsidR="00617E64" w:rsidRDefault="00617E64" w:rsidP="00F1602D">
      <w:pPr>
        <w:rPr>
          <w:b/>
          <w:sz w:val="32"/>
          <w:szCs w:val="32"/>
        </w:rPr>
      </w:pPr>
    </w:p>
    <w:p w14:paraId="7051498C" w14:textId="77777777" w:rsidR="00617E64" w:rsidRDefault="00617E64" w:rsidP="00F1602D">
      <w:pPr>
        <w:rPr>
          <w:b/>
          <w:sz w:val="32"/>
          <w:szCs w:val="32"/>
        </w:rPr>
      </w:pPr>
    </w:p>
    <w:p w14:paraId="340028B3" w14:textId="5FEDF7F1" w:rsidR="00F1602D" w:rsidRDefault="00F1602D" w:rsidP="00F1602D">
      <w:pPr>
        <w:rPr>
          <w:b/>
          <w:sz w:val="32"/>
          <w:szCs w:val="32"/>
        </w:rPr>
      </w:pPr>
      <w:r>
        <w:rPr>
          <w:noProof/>
        </w:rPr>
        <w:drawing>
          <wp:inline distT="0" distB="0" distL="0" distR="0" wp14:anchorId="4D786CA3" wp14:editId="1FEC80A9">
            <wp:extent cx="1455420" cy="1165860"/>
            <wp:effectExtent l="0" t="0" r="0" b="0"/>
            <wp:docPr id="8" name="Picture 7">
              <a:extLst xmlns:a="http://schemas.openxmlformats.org/drawingml/2006/main">
                <a:ext uri="{FF2B5EF4-FFF2-40B4-BE49-F238E27FC236}">
                  <a16:creationId xmlns:a16="http://schemas.microsoft.com/office/drawing/2014/main" id="{FA58C406-380B-4CEA-AFF7-2B52E9EA8B56}"/>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A58C406-380B-4CEA-AFF7-2B52E9EA8B56}"/>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1165860"/>
                    </a:xfrm>
                    <a:prstGeom prst="rect">
                      <a:avLst/>
                    </a:prstGeom>
                    <a:noFill/>
                    <a:ln>
                      <a:noFill/>
                    </a:ln>
                  </pic:spPr>
                </pic:pic>
              </a:graphicData>
            </a:graphic>
          </wp:inline>
        </w:drawing>
      </w:r>
    </w:p>
    <w:p w14:paraId="4C6862EE" w14:textId="25419787" w:rsidR="00E021A7" w:rsidRPr="00E021A7" w:rsidRDefault="00E021A7" w:rsidP="00F1602D">
      <w:pPr>
        <w:rPr>
          <w:rFonts w:ascii="Arial" w:hAnsi="Arial" w:cs="Arial"/>
          <w:b/>
          <w:sz w:val="28"/>
          <w:szCs w:val="28"/>
        </w:rPr>
      </w:pPr>
      <w:r w:rsidRPr="00E021A7">
        <w:rPr>
          <w:rFonts w:ascii="Arial" w:hAnsi="Arial" w:cs="Arial"/>
          <w:b/>
          <w:sz w:val="28"/>
          <w:szCs w:val="28"/>
        </w:rPr>
        <w:t>70</w:t>
      </w:r>
      <w:r w:rsidR="005D14D6">
        <w:rPr>
          <w:rFonts w:ascii="Arial" w:hAnsi="Arial" w:cs="Arial"/>
          <w:b/>
          <w:sz w:val="28"/>
          <w:szCs w:val="28"/>
        </w:rPr>
        <w:t>1851451</w:t>
      </w:r>
      <w:r w:rsidRPr="00E021A7">
        <w:rPr>
          <w:rFonts w:ascii="Arial" w:hAnsi="Arial" w:cs="Arial"/>
          <w:b/>
          <w:sz w:val="28"/>
          <w:szCs w:val="28"/>
        </w:rPr>
        <w:t xml:space="preserve">- </w:t>
      </w:r>
      <w:r w:rsidR="009F71A1" w:rsidRPr="009F71A1">
        <w:rPr>
          <w:rFonts w:ascii="Arial" w:hAnsi="Arial" w:cs="Arial"/>
          <w:b/>
          <w:sz w:val="28"/>
          <w:szCs w:val="28"/>
        </w:rPr>
        <w:t>STATEMENT OF REQUIREMENT FOR GLOBAL AIRFIELD DATA &amp; AIRCRAFT PERFORMANCE TOOL (GADAPT)</w:t>
      </w:r>
    </w:p>
    <w:p w14:paraId="255F7EFA" w14:textId="465F0C6F" w:rsidR="00F1602D" w:rsidRPr="00017E8D" w:rsidRDefault="00F1602D" w:rsidP="00F1602D">
      <w:pPr>
        <w:rPr>
          <w:rFonts w:ascii="Arial" w:hAnsi="Arial" w:cs="Arial"/>
          <w:b/>
          <w:sz w:val="28"/>
          <w:szCs w:val="28"/>
        </w:rPr>
      </w:pPr>
      <w:r w:rsidRPr="00017E8D">
        <w:rPr>
          <w:rFonts w:ascii="Arial" w:hAnsi="Arial" w:cs="Arial"/>
          <w:b/>
          <w:sz w:val="28"/>
          <w:szCs w:val="28"/>
        </w:rPr>
        <w:t xml:space="preserve">SCHEDULE </w:t>
      </w:r>
      <w:r w:rsidR="00617E64" w:rsidRPr="00017E8D">
        <w:rPr>
          <w:rFonts w:ascii="Arial" w:hAnsi="Arial" w:cs="Arial"/>
          <w:b/>
          <w:sz w:val="28"/>
          <w:szCs w:val="28"/>
        </w:rPr>
        <w:t>11</w:t>
      </w:r>
    </w:p>
    <w:p w14:paraId="164018B2" w14:textId="616FABE8" w:rsidR="00F1602D" w:rsidRDefault="00617E64" w:rsidP="00F1602D">
      <w:pPr>
        <w:rPr>
          <w:rFonts w:ascii="Arial" w:hAnsi="Arial" w:cs="Arial"/>
          <w:b/>
          <w:bCs/>
          <w:sz w:val="20"/>
          <w:szCs w:val="20"/>
          <w:u w:val="single"/>
        </w:rPr>
      </w:pPr>
      <w:r w:rsidRPr="00017E8D">
        <w:rPr>
          <w:rFonts w:ascii="Arial" w:hAnsi="Arial" w:cs="Arial"/>
          <w:b/>
          <w:sz w:val="28"/>
          <w:szCs w:val="28"/>
        </w:rPr>
        <w:t>KPI Performance Monitoring</w:t>
      </w:r>
      <w:r w:rsidRPr="00017E8D">
        <w:rPr>
          <w:rFonts w:ascii="Arial" w:hAnsi="Arial" w:cs="Arial"/>
          <w:b/>
          <w:bCs/>
          <w:sz w:val="18"/>
          <w:szCs w:val="18"/>
          <w:u w:val="single"/>
        </w:rPr>
        <w:t xml:space="preserve"> </w:t>
      </w:r>
      <w:r w:rsidR="00F1602D">
        <w:rPr>
          <w:rFonts w:ascii="Arial" w:hAnsi="Arial" w:cs="Arial"/>
          <w:b/>
          <w:bCs/>
          <w:sz w:val="20"/>
          <w:szCs w:val="20"/>
          <w:u w:val="single"/>
        </w:rPr>
        <w:br w:type="page"/>
      </w:r>
    </w:p>
    <w:p w14:paraId="295B2014" w14:textId="64F7ECB0" w:rsidR="0019338A" w:rsidRPr="008E6F4D" w:rsidRDefault="0019338A" w:rsidP="00FF1917">
      <w:pPr>
        <w:ind w:left="720" w:hanging="360"/>
        <w:rPr>
          <w:rFonts w:ascii="Arial" w:hAnsi="Arial" w:cs="Arial"/>
          <w:b/>
          <w:bCs/>
          <w:sz w:val="20"/>
          <w:szCs w:val="20"/>
          <w:u w:val="single"/>
        </w:rPr>
      </w:pPr>
      <w:r w:rsidRPr="008E6F4D">
        <w:rPr>
          <w:rFonts w:ascii="Arial" w:hAnsi="Arial" w:cs="Arial"/>
          <w:b/>
          <w:bCs/>
          <w:sz w:val="20"/>
          <w:szCs w:val="20"/>
          <w:u w:val="single"/>
        </w:rPr>
        <w:lastRenderedPageBreak/>
        <w:t>Key Performance Indicators (KPIs)</w:t>
      </w:r>
    </w:p>
    <w:p w14:paraId="6F18730A" w14:textId="4E08F48C" w:rsidR="005C7D32" w:rsidRPr="008E6F4D" w:rsidRDefault="0019338A"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The Contract shall be monitored by the Authority against the 4 overarching Key Performance Indicators (KPIs) at Annex A of the SOR. </w:t>
      </w:r>
      <w:r w:rsidR="005C7D32" w:rsidRPr="008E6F4D">
        <w:rPr>
          <w:rFonts w:ascii="Arial" w:hAnsi="Arial" w:cs="Arial"/>
          <w:sz w:val="20"/>
          <w:szCs w:val="20"/>
        </w:rPr>
        <w:t xml:space="preserve">Performance of KPI’s will be </w:t>
      </w:r>
      <w:r w:rsidRPr="008E6F4D">
        <w:rPr>
          <w:rFonts w:ascii="Arial" w:hAnsi="Arial" w:cs="Arial"/>
          <w:sz w:val="20"/>
          <w:szCs w:val="20"/>
        </w:rPr>
        <w:t xml:space="preserve">formally </w:t>
      </w:r>
      <w:r w:rsidR="005C7D32" w:rsidRPr="008E6F4D">
        <w:rPr>
          <w:rFonts w:ascii="Arial" w:hAnsi="Arial" w:cs="Arial"/>
          <w:sz w:val="20"/>
          <w:szCs w:val="20"/>
        </w:rPr>
        <w:t>reported</w:t>
      </w:r>
      <w:r w:rsidRPr="008E6F4D">
        <w:rPr>
          <w:rFonts w:ascii="Arial" w:hAnsi="Arial" w:cs="Arial"/>
          <w:sz w:val="20"/>
          <w:szCs w:val="20"/>
        </w:rPr>
        <w:t xml:space="preserve"> by the contractor in the </w:t>
      </w:r>
      <w:r w:rsidR="00D312C6" w:rsidRPr="008E6F4D">
        <w:rPr>
          <w:rFonts w:ascii="Arial" w:hAnsi="Arial" w:cs="Arial"/>
          <w:sz w:val="20"/>
          <w:szCs w:val="20"/>
        </w:rPr>
        <w:t>quarterly</w:t>
      </w:r>
      <w:r w:rsidR="005C7D32" w:rsidRPr="008E6F4D">
        <w:rPr>
          <w:rFonts w:ascii="Arial" w:hAnsi="Arial" w:cs="Arial"/>
          <w:sz w:val="20"/>
          <w:szCs w:val="20"/>
        </w:rPr>
        <w:t xml:space="preserve"> </w:t>
      </w:r>
      <w:r w:rsidRPr="008E6F4D">
        <w:rPr>
          <w:rFonts w:ascii="Arial" w:hAnsi="Arial" w:cs="Arial"/>
          <w:sz w:val="20"/>
          <w:szCs w:val="20"/>
        </w:rPr>
        <w:t>progress meetings.</w:t>
      </w:r>
    </w:p>
    <w:p w14:paraId="6CC178BC" w14:textId="77777777" w:rsidR="00C766CE" w:rsidRPr="008E6F4D" w:rsidRDefault="00C766CE" w:rsidP="00C766CE">
      <w:pPr>
        <w:pStyle w:val="ListParagraph"/>
        <w:spacing w:line="240" w:lineRule="auto"/>
        <w:ind w:left="714"/>
        <w:rPr>
          <w:rFonts w:ascii="Arial" w:hAnsi="Arial" w:cs="Arial"/>
          <w:sz w:val="20"/>
          <w:szCs w:val="20"/>
        </w:rPr>
      </w:pPr>
    </w:p>
    <w:p w14:paraId="54B20DB5" w14:textId="2350BE76" w:rsidR="00C766CE" w:rsidRPr="008E6F4D" w:rsidRDefault="0019338A" w:rsidP="00C766CE">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The Authority shall review with the Contractor the KPI process, and the Authority may make minor adjustments, if required.</w:t>
      </w:r>
    </w:p>
    <w:p w14:paraId="55D482FD" w14:textId="77777777" w:rsidR="00C766CE" w:rsidRPr="008E6F4D" w:rsidRDefault="00C766CE" w:rsidP="00C766CE">
      <w:pPr>
        <w:pStyle w:val="ListParagraph"/>
        <w:spacing w:line="240" w:lineRule="auto"/>
        <w:ind w:left="714"/>
        <w:rPr>
          <w:rFonts w:ascii="Arial" w:hAnsi="Arial" w:cs="Arial"/>
          <w:sz w:val="20"/>
          <w:szCs w:val="20"/>
        </w:rPr>
      </w:pPr>
    </w:p>
    <w:p w14:paraId="2833CAA2" w14:textId="4C64B0F8" w:rsidR="005C7D32"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Any performance issues highlighted in these report</w:t>
      </w:r>
      <w:r w:rsidR="00F356CA" w:rsidRPr="008E6F4D">
        <w:rPr>
          <w:rFonts w:ascii="Arial" w:hAnsi="Arial" w:cs="Arial"/>
          <w:sz w:val="20"/>
          <w:szCs w:val="20"/>
        </w:rPr>
        <w:t xml:space="preserve"> meetings </w:t>
      </w:r>
      <w:r w:rsidRPr="008E6F4D">
        <w:rPr>
          <w:rFonts w:ascii="Arial" w:hAnsi="Arial" w:cs="Arial"/>
          <w:sz w:val="20"/>
          <w:szCs w:val="20"/>
        </w:rPr>
        <w:t xml:space="preserve">will be addressed by the Contractor, who shall be required to provide an improvement plan (“Remediation Plan”) to address all issues highlighted within a week of the Authority request. </w:t>
      </w:r>
    </w:p>
    <w:p w14:paraId="4DE5FEB9" w14:textId="77777777" w:rsidR="00C766CE" w:rsidRPr="008E6F4D" w:rsidRDefault="00C766CE" w:rsidP="00C766CE">
      <w:pPr>
        <w:pStyle w:val="ListParagraph"/>
        <w:spacing w:line="240" w:lineRule="auto"/>
        <w:ind w:left="714"/>
        <w:rPr>
          <w:rFonts w:ascii="Arial" w:hAnsi="Arial" w:cs="Arial"/>
          <w:sz w:val="20"/>
          <w:szCs w:val="20"/>
        </w:rPr>
      </w:pPr>
    </w:p>
    <w:p w14:paraId="15D66962" w14:textId="5151F65C" w:rsidR="00C766CE" w:rsidRPr="008E6F4D" w:rsidRDefault="005C7D32" w:rsidP="00C766CE">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Performance failure by the Contractor may result in administrative costs to the Authority. Where failure attributable to the Contractor is identified in </w:t>
      </w:r>
      <w:r w:rsidR="0019338A" w:rsidRPr="008E6F4D">
        <w:rPr>
          <w:rFonts w:ascii="Arial" w:hAnsi="Arial" w:cs="Arial"/>
          <w:sz w:val="20"/>
          <w:szCs w:val="20"/>
        </w:rPr>
        <w:t>the progress</w:t>
      </w:r>
      <w:r w:rsidR="00F356CA" w:rsidRPr="008E6F4D">
        <w:rPr>
          <w:rFonts w:ascii="Arial" w:hAnsi="Arial" w:cs="Arial"/>
          <w:sz w:val="20"/>
          <w:szCs w:val="20"/>
        </w:rPr>
        <w:t xml:space="preserve"> </w:t>
      </w:r>
      <w:r w:rsidRPr="008E6F4D">
        <w:rPr>
          <w:rFonts w:ascii="Arial" w:hAnsi="Arial" w:cs="Arial"/>
          <w:sz w:val="20"/>
          <w:szCs w:val="20"/>
        </w:rPr>
        <w:t xml:space="preserve">Report and relates to the KPIs then the service credit regime shall apply. </w:t>
      </w:r>
    </w:p>
    <w:p w14:paraId="39CB8B90" w14:textId="77777777" w:rsidR="00C766CE" w:rsidRPr="008E6F4D" w:rsidRDefault="00C766CE" w:rsidP="00C766CE">
      <w:pPr>
        <w:pStyle w:val="ListParagraph"/>
        <w:spacing w:line="240" w:lineRule="auto"/>
        <w:ind w:left="714"/>
        <w:rPr>
          <w:rFonts w:ascii="Arial" w:hAnsi="Arial" w:cs="Arial"/>
          <w:sz w:val="20"/>
          <w:szCs w:val="20"/>
        </w:rPr>
      </w:pPr>
    </w:p>
    <w:p w14:paraId="190BBA5E" w14:textId="0734EA9E" w:rsidR="005C7D32"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Key Performance Indicators (KPIs) </w:t>
      </w:r>
      <w:r w:rsidR="00F356CA" w:rsidRPr="008E6F4D">
        <w:rPr>
          <w:rFonts w:ascii="Arial" w:hAnsi="Arial" w:cs="Arial"/>
          <w:sz w:val="20"/>
          <w:szCs w:val="20"/>
        </w:rPr>
        <w:t>must</w:t>
      </w:r>
      <w:r w:rsidRPr="008E6F4D">
        <w:rPr>
          <w:rFonts w:ascii="Arial" w:hAnsi="Arial" w:cs="Arial"/>
          <w:sz w:val="20"/>
          <w:szCs w:val="20"/>
        </w:rPr>
        <w:t xml:space="preserve"> be met otherwise indicating that the service is failing to deliver. Without the use of service credits in such a situation, this service failure places strain on the relationship as delivery falls short of agreed levels. As a result, the only recourse would be to terminate and seek alternative supply. </w:t>
      </w:r>
    </w:p>
    <w:p w14:paraId="31B44237" w14:textId="77777777" w:rsidR="00C766CE" w:rsidRPr="008E6F4D" w:rsidRDefault="00C766CE" w:rsidP="00C766CE">
      <w:pPr>
        <w:pStyle w:val="ListParagraph"/>
        <w:spacing w:line="240" w:lineRule="auto"/>
        <w:ind w:left="714"/>
        <w:rPr>
          <w:rFonts w:ascii="Arial" w:hAnsi="Arial" w:cs="Arial"/>
          <w:sz w:val="20"/>
          <w:szCs w:val="20"/>
        </w:rPr>
      </w:pPr>
    </w:p>
    <w:p w14:paraId="4020ED66" w14:textId="46418807" w:rsidR="00C766CE" w:rsidRPr="008E6F4D" w:rsidRDefault="005C7D32" w:rsidP="00C766CE">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The use of a strong service credit regime accompanied by a proactive approach to correcting failures and addressing their cause improves the relationship and enables a partnership rather than a confrontational style of working. Its focus is on managing and improving service. </w:t>
      </w:r>
    </w:p>
    <w:p w14:paraId="69FD93ED" w14:textId="77777777" w:rsidR="00C766CE" w:rsidRPr="008E6F4D" w:rsidRDefault="00C766CE" w:rsidP="00C766CE">
      <w:pPr>
        <w:pStyle w:val="ListParagraph"/>
        <w:spacing w:line="240" w:lineRule="auto"/>
        <w:ind w:left="714"/>
        <w:rPr>
          <w:rFonts w:ascii="Arial" w:hAnsi="Arial" w:cs="Arial"/>
          <w:sz w:val="20"/>
          <w:szCs w:val="20"/>
        </w:rPr>
      </w:pPr>
    </w:p>
    <w:p w14:paraId="555C6C92" w14:textId="76772791" w:rsidR="005C7D32"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Where a KPI has a percentage measure the Contractors performance will be rounded up or down to the nearest whole number.</w:t>
      </w:r>
    </w:p>
    <w:p w14:paraId="5435DA30" w14:textId="77777777" w:rsidR="00C766CE" w:rsidRPr="008E6F4D" w:rsidRDefault="00C766CE" w:rsidP="00C766CE">
      <w:pPr>
        <w:pStyle w:val="ListParagraph"/>
        <w:spacing w:line="240" w:lineRule="auto"/>
        <w:ind w:left="714"/>
        <w:rPr>
          <w:rFonts w:ascii="Arial" w:hAnsi="Arial" w:cs="Arial"/>
          <w:sz w:val="20"/>
          <w:szCs w:val="20"/>
        </w:rPr>
      </w:pPr>
    </w:p>
    <w:p w14:paraId="7761E3B7" w14:textId="77777777" w:rsidR="0019338A" w:rsidRPr="008E6F4D" w:rsidRDefault="005C7D32" w:rsidP="0019338A">
      <w:pPr>
        <w:pStyle w:val="ListParagraph"/>
        <w:numPr>
          <w:ilvl w:val="0"/>
          <w:numId w:val="1"/>
        </w:numPr>
        <w:spacing w:line="240" w:lineRule="auto"/>
        <w:ind w:left="714" w:hanging="357"/>
        <w:rPr>
          <w:rFonts w:ascii="Arial" w:hAnsi="Arial" w:cs="Arial"/>
          <w:sz w:val="20"/>
          <w:szCs w:val="20"/>
        </w:rPr>
      </w:pPr>
      <w:r w:rsidRPr="008E6F4D">
        <w:rPr>
          <w:rFonts w:ascii="Arial" w:hAnsi="Arial" w:cs="Arial"/>
          <w:sz w:val="20"/>
          <w:szCs w:val="20"/>
        </w:rPr>
        <w:t xml:space="preserve">Where a Red Status is awarded, the Contractors shall produce a Contractors Remediation Plan, detailing the measures that the Contractor will undertake to rectify this failure as well as any measures to be introduced to prevent this failure from occurring in the future. Measures proposed may include introduction of new KPIs. </w:t>
      </w:r>
    </w:p>
    <w:p w14:paraId="57CC082D" w14:textId="6AE6E7BF" w:rsidR="0019338A" w:rsidRPr="008E6F4D" w:rsidRDefault="00D312C6" w:rsidP="0019338A">
      <w:pPr>
        <w:ind w:left="360"/>
        <w:rPr>
          <w:rFonts w:ascii="Arial" w:hAnsi="Arial" w:cs="Arial"/>
          <w:b/>
          <w:bCs/>
          <w:sz w:val="20"/>
          <w:szCs w:val="20"/>
          <w:u w:val="single"/>
        </w:rPr>
      </w:pPr>
      <w:r w:rsidRPr="008E6F4D">
        <w:rPr>
          <w:rFonts w:ascii="Arial" w:hAnsi="Arial" w:cs="Arial"/>
          <w:b/>
          <w:bCs/>
          <w:sz w:val="20"/>
          <w:szCs w:val="20"/>
          <w:u w:val="single"/>
        </w:rPr>
        <w:t>Service</w:t>
      </w:r>
      <w:r w:rsidR="0019338A" w:rsidRPr="008E6F4D">
        <w:rPr>
          <w:rFonts w:ascii="Arial" w:hAnsi="Arial" w:cs="Arial"/>
          <w:b/>
          <w:bCs/>
          <w:sz w:val="20"/>
          <w:szCs w:val="20"/>
          <w:u w:val="single"/>
        </w:rPr>
        <w:t xml:space="preserve"> credits</w:t>
      </w:r>
    </w:p>
    <w:p w14:paraId="54F79B6C" w14:textId="0169ED94" w:rsidR="005C7D32" w:rsidRPr="008E6F4D" w:rsidRDefault="005C7D32" w:rsidP="0019338A">
      <w:pPr>
        <w:rPr>
          <w:rFonts w:ascii="Arial" w:hAnsi="Arial" w:cs="Arial"/>
          <w:sz w:val="20"/>
          <w:szCs w:val="20"/>
        </w:rPr>
      </w:pPr>
      <w:r w:rsidRPr="008E6F4D">
        <w:rPr>
          <w:rFonts w:ascii="Arial" w:hAnsi="Arial" w:cs="Arial"/>
          <w:sz w:val="20"/>
          <w:szCs w:val="20"/>
        </w:rPr>
        <w:t>Service Credits The use of Service Credits is governed by the following principles:</w:t>
      </w:r>
    </w:p>
    <w:p w14:paraId="70251BE7" w14:textId="77777777" w:rsidR="005C7D32" w:rsidRPr="008E6F4D" w:rsidRDefault="005C7D32">
      <w:pPr>
        <w:rPr>
          <w:rFonts w:ascii="Arial" w:hAnsi="Arial" w:cs="Arial"/>
          <w:sz w:val="20"/>
          <w:szCs w:val="20"/>
        </w:rPr>
      </w:pPr>
      <w:r w:rsidRPr="008E6F4D">
        <w:rPr>
          <w:rFonts w:ascii="Arial" w:hAnsi="Arial" w:cs="Arial"/>
          <w:sz w:val="20"/>
          <w:szCs w:val="20"/>
        </w:rPr>
        <w:t xml:space="preserve"> • Service Credits sit within the wider service management approach being pursued by the Supplier and the Authority. The use of Service Credits does not prejudice the Authority’s rights under appropriate clauses of the contract in the event of inadequate performance by the Contractor.</w:t>
      </w:r>
    </w:p>
    <w:p w14:paraId="2322789A" w14:textId="76AC077B" w:rsidR="005C7D32" w:rsidRPr="008E6F4D" w:rsidRDefault="005C7D32">
      <w:pPr>
        <w:rPr>
          <w:rFonts w:ascii="Arial" w:hAnsi="Arial" w:cs="Arial"/>
          <w:sz w:val="20"/>
          <w:szCs w:val="20"/>
        </w:rPr>
      </w:pPr>
      <w:r w:rsidRPr="008E6F4D">
        <w:rPr>
          <w:rFonts w:ascii="Arial" w:hAnsi="Arial" w:cs="Arial"/>
          <w:sz w:val="20"/>
          <w:szCs w:val="20"/>
        </w:rPr>
        <w:t xml:space="preserve"> • The Service Credit regime would be instigated on each occasion where there is a service failure (</w:t>
      </w:r>
      <w:r w:rsidR="00D312C6" w:rsidRPr="008E6F4D">
        <w:rPr>
          <w:rFonts w:ascii="Arial" w:hAnsi="Arial" w:cs="Arial"/>
          <w:sz w:val="20"/>
          <w:szCs w:val="20"/>
        </w:rPr>
        <w:t>i.e.,</w:t>
      </w:r>
      <w:r w:rsidRPr="008E6F4D">
        <w:rPr>
          <w:rFonts w:ascii="Arial" w:hAnsi="Arial" w:cs="Arial"/>
          <w:sz w:val="20"/>
          <w:szCs w:val="20"/>
        </w:rPr>
        <w:t xml:space="preserve"> where a KPI is identified as having a ‘Red status’). This would also give rise to a Remediation Plan. </w:t>
      </w:r>
    </w:p>
    <w:p w14:paraId="585F979E" w14:textId="04EA75E0" w:rsidR="005C7D32" w:rsidRPr="008E6F4D" w:rsidRDefault="005C7D32">
      <w:pPr>
        <w:rPr>
          <w:rFonts w:ascii="Arial" w:hAnsi="Arial" w:cs="Arial"/>
          <w:sz w:val="20"/>
          <w:szCs w:val="20"/>
        </w:rPr>
      </w:pPr>
      <w:r w:rsidRPr="008E6F4D">
        <w:rPr>
          <w:rFonts w:ascii="Arial" w:hAnsi="Arial" w:cs="Arial"/>
          <w:sz w:val="20"/>
          <w:szCs w:val="20"/>
        </w:rPr>
        <w:t xml:space="preserve">• The Authority has full and complete discretion on whether to claim all, </w:t>
      </w:r>
      <w:r w:rsidR="00D312C6" w:rsidRPr="008E6F4D">
        <w:rPr>
          <w:rFonts w:ascii="Arial" w:hAnsi="Arial" w:cs="Arial"/>
          <w:sz w:val="20"/>
          <w:szCs w:val="20"/>
        </w:rPr>
        <w:t>part,</w:t>
      </w:r>
      <w:r w:rsidRPr="008E6F4D">
        <w:rPr>
          <w:rFonts w:ascii="Arial" w:hAnsi="Arial" w:cs="Arial"/>
          <w:sz w:val="20"/>
          <w:szCs w:val="20"/>
        </w:rPr>
        <w:t xml:space="preserve"> or none of a Service Credit to which it is due.</w:t>
      </w:r>
    </w:p>
    <w:p w14:paraId="06711BD9" w14:textId="77777777" w:rsidR="005C7D32" w:rsidRPr="008E6F4D" w:rsidRDefault="005C7D32">
      <w:pPr>
        <w:rPr>
          <w:rFonts w:ascii="Arial" w:hAnsi="Arial" w:cs="Arial"/>
          <w:sz w:val="20"/>
          <w:szCs w:val="20"/>
        </w:rPr>
      </w:pPr>
      <w:r w:rsidRPr="008E6F4D">
        <w:rPr>
          <w:rFonts w:ascii="Arial" w:hAnsi="Arial" w:cs="Arial"/>
          <w:sz w:val="20"/>
          <w:szCs w:val="20"/>
        </w:rPr>
        <w:t xml:space="preserve"> • Service Credits claimed will be applied to the subsequent invoice as a credit note. </w:t>
      </w:r>
    </w:p>
    <w:p w14:paraId="6473C04D" w14:textId="77777777" w:rsidR="005C7D32" w:rsidRPr="008E6F4D" w:rsidRDefault="005C7D32">
      <w:pPr>
        <w:rPr>
          <w:rFonts w:ascii="Arial" w:hAnsi="Arial" w:cs="Arial"/>
          <w:sz w:val="20"/>
          <w:szCs w:val="20"/>
        </w:rPr>
      </w:pPr>
      <w:r w:rsidRPr="008E6F4D">
        <w:rPr>
          <w:rFonts w:ascii="Arial" w:hAnsi="Arial" w:cs="Arial"/>
          <w:sz w:val="20"/>
          <w:szCs w:val="20"/>
        </w:rPr>
        <w:t xml:space="preserve">• The full, agreed Service Credit regime shall operate from the initial delivery date until the end of the Contract Period. Service credits will be applied as follows: </w:t>
      </w:r>
    </w:p>
    <w:p w14:paraId="13C6E584" w14:textId="77777777" w:rsidR="00F0726B" w:rsidRPr="008E6F4D" w:rsidRDefault="00F0726B" w:rsidP="00F0726B">
      <w:pPr>
        <w:pStyle w:val="NormalWeb"/>
        <w:rPr>
          <w:rFonts w:ascii="Arial" w:hAnsi="Arial" w:cs="Arial"/>
          <w:color w:val="000000"/>
          <w:sz w:val="20"/>
          <w:szCs w:val="20"/>
        </w:rPr>
      </w:pPr>
    </w:p>
    <w:p w14:paraId="0246FF8D" w14:textId="18AAA11A" w:rsidR="00F0726B" w:rsidRDefault="00F0726B" w:rsidP="00F0726B">
      <w:pPr>
        <w:pStyle w:val="NormalWeb"/>
        <w:rPr>
          <w:rFonts w:ascii="Arial" w:hAnsi="Arial" w:cs="Arial"/>
          <w:color w:val="000000"/>
          <w:sz w:val="20"/>
          <w:szCs w:val="20"/>
        </w:rPr>
      </w:pPr>
    </w:p>
    <w:p w14:paraId="64F32774" w14:textId="5F3D7224" w:rsidR="00346E0C" w:rsidRDefault="00346E0C" w:rsidP="00F0726B">
      <w:pPr>
        <w:pStyle w:val="NormalWeb"/>
        <w:rPr>
          <w:rFonts w:ascii="Arial" w:hAnsi="Arial" w:cs="Arial"/>
          <w:color w:val="000000"/>
          <w:sz w:val="20"/>
          <w:szCs w:val="20"/>
        </w:rPr>
      </w:pPr>
    </w:p>
    <w:p w14:paraId="5350C996" w14:textId="77777777" w:rsidR="00346E0C" w:rsidRPr="008E6F4D" w:rsidRDefault="00346E0C" w:rsidP="00F0726B">
      <w:pPr>
        <w:pStyle w:val="NormalWeb"/>
        <w:rPr>
          <w:rFonts w:ascii="Arial" w:hAnsi="Arial" w:cs="Arial"/>
          <w:color w:val="000000"/>
          <w:sz w:val="20"/>
          <w:szCs w:val="20"/>
        </w:rPr>
      </w:pPr>
    </w:p>
    <w:p w14:paraId="3E4EAA65" w14:textId="4C2AF52B" w:rsidR="00F0726B" w:rsidRPr="008E6F4D" w:rsidRDefault="00F0726B" w:rsidP="00F0726B">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lastRenderedPageBreak/>
        <w:t>Service Credit 1: KPI 1</w:t>
      </w:r>
    </w:p>
    <w:p w14:paraId="6AEBAA73" w14:textId="5F5C4C19" w:rsidR="00F0726B" w:rsidRPr="008E6F4D" w:rsidRDefault="00F0726B" w:rsidP="008E6F4D">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 xml:space="preserve">For an ‘Amber </w:t>
      </w:r>
      <w:r w:rsidRPr="00522C1C">
        <w:rPr>
          <w:rFonts w:ascii="Arial" w:hAnsi="Arial" w:cs="Arial"/>
          <w:color w:val="000000"/>
          <w:sz w:val="20"/>
          <w:szCs w:val="20"/>
        </w:rPr>
        <w:t>Status’</w:t>
      </w:r>
      <w:r w:rsidR="0023403F" w:rsidRPr="00522C1C">
        <w:rPr>
          <w:rFonts w:ascii="Arial" w:hAnsi="Arial" w:cs="Arial"/>
          <w:sz w:val="20"/>
          <w:szCs w:val="20"/>
        </w:rPr>
        <w:t xml:space="preserve"> instance of failure within a month</w:t>
      </w:r>
      <w:r w:rsidRPr="00522C1C">
        <w:rPr>
          <w:rFonts w:ascii="Arial" w:hAnsi="Arial" w:cs="Arial"/>
          <w:color w:val="000000"/>
          <w:sz w:val="20"/>
          <w:szCs w:val="20"/>
        </w:rPr>
        <w:t>, the contractor shall formally articulate the issue(s) and mitigation at the</w:t>
      </w:r>
      <w:r w:rsidR="00DC5149" w:rsidRPr="00522C1C">
        <w:rPr>
          <w:rFonts w:ascii="Arial" w:hAnsi="Arial" w:cs="Arial"/>
          <w:color w:val="000000"/>
          <w:sz w:val="20"/>
          <w:szCs w:val="20"/>
        </w:rPr>
        <w:t xml:space="preserve"> </w:t>
      </w:r>
      <w:r w:rsidRPr="00522C1C">
        <w:rPr>
          <w:rFonts w:ascii="Arial" w:hAnsi="Arial" w:cs="Arial"/>
          <w:color w:val="000000"/>
          <w:sz w:val="20"/>
          <w:szCs w:val="20"/>
        </w:rPr>
        <w:t>CPR meeting</w:t>
      </w:r>
      <w:r w:rsidRPr="008E6F4D">
        <w:rPr>
          <w:rFonts w:ascii="Arial" w:hAnsi="Arial" w:cs="Arial"/>
          <w:color w:val="000000"/>
          <w:sz w:val="20"/>
          <w:szCs w:val="20"/>
        </w:rPr>
        <w:t xml:space="preserve"> and update their CPR report accordingly.</w:t>
      </w:r>
    </w:p>
    <w:p w14:paraId="6DF6DBBC" w14:textId="32C71D58" w:rsidR="00F0726B" w:rsidRPr="008E6F4D" w:rsidRDefault="00F0726B" w:rsidP="008E6F4D">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 For an ‘Amber Status</w:t>
      </w:r>
      <w:r w:rsidR="003A1F27" w:rsidRPr="297FA16E">
        <w:rPr>
          <w:rFonts w:ascii="Arial" w:hAnsi="Arial" w:cs="Arial"/>
          <w:color w:val="000000" w:themeColor="text1"/>
          <w:sz w:val="20"/>
          <w:szCs w:val="20"/>
        </w:rPr>
        <w:t>’</w:t>
      </w:r>
      <w:r w:rsidR="008E6F4D" w:rsidRPr="297FA16E">
        <w:rPr>
          <w:rFonts w:ascii="Arial" w:hAnsi="Arial" w:cs="Arial"/>
          <w:color w:val="000000" w:themeColor="text1"/>
          <w:sz w:val="20"/>
          <w:szCs w:val="20"/>
        </w:rPr>
        <w:t xml:space="preserve"> spanning 2 consecutive months</w:t>
      </w:r>
      <w:r w:rsidRPr="297FA16E">
        <w:rPr>
          <w:rFonts w:ascii="Arial" w:hAnsi="Arial" w:cs="Arial"/>
          <w:color w:val="000000" w:themeColor="text1"/>
          <w:sz w:val="20"/>
          <w:szCs w:val="20"/>
        </w:rPr>
        <w:t>, the Contractor shall produce ‘a remediation plan’ and apply a ‘Service Credit’ equal to 10</w:t>
      </w:r>
      <w:r w:rsidR="0022395C" w:rsidRPr="297FA16E">
        <w:rPr>
          <w:rFonts w:ascii="Arial" w:hAnsi="Arial" w:cs="Arial"/>
          <w:color w:val="000000" w:themeColor="text1"/>
          <w:sz w:val="20"/>
          <w:szCs w:val="20"/>
        </w:rPr>
        <w:t>% of</w:t>
      </w:r>
      <w:r w:rsidRPr="297FA16E">
        <w:rPr>
          <w:rFonts w:ascii="Arial" w:hAnsi="Arial" w:cs="Arial"/>
          <w:color w:val="000000" w:themeColor="text1"/>
          <w:sz w:val="20"/>
          <w:szCs w:val="20"/>
        </w:rPr>
        <w:t xml:space="preserve"> the</w:t>
      </w:r>
      <w:r w:rsidR="00C13A47">
        <w:rPr>
          <w:rFonts w:ascii="Arial" w:hAnsi="Arial" w:cs="Arial"/>
          <w:color w:val="000000" w:themeColor="text1"/>
          <w:sz w:val="20"/>
          <w:szCs w:val="20"/>
        </w:rPr>
        <w:t xml:space="preserve"> </w:t>
      </w:r>
      <w:bookmarkStart w:id="0" w:name="_Hlk101879567"/>
      <w:r w:rsidR="00DA7299">
        <w:rPr>
          <w:rFonts w:ascii="Arial" w:hAnsi="Arial" w:cs="Arial"/>
          <w:color w:val="000000" w:themeColor="text1"/>
          <w:sz w:val="20"/>
          <w:szCs w:val="20"/>
        </w:rPr>
        <w:t>current</w:t>
      </w:r>
      <w:r w:rsidR="008E11EC">
        <w:rPr>
          <w:rFonts w:ascii="Arial" w:hAnsi="Arial" w:cs="Arial"/>
          <w:color w:val="000000" w:themeColor="text1"/>
          <w:sz w:val="20"/>
          <w:szCs w:val="20"/>
        </w:rPr>
        <w:t xml:space="preserve"> </w:t>
      </w:r>
      <w:proofErr w:type="gramStart"/>
      <w:r w:rsidR="008E11EC">
        <w:rPr>
          <w:rFonts w:ascii="Arial" w:hAnsi="Arial" w:cs="Arial"/>
          <w:color w:val="000000" w:themeColor="text1"/>
          <w:sz w:val="20"/>
          <w:szCs w:val="20"/>
        </w:rPr>
        <w:t>reports</w:t>
      </w:r>
      <w:proofErr w:type="gramEnd"/>
      <w:r w:rsidRPr="297FA16E">
        <w:rPr>
          <w:rFonts w:ascii="Arial" w:hAnsi="Arial" w:cs="Arial"/>
          <w:color w:val="000000" w:themeColor="text1"/>
          <w:sz w:val="20"/>
          <w:szCs w:val="20"/>
        </w:rPr>
        <w:t xml:space="preserve"> </w:t>
      </w:r>
      <w:bookmarkEnd w:id="0"/>
      <w:r w:rsidRPr="297FA16E">
        <w:rPr>
          <w:rFonts w:ascii="Arial" w:hAnsi="Arial" w:cs="Arial"/>
          <w:color w:val="000000" w:themeColor="text1"/>
          <w:sz w:val="20"/>
          <w:szCs w:val="20"/>
        </w:rPr>
        <w:t xml:space="preserve">monthly payment attributable to </w:t>
      </w:r>
      <w:r w:rsidR="00B01084">
        <w:rPr>
          <w:rFonts w:ascii="Arial" w:hAnsi="Arial" w:cs="Arial"/>
          <w:color w:val="000000" w:themeColor="text1"/>
          <w:sz w:val="20"/>
          <w:szCs w:val="20"/>
        </w:rPr>
        <w:t>all</w:t>
      </w:r>
      <w:r w:rsidRPr="297FA16E">
        <w:rPr>
          <w:rFonts w:ascii="Arial" w:hAnsi="Arial" w:cs="Arial"/>
          <w:color w:val="000000" w:themeColor="text1"/>
          <w:sz w:val="20"/>
          <w:szCs w:val="20"/>
        </w:rPr>
        <w:t xml:space="preserve"> contracted service in </w:t>
      </w:r>
      <w:r w:rsidR="00B77F1F" w:rsidRPr="297FA16E">
        <w:rPr>
          <w:rFonts w:ascii="Arial" w:hAnsi="Arial" w:cs="Arial"/>
          <w:color w:val="000000" w:themeColor="text1"/>
          <w:sz w:val="20"/>
          <w:szCs w:val="20"/>
        </w:rPr>
        <w:t xml:space="preserve">Schedule 2, </w:t>
      </w:r>
      <w:r w:rsidR="00D14933">
        <w:rPr>
          <w:rFonts w:ascii="Arial" w:hAnsi="Arial" w:cs="Arial"/>
          <w:color w:val="000000" w:themeColor="text1"/>
          <w:sz w:val="20"/>
          <w:szCs w:val="20"/>
        </w:rPr>
        <w:t>S</w:t>
      </w:r>
      <w:r w:rsidR="00B77F1F">
        <w:rPr>
          <w:rFonts w:ascii="Arial" w:hAnsi="Arial" w:cs="Arial"/>
          <w:color w:val="000000" w:themeColor="text1"/>
          <w:sz w:val="20"/>
          <w:szCs w:val="20"/>
        </w:rPr>
        <w:t>chedule of Requirement</w:t>
      </w:r>
      <w:r w:rsidRPr="297FA16E">
        <w:rPr>
          <w:rFonts w:ascii="Arial" w:hAnsi="Arial" w:cs="Arial"/>
          <w:color w:val="000000" w:themeColor="text1"/>
          <w:sz w:val="20"/>
          <w:szCs w:val="20"/>
        </w:rPr>
        <w:t>. ‘Service Credits’ will be suspended until the third consecutive months performance has been assessed.</w:t>
      </w:r>
    </w:p>
    <w:p w14:paraId="0FDBFDBC" w14:textId="3D1F6332" w:rsidR="00F0726B" w:rsidRPr="008E6F4D" w:rsidRDefault="00F0726B" w:rsidP="008E6F4D">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004C0B89">
        <w:rPr>
          <w:rFonts w:ascii="Arial" w:hAnsi="Arial" w:cs="Arial"/>
          <w:color w:val="000000" w:themeColor="text1"/>
          <w:sz w:val="20"/>
          <w:szCs w:val="20"/>
        </w:rPr>
        <w:t xml:space="preserve">current </w:t>
      </w:r>
      <w:proofErr w:type="gramStart"/>
      <w:r w:rsidR="004C0B89">
        <w:rPr>
          <w:rFonts w:ascii="Arial" w:hAnsi="Arial" w:cs="Arial"/>
          <w:color w:val="000000" w:themeColor="text1"/>
          <w:sz w:val="20"/>
          <w:szCs w:val="20"/>
        </w:rPr>
        <w:t>reports</w:t>
      </w:r>
      <w:proofErr w:type="gramEnd"/>
      <w:r w:rsidRPr="297FA16E">
        <w:rPr>
          <w:rFonts w:ascii="Arial" w:hAnsi="Arial" w:cs="Arial"/>
          <w:color w:val="000000" w:themeColor="text1"/>
          <w:sz w:val="20"/>
          <w:szCs w:val="20"/>
        </w:rPr>
        <w:t xml:space="preserve"> payment attributable to </w:t>
      </w:r>
      <w:r w:rsidR="00895343">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sidR="00895343">
        <w:rPr>
          <w:rFonts w:ascii="Arial" w:hAnsi="Arial" w:cs="Arial"/>
          <w:color w:val="000000" w:themeColor="text1"/>
          <w:sz w:val="20"/>
          <w:szCs w:val="20"/>
        </w:rPr>
        <w:t>s</w:t>
      </w:r>
      <w:r w:rsidRPr="297FA16E">
        <w:rPr>
          <w:rFonts w:ascii="Arial" w:hAnsi="Arial" w:cs="Arial"/>
          <w:color w:val="000000" w:themeColor="text1"/>
          <w:sz w:val="20"/>
          <w:szCs w:val="20"/>
        </w:rPr>
        <w:t xml:space="preserve"> in </w:t>
      </w:r>
      <w:r w:rsidR="00D14933" w:rsidRPr="297FA16E">
        <w:rPr>
          <w:rFonts w:ascii="Arial" w:hAnsi="Arial" w:cs="Arial"/>
          <w:color w:val="000000" w:themeColor="text1"/>
          <w:sz w:val="20"/>
          <w:szCs w:val="20"/>
        </w:rPr>
        <w:t xml:space="preserve">Schedule 2, </w:t>
      </w:r>
      <w:r w:rsidR="00D14933">
        <w:rPr>
          <w:rFonts w:ascii="Arial" w:hAnsi="Arial" w:cs="Arial"/>
          <w:color w:val="000000" w:themeColor="text1"/>
          <w:sz w:val="20"/>
          <w:szCs w:val="20"/>
        </w:rPr>
        <w:t>Schedule of Requirement.</w:t>
      </w:r>
    </w:p>
    <w:p w14:paraId="05A1D07E" w14:textId="3694B247" w:rsidR="00F0726B" w:rsidRPr="008E6F4D" w:rsidRDefault="00F0726B" w:rsidP="008E6F4D">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spanning 2 consecutive months, the Contractor shall review and update the ‘remediation plan’ and apply a ‘Service Credit’ of 15% of </w:t>
      </w:r>
      <w:r w:rsidR="00FF776E" w:rsidRPr="00FF776E">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sidR="00895343">
        <w:rPr>
          <w:rFonts w:ascii="Arial" w:hAnsi="Arial" w:cs="Arial"/>
          <w:color w:val="000000" w:themeColor="text1"/>
          <w:sz w:val="20"/>
          <w:szCs w:val="20"/>
        </w:rPr>
        <w:t xml:space="preserve">all </w:t>
      </w:r>
      <w:r w:rsidR="00D14933" w:rsidRPr="297FA16E">
        <w:rPr>
          <w:rFonts w:ascii="Arial" w:hAnsi="Arial" w:cs="Arial"/>
          <w:color w:val="000000" w:themeColor="text1"/>
          <w:sz w:val="20"/>
          <w:szCs w:val="20"/>
        </w:rPr>
        <w:t>service</w:t>
      </w:r>
      <w:r w:rsidR="00895343">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sidR="00D14933">
        <w:rPr>
          <w:rFonts w:ascii="Arial" w:hAnsi="Arial" w:cs="Arial"/>
          <w:color w:val="000000" w:themeColor="text1"/>
          <w:sz w:val="20"/>
          <w:szCs w:val="20"/>
        </w:rPr>
        <w:t>S</w:t>
      </w:r>
      <w:r w:rsidR="00B77F1F">
        <w:rPr>
          <w:rFonts w:ascii="Arial" w:hAnsi="Arial" w:cs="Arial"/>
          <w:color w:val="000000" w:themeColor="text1"/>
          <w:sz w:val="20"/>
          <w:szCs w:val="20"/>
        </w:rPr>
        <w:t xml:space="preserve">chedule of </w:t>
      </w:r>
      <w:r w:rsidR="00D14933">
        <w:rPr>
          <w:rFonts w:ascii="Arial" w:hAnsi="Arial" w:cs="Arial"/>
          <w:color w:val="000000" w:themeColor="text1"/>
          <w:sz w:val="20"/>
          <w:szCs w:val="20"/>
        </w:rPr>
        <w:t>R</w:t>
      </w:r>
      <w:r w:rsidR="00B77F1F">
        <w:rPr>
          <w:rFonts w:ascii="Arial" w:hAnsi="Arial" w:cs="Arial"/>
          <w:color w:val="000000" w:themeColor="text1"/>
          <w:sz w:val="20"/>
          <w:szCs w:val="20"/>
        </w:rPr>
        <w:t>equirement.</w:t>
      </w:r>
    </w:p>
    <w:p w14:paraId="3B23F913" w14:textId="1F878967" w:rsidR="00F0726B" w:rsidRPr="008E6F4D" w:rsidRDefault="00F0726B" w:rsidP="00F0726B">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t>Service Credit 2: KPI 2</w:t>
      </w:r>
    </w:p>
    <w:p w14:paraId="1BB41643" w14:textId="1E5B1369" w:rsidR="00D14933" w:rsidRPr="008E6F4D" w:rsidRDefault="00D14933" w:rsidP="00D14933">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For an ‘Amber Status’</w:t>
      </w:r>
      <w:r w:rsidRPr="008E6F4D">
        <w:rPr>
          <w:rFonts w:ascii="Arial" w:hAnsi="Arial" w:cs="Arial"/>
          <w:sz w:val="20"/>
          <w:szCs w:val="20"/>
        </w:rPr>
        <w:t xml:space="preserve"> instance of failure within a month</w:t>
      </w:r>
      <w:r w:rsidRPr="008E6F4D">
        <w:rPr>
          <w:rFonts w:ascii="Arial" w:hAnsi="Arial" w:cs="Arial"/>
          <w:color w:val="000000"/>
          <w:sz w:val="20"/>
          <w:szCs w:val="20"/>
        </w:rPr>
        <w:t xml:space="preserve">, the contractor shall formally articulate the issue(s) and mitigation at the </w:t>
      </w:r>
      <w:r w:rsidRPr="00522C1C">
        <w:rPr>
          <w:rFonts w:ascii="Arial" w:hAnsi="Arial" w:cs="Arial"/>
          <w:color w:val="000000"/>
          <w:sz w:val="20"/>
          <w:szCs w:val="20"/>
        </w:rPr>
        <w:t>CPR meeting and update their CPR</w:t>
      </w:r>
      <w:r w:rsidRPr="008E6F4D">
        <w:rPr>
          <w:rFonts w:ascii="Arial" w:hAnsi="Arial" w:cs="Arial"/>
          <w:color w:val="000000"/>
          <w:sz w:val="20"/>
          <w:szCs w:val="20"/>
        </w:rPr>
        <w:t xml:space="preserve"> report accordingly.</w:t>
      </w:r>
    </w:p>
    <w:p w14:paraId="66C6CA33" w14:textId="1D994D25" w:rsidR="00D14933" w:rsidRPr="008E6F4D" w:rsidRDefault="00D14933" w:rsidP="00D1493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 </w:t>
      </w:r>
      <w:r w:rsidR="00CD1583" w:rsidRPr="297FA16E">
        <w:rPr>
          <w:rFonts w:ascii="Arial" w:hAnsi="Arial" w:cs="Arial"/>
          <w:color w:val="000000" w:themeColor="text1"/>
          <w:sz w:val="20"/>
          <w:szCs w:val="20"/>
        </w:rPr>
        <w:t>For an ‘Amber Status’ spanning 2 consecutive months, the Contractor shall produce ‘a remediation plan’ and apply a ‘Service Credit’ equal to 10% of the</w:t>
      </w:r>
      <w:r w:rsidR="00CD1583">
        <w:rPr>
          <w:rFonts w:ascii="Arial" w:hAnsi="Arial" w:cs="Arial"/>
          <w:color w:val="000000" w:themeColor="text1"/>
          <w:sz w:val="20"/>
          <w:szCs w:val="20"/>
        </w:rPr>
        <w:t xml:space="preserve"> </w:t>
      </w:r>
      <w:r w:rsidR="00FF776E" w:rsidRPr="00FF776E">
        <w:rPr>
          <w:rFonts w:ascii="Arial" w:hAnsi="Arial" w:cs="Arial"/>
          <w:color w:val="000000" w:themeColor="text1"/>
          <w:sz w:val="20"/>
          <w:szCs w:val="20"/>
        </w:rPr>
        <w:t xml:space="preserve">current </w:t>
      </w:r>
      <w:r w:rsidR="008C34ED" w:rsidRPr="00FF776E">
        <w:rPr>
          <w:rFonts w:ascii="Arial" w:hAnsi="Arial" w:cs="Arial"/>
          <w:color w:val="000000" w:themeColor="text1"/>
          <w:sz w:val="20"/>
          <w:szCs w:val="20"/>
        </w:rPr>
        <w:t>report’s</w:t>
      </w:r>
      <w:r w:rsidR="00FF776E" w:rsidRPr="00FF776E">
        <w:rPr>
          <w:rFonts w:ascii="Arial" w:hAnsi="Arial" w:cs="Arial"/>
          <w:color w:val="000000" w:themeColor="text1"/>
          <w:sz w:val="20"/>
          <w:szCs w:val="20"/>
        </w:rPr>
        <w:t xml:space="preserve"> </w:t>
      </w:r>
      <w:r w:rsidR="00CD1583" w:rsidRPr="297FA16E">
        <w:rPr>
          <w:rFonts w:ascii="Arial" w:hAnsi="Arial" w:cs="Arial"/>
          <w:color w:val="000000" w:themeColor="text1"/>
          <w:sz w:val="20"/>
          <w:szCs w:val="20"/>
        </w:rPr>
        <w:t xml:space="preserve">payment attributable to </w:t>
      </w:r>
      <w:r w:rsidR="00B01084">
        <w:rPr>
          <w:rFonts w:ascii="Arial" w:hAnsi="Arial" w:cs="Arial"/>
          <w:color w:val="000000" w:themeColor="text1"/>
          <w:sz w:val="20"/>
          <w:szCs w:val="20"/>
        </w:rPr>
        <w:t>all</w:t>
      </w:r>
      <w:r w:rsidR="00CD1583" w:rsidRPr="297FA16E">
        <w:rPr>
          <w:rFonts w:ascii="Arial" w:hAnsi="Arial" w:cs="Arial"/>
          <w:color w:val="000000" w:themeColor="text1"/>
          <w:sz w:val="20"/>
          <w:szCs w:val="20"/>
        </w:rPr>
        <w:t xml:space="preserve"> contracted service in Schedule 2, </w:t>
      </w:r>
      <w:r w:rsidR="00CD1583">
        <w:rPr>
          <w:rFonts w:ascii="Arial" w:hAnsi="Arial" w:cs="Arial"/>
          <w:color w:val="000000" w:themeColor="text1"/>
          <w:sz w:val="20"/>
          <w:szCs w:val="20"/>
        </w:rPr>
        <w:t>Schedule of Requirement</w:t>
      </w:r>
      <w:r w:rsidR="00CD1583" w:rsidRPr="297FA16E">
        <w:rPr>
          <w:rFonts w:ascii="Arial" w:hAnsi="Arial" w:cs="Arial"/>
          <w:color w:val="000000" w:themeColor="text1"/>
          <w:sz w:val="20"/>
          <w:szCs w:val="20"/>
        </w:rPr>
        <w:t>. ‘Service Credits’ will be suspended until the third consecutive months performance has been assessed</w:t>
      </w:r>
    </w:p>
    <w:p w14:paraId="632AB578" w14:textId="354D805D" w:rsidR="00CA7383" w:rsidRPr="008E6F4D" w:rsidRDefault="00CA7383" w:rsidP="00CA738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00FF776E" w:rsidRPr="00FF776E">
        <w:rPr>
          <w:rFonts w:ascii="Arial" w:hAnsi="Arial" w:cs="Arial"/>
          <w:color w:val="000000" w:themeColor="text1"/>
          <w:sz w:val="20"/>
          <w:szCs w:val="20"/>
        </w:rPr>
        <w:t xml:space="preserve">current </w:t>
      </w:r>
      <w:r w:rsidR="008C34ED" w:rsidRPr="00FF776E">
        <w:rPr>
          <w:rFonts w:ascii="Arial" w:hAnsi="Arial" w:cs="Arial"/>
          <w:color w:val="000000" w:themeColor="text1"/>
          <w:sz w:val="20"/>
          <w:szCs w:val="20"/>
        </w:rPr>
        <w:t>report’s</w:t>
      </w:r>
      <w:r w:rsidR="00FF776E" w:rsidRPr="00FF776E">
        <w:rPr>
          <w:rFonts w:ascii="Arial" w:hAnsi="Arial" w:cs="Arial"/>
          <w:color w:val="000000" w:themeColor="text1"/>
          <w:sz w:val="20"/>
          <w:szCs w:val="20"/>
        </w:rPr>
        <w:t xml:space="preserve">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in Schedule 2, </w:t>
      </w:r>
      <w:r>
        <w:rPr>
          <w:rFonts w:ascii="Arial" w:hAnsi="Arial" w:cs="Arial"/>
          <w:color w:val="000000" w:themeColor="text1"/>
          <w:sz w:val="20"/>
          <w:szCs w:val="20"/>
        </w:rPr>
        <w:t>Schedule of Requirement.</w:t>
      </w:r>
    </w:p>
    <w:p w14:paraId="7880AC89" w14:textId="502A9837" w:rsidR="00CA7383" w:rsidRPr="008E6F4D" w:rsidRDefault="00CA7383" w:rsidP="00CA7383">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For a ‘Red Status’ spanning 2 consecutive months, the Contractor shall review and update the ‘remediation plan’ and apply a ‘Service Credit’ of 15% of the</w:t>
      </w:r>
      <w:r>
        <w:rPr>
          <w:rFonts w:ascii="Arial" w:hAnsi="Arial" w:cs="Arial"/>
          <w:color w:val="000000" w:themeColor="text1"/>
          <w:sz w:val="20"/>
          <w:szCs w:val="20"/>
        </w:rPr>
        <w:t xml:space="preserve"> </w:t>
      </w:r>
      <w:r w:rsidR="00FF776E" w:rsidRPr="00FF776E">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w:t>
      </w:r>
      <w:r w:rsidRPr="297FA16E">
        <w:rPr>
          <w:rFonts w:ascii="Arial" w:hAnsi="Arial" w:cs="Arial"/>
          <w:color w:val="000000" w:themeColor="text1"/>
          <w:sz w:val="20"/>
          <w:szCs w:val="20"/>
        </w:rPr>
        <w:t>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Pr>
          <w:rFonts w:ascii="Arial" w:hAnsi="Arial" w:cs="Arial"/>
          <w:color w:val="000000" w:themeColor="text1"/>
          <w:sz w:val="20"/>
          <w:szCs w:val="20"/>
        </w:rPr>
        <w:t>Schedule of Requirement.</w:t>
      </w:r>
    </w:p>
    <w:p w14:paraId="04945112" w14:textId="2A8747EA" w:rsidR="008E6F4D" w:rsidRPr="008E6F4D" w:rsidRDefault="008E6F4D" w:rsidP="008E6F4D">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t>Service Credit 2: KPI 3</w:t>
      </w:r>
    </w:p>
    <w:p w14:paraId="5B3F4150" w14:textId="6C7063F3" w:rsidR="00DC6DDA" w:rsidRPr="008E6F4D" w:rsidRDefault="00DC6DDA" w:rsidP="00DC6DDA">
      <w:pPr>
        <w:pStyle w:val="NormalWeb"/>
        <w:numPr>
          <w:ilvl w:val="0"/>
          <w:numId w:val="6"/>
        </w:numPr>
        <w:rPr>
          <w:rFonts w:ascii="Arial" w:hAnsi="Arial" w:cs="Arial"/>
          <w:color w:val="000000"/>
          <w:sz w:val="20"/>
          <w:szCs w:val="20"/>
        </w:rPr>
      </w:pPr>
      <w:r w:rsidRPr="008E6F4D">
        <w:rPr>
          <w:rFonts w:ascii="Arial" w:hAnsi="Arial" w:cs="Arial"/>
          <w:color w:val="000000"/>
          <w:sz w:val="20"/>
          <w:szCs w:val="20"/>
        </w:rPr>
        <w:t>For an ‘Amber Status’</w:t>
      </w:r>
      <w:r w:rsidRPr="008E6F4D">
        <w:rPr>
          <w:rFonts w:ascii="Arial" w:hAnsi="Arial" w:cs="Arial"/>
          <w:sz w:val="20"/>
          <w:szCs w:val="20"/>
        </w:rPr>
        <w:t xml:space="preserve"> instance of failure within a month</w:t>
      </w:r>
      <w:r w:rsidRPr="008E6F4D">
        <w:rPr>
          <w:rFonts w:ascii="Arial" w:hAnsi="Arial" w:cs="Arial"/>
          <w:color w:val="000000"/>
          <w:sz w:val="20"/>
          <w:szCs w:val="20"/>
        </w:rPr>
        <w:t xml:space="preserve">, the contractor shall formally articulate the issue(s) and mitigation at </w:t>
      </w:r>
      <w:r w:rsidRPr="00522C1C">
        <w:rPr>
          <w:rFonts w:ascii="Arial" w:hAnsi="Arial" w:cs="Arial"/>
          <w:color w:val="000000"/>
          <w:sz w:val="20"/>
          <w:szCs w:val="20"/>
        </w:rPr>
        <w:t>the CPR meeting and update their CPR</w:t>
      </w:r>
      <w:r w:rsidRPr="008E6F4D">
        <w:rPr>
          <w:rFonts w:ascii="Arial" w:hAnsi="Arial" w:cs="Arial"/>
          <w:color w:val="000000"/>
          <w:sz w:val="20"/>
          <w:szCs w:val="20"/>
        </w:rPr>
        <w:t xml:space="preserve"> report accordingly.</w:t>
      </w:r>
    </w:p>
    <w:p w14:paraId="24B97999" w14:textId="7043C77F" w:rsidR="00DC6DDA" w:rsidRPr="008E6F4D" w:rsidRDefault="00DC6DDA" w:rsidP="00DC6DDA">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 For an ‘Amber Status’ spanning 2 consecutive months, the Contractor shall produce ‘a remediation plan’ and apply a ‘Service Credit’ equal to 10% of the</w:t>
      </w:r>
      <w:r>
        <w:rPr>
          <w:rFonts w:ascii="Arial" w:hAnsi="Arial" w:cs="Arial"/>
          <w:color w:val="000000" w:themeColor="text1"/>
          <w:sz w:val="20"/>
          <w:szCs w:val="20"/>
        </w:rPr>
        <w:t xml:space="preserve"> </w:t>
      </w:r>
      <w:r w:rsidR="004B6B52" w:rsidRPr="004B6B52">
        <w:rPr>
          <w:rFonts w:ascii="Arial" w:hAnsi="Arial" w:cs="Arial"/>
          <w:color w:val="000000" w:themeColor="text1"/>
          <w:sz w:val="20"/>
          <w:szCs w:val="20"/>
        </w:rPr>
        <w:t xml:space="preserve">current </w:t>
      </w:r>
      <w:r w:rsidR="008C34ED" w:rsidRPr="004B6B52">
        <w:rPr>
          <w:rFonts w:ascii="Arial" w:hAnsi="Arial" w:cs="Arial"/>
          <w:color w:val="000000" w:themeColor="text1"/>
          <w:sz w:val="20"/>
          <w:szCs w:val="20"/>
        </w:rPr>
        <w:t>report’s</w:t>
      </w:r>
      <w:r w:rsidR="004B6B52" w:rsidRPr="004B6B52">
        <w:rPr>
          <w:rFonts w:ascii="Arial" w:hAnsi="Arial" w:cs="Arial"/>
          <w:color w:val="000000" w:themeColor="text1"/>
          <w:sz w:val="20"/>
          <w:szCs w:val="20"/>
        </w:rPr>
        <w:t xml:space="preserve"> </w:t>
      </w:r>
      <w:r w:rsidR="004B6B52" w:rsidRPr="297FA16E">
        <w:rPr>
          <w:rFonts w:ascii="Arial" w:hAnsi="Arial" w:cs="Arial"/>
          <w:color w:val="000000" w:themeColor="text1"/>
          <w:sz w:val="20"/>
          <w:szCs w:val="20"/>
        </w:rPr>
        <w:t>payment attributable</w:t>
      </w:r>
      <w:r w:rsidRPr="297FA16E">
        <w:rPr>
          <w:rFonts w:ascii="Arial" w:hAnsi="Arial" w:cs="Arial"/>
          <w:color w:val="000000" w:themeColor="text1"/>
          <w:sz w:val="20"/>
          <w:szCs w:val="20"/>
        </w:rPr>
        <w:t xml:space="preserve"> to </w:t>
      </w:r>
      <w:r>
        <w:rPr>
          <w:rFonts w:ascii="Arial" w:hAnsi="Arial" w:cs="Arial"/>
          <w:color w:val="000000" w:themeColor="text1"/>
          <w:sz w:val="20"/>
          <w:szCs w:val="20"/>
        </w:rPr>
        <w:t>all</w:t>
      </w:r>
      <w:r w:rsidRPr="297FA16E">
        <w:rPr>
          <w:rFonts w:ascii="Arial" w:hAnsi="Arial" w:cs="Arial"/>
          <w:color w:val="000000" w:themeColor="text1"/>
          <w:sz w:val="20"/>
          <w:szCs w:val="20"/>
        </w:rPr>
        <w:t xml:space="preserve"> contracted service in Schedule 2, </w:t>
      </w:r>
      <w:r>
        <w:rPr>
          <w:rFonts w:ascii="Arial" w:hAnsi="Arial" w:cs="Arial"/>
          <w:color w:val="000000" w:themeColor="text1"/>
          <w:sz w:val="20"/>
          <w:szCs w:val="20"/>
        </w:rPr>
        <w:t>Schedule of Requirement</w:t>
      </w:r>
      <w:r w:rsidRPr="297FA16E">
        <w:rPr>
          <w:rFonts w:ascii="Arial" w:hAnsi="Arial" w:cs="Arial"/>
          <w:color w:val="000000" w:themeColor="text1"/>
          <w:sz w:val="20"/>
          <w:szCs w:val="20"/>
        </w:rPr>
        <w:t>. ‘Service Credits’ will be suspended until the third consecutive months performance has been assessed</w:t>
      </w:r>
    </w:p>
    <w:p w14:paraId="7A7AACC2" w14:textId="44FD41C3" w:rsidR="00DC6DDA" w:rsidRPr="008E6F4D" w:rsidRDefault="00DC6DDA" w:rsidP="00DC6DDA">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in a single month, the contractor shall produce ‘a remediation plan’ and apply a ‘Service Credit’ of 10% of the </w:t>
      </w:r>
      <w:r w:rsidR="004B6B52" w:rsidRPr="004B6B52">
        <w:rPr>
          <w:rFonts w:ascii="Arial" w:hAnsi="Arial" w:cs="Arial"/>
          <w:color w:val="000000" w:themeColor="text1"/>
          <w:sz w:val="20"/>
          <w:szCs w:val="20"/>
        </w:rPr>
        <w:t xml:space="preserve">current </w:t>
      </w:r>
      <w:r w:rsidR="008C34ED" w:rsidRPr="004B6B52">
        <w:rPr>
          <w:rFonts w:ascii="Arial" w:hAnsi="Arial" w:cs="Arial"/>
          <w:color w:val="000000" w:themeColor="text1"/>
          <w:sz w:val="20"/>
          <w:szCs w:val="20"/>
        </w:rPr>
        <w:t>report’s</w:t>
      </w:r>
      <w:r w:rsidRPr="297FA16E">
        <w:rPr>
          <w:rFonts w:ascii="Arial" w:hAnsi="Arial" w:cs="Arial"/>
          <w:color w:val="000000" w:themeColor="text1"/>
          <w:sz w:val="20"/>
          <w:szCs w:val="20"/>
        </w:rPr>
        <w:t xml:space="preserve"> payment attributable to </w:t>
      </w:r>
      <w:r>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in Schedule 2, </w:t>
      </w:r>
      <w:r>
        <w:rPr>
          <w:rFonts w:ascii="Arial" w:hAnsi="Arial" w:cs="Arial"/>
          <w:color w:val="000000" w:themeColor="text1"/>
          <w:sz w:val="20"/>
          <w:szCs w:val="20"/>
        </w:rPr>
        <w:t>Schedule of Requirement.</w:t>
      </w:r>
    </w:p>
    <w:p w14:paraId="4F4287EF" w14:textId="04C2AB17" w:rsidR="00DC6DDA" w:rsidRPr="008E6F4D" w:rsidRDefault="00DC6DDA" w:rsidP="00DC6DDA">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For a ‘Red Status’ spanning 2 consecutive months, the Contractor shall review and update the ‘remediation plan’ and apply a ‘Service Credit’ of 15% of the</w:t>
      </w:r>
      <w:r>
        <w:rPr>
          <w:rFonts w:ascii="Arial" w:hAnsi="Arial" w:cs="Arial"/>
          <w:color w:val="000000" w:themeColor="text1"/>
          <w:sz w:val="20"/>
          <w:szCs w:val="20"/>
        </w:rPr>
        <w:t xml:space="preserve"> </w:t>
      </w:r>
      <w:r w:rsidR="004B6B52" w:rsidRPr="004B6B52">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w:t>
      </w:r>
      <w:r w:rsidRPr="297FA16E">
        <w:rPr>
          <w:rFonts w:ascii="Arial" w:hAnsi="Arial" w:cs="Arial"/>
          <w:color w:val="000000" w:themeColor="text1"/>
          <w:sz w:val="20"/>
          <w:szCs w:val="20"/>
        </w:rPr>
        <w:t>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Pr>
          <w:rFonts w:ascii="Arial" w:hAnsi="Arial" w:cs="Arial"/>
          <w:color w:val="000000" w:themeColor="text1"/>
          <w:sz w:val="20"/>
          <w:szCs w:val="20"/>
        </w:rPr>
        <w:t>Schedule of Requirement.</w:t>
      </w:r>
    </w:p>
    <w:p w14:paraId="5397EB7E" w14:textId="55381466" w:rsidR="00F0726B" w:rsidRPr="008E6F4D" w:rsidRDefault="00F0726B" w:rsidP="00F0726B">
      <w:pPr>
        <w:pStyle w:val="NormalWeb"/>
        <w:rPr>
          <w:rFonts w:ascii="Arial" w:hAnsi="Arial" w:cs="Arial"/>
          <w:b/>
          <w:bCs/>
          <w:color w:val="000000"/>
          <w:sz w:val="20"/>
          <w:szCs w:val="20"/>
          <w:u w:val="single"/>
        </w:rPr>
      </w:pPr>
      <w:r w:rsidRPr="00017E8D">
        <w:rPr>
          <w:rFonts w:ascii="Arial" w:hAnsi="Arial" w:cs="Arial"/>
          <w:b/>
          <w:bCs/>
          <w:color w:val="000000"/>
          <w:sz w:val="20"/>
          <w:szCs w:val="20"/>
          <w:u w:val="single"/>
        </w:rPr>
        <w:t xml:space="preserve">Service Credit </w:t>
      </w:r>
      <w:proofErr w:type="gramStart"/>
      <w:r w:rsidRPr="00017E8D">
        <w:rPr>
          <w:rFonts w:ascii="Arial" w:hAnsi="Arial" w:cs="Arial"/>
          <w:b/>
          <w:bCs/>
          <w:color w:val="000000"/>
          <w:sz w:val="20"/>
          <w:szCs w:val="20"/>
          <w:u w:val="single"/>
        </w:rPr>
        <w:t>3 :</w:t>
      </w:r>
      <w:proofErr w:type="gramEnd"/>
      <w:r w:rsidRPr="00017E8D">
        <w:rPr>
          <w:rFonts w:ascii="Arial" w:hAnsi="Arial" w:cs="Arial"/>
          <w:b/>
          <w:bCs/>
          <w:color w:val="000000"/>
          <w:sz w:val="20"/>
          <w:szCs w:val="20"/>
          <w:u w:val="single"/>
        </w:rPr>
        <w:t xml:space="preserve"> KPI 4</w:t>
      </w:r>
    </w:p>
    <w:p w14:paraId="02F0B928" w14:textId="352EB325" w:rsidR="001267F7" w:rsidRPr="008E6F4D" w:rsidRDefault="001267F7" w:rsidP="00F64959">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For a ‘Red Status’ in a single month, the contractor shall produce ‘a remediation plan’ and apply a ‘Service Credit’ of 1</w:t>
      </w:r>
      <w:r>
        <w:rPr>
          <w:rFonts w:ascii="Arial" w:hAnsi="Arial" w:cs="Arial"/>
          <w:color w:val="000000" w:themeColor="text1"/>
          <w:sz w:val="20"/>
          <w:szCs w:val="20"/>
        </w:rPr>
        <w:t>5</w:t>
      </w:r>
      <w:r w:rsidRPr="297FA16E">
        <w:rPr>
          <w:rFonts w:ascii="Arial" w:hAnsi="Arial" w:cs="Arial"/>
          <w:color w:val="000000" w:themeColor="text1"/>
          <w:sz w:val="20"/>
          <w:szCs w:val="20"/>
        </w:rPr>
        <w:t xml:space="preserve">% of the </w:t>
      </w:r>
      <w:r w:rsidR="00222063" w:rsidRPr="00222063">
        <w:rPr>
          <w:rFonts w:ascii="Arial" w:hAnsi="Arial" w:cs="Arial"/>
          <w:color w:val="000000" w:themeColor="text1"/>
          <w:sz w:val="20"/>
          <w:szCs w:val="20"/>
        </w:rPr>
        <w:t xml:space="preserve">current </w:t>
      </w:r>
      <w:r w:rsidR="008C34ED" w:rsidRPr="00222063">
        <w:rPr>
          <w:rFonts w:ascii="Arial" w:hAnsi="Arial" w:cs="Arial"/>
          <w:color w:val="000000" w:themeColor="text1"/>
          <w:sz w:val="20"/>
          <w:szCs w:val="20"/>
        </w:rPr>
        <w:t>report’s</w:t>
      </w:r>
      <w:r w:rsidR="00222063" w:rsidRPr="00222063">
        <w:rPr>
          <w:rFonts w:ascii="Arial" w:hAnsi="Arial" w:cs="Arial"/>
          <w:color w:val="000000" w:themeColor="text1"/>
          <w:sz w:val="20"/>
          <w:szCs w:val="20"/>
        </w:rPr>
        <w:t xml:space="preserve">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the </w:t>
      </w:r>
      <w:r w:rsidRPr="297FA16E">
        <w:rPr>
          <w:rFonts w:ascii="Arial" w:hAnsi="Arial" w:cs="Arial"/>
          <w:color w:val="000000" w:themeColor="text1"/>
          <w:sz w:val="20"/>
          <w:szCs w:val="20"/>
        </w:rPr>
        <w:t>contracted 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in Schedule 2, </w:t>
      </w:r>
      <w:r>
        <w:rPr>
          <w:rFonts w:ascii="Arial" w:hAnsi="Arial" w:cs="Arial"/>
          <w:color w:val="000000" w:themeColor="text1"/>
          <w:sz w:val="20"/>
          <w:szCs w:val="20"/>
        </w:rPr>
        <w:t>Schedule of Requirement.</w:t>
      </w:r>
    </w:p>
    <w:p w14:paraId="67FBD732" w14:textId="74D876C8" w:rsidR="001267F7" w:rsidRPr="008C34ED" w:rsidRDefault="001267F7" w:rsidP="001267F7">
      <w:pPr>
        <w:pStyle w:val="NormalWeb"/>
        <w:numPr>
          <w:ilvl w:val="0"/>
          <w:numId w:val="6"/>
        </w:numPr>
        <w:rPr>
          <w:rFonts w:ascii="Arial" w:hAnsi="Arial" w:cs="Arial"/>
          <w:color w:val="000000"/>
          <w:sz w:val="20"/>
          <w:szCs w:val="20"/>
        </w:rPr>
      </w:pPr>
      <w:r w:rsidRPr="297FA16E">
        <w:rPr>
          <w:rFonts w:ascii="Arial" w:hAnsi="Arial" w:cs="Arial"/>
          <w:color w:val="000000" w:themeColor="text1"/>
          <w:sz w:val="20"/>
          <w:szCs w:val="20"/>
        </w:rPr>
        <w:t xml:space="preserve">For a ‘Red Status’ spanning 2 consecutive months, the Contractor shall review and update the ‘remediation plan’ and apply a ‘Service Credit’ of </w:t>
      </w:r>
      <w:r>
        <w:rPr>
          <w:rFonts w:ascii="Arial" w:hAnsi="Arial" w:cs="Arial"/>
          <w:color w:val="000000" w:themeColor="text1"/>
          <w:sz w:val="20"/>
          <w:szCs w:val="20"/>
        </w:rPr>
        <w:t>20</w:t>
      </w:r>
      <w:r w:rsidRPr="297FA16E">
        <w:rPr>
          <w:rFonts w:ascii="Arial" w:hAnsi="Arial" w:cs="Arial"/>
          <w:color w:val="000000" w:themeColor="text1"/>
          <w:sz w:val="20"/>
          <w:szCs w:val="20"/>
        </w:rPr>
        <w:t>% of the</w:t>
      </w:r>
      <w:r>
        <w:rPr>
          <w:rFonts w:ascii="Arial" w:hAnsi="Arial" w:cs="Arial"/>
          <w:color w:val="000000" w:themeColor="text1"/>
          <w:sz w:val="20"/>
          <w:szCs w:val="20"/>
        </w:rPr>
        <w:t xml:space="preserve"> </w:t>
      </w:r>
      <w:r w:rsidR="00222063" w:rsidRPr="00222063">
        <w:rPr>
          <w:rFonts w:ascii="Arial" w:hAnsi="Arial" w:cs="Arial"/>
          <w:color w:val="000000" w:themeColor="text1"/>
          <w:sz w:val="20"/>
          <w:szCs w:val="20"/>
        </w:rPr>
        <w:t xml:space="preserve">current reports </w:t>
      </w:r>
      <w:r w:rsidRPr="297FA16E">
        <w:rPr>
          <w:rFonts w:ascii="Arial" w:hAnsi="Arial" w:cs="Arial"/>
          <w:color w:val="000000" w:themeColor="text1"/>
          <w:sz w:val="20"/>
          <w:szCs w:val="20"/>
        </w:rPr>
        <w:t xml:space="preserve">payment attributable to </w:t>
      </w:r>
      <w:r>
        <w:rPr>
          <w:rFonts w:ascii="Arial" w:hAnsi="Arial" w:cs="Arial"/>
          <w:color w:val="000000" w:themeColor="text1"/>
          <w:sz w:val="20"/>
          <w:szCs w:val="20"/>
        </w:rPr>
        <w:t xml:space="preserve">all </w:t>
      </w:r>
      <w:r w:rsidRPr="297FA16E">
        <w:rPr>
          <w:rFonts w:ascii="Arial" w:hAnsi="Arial" w:cs="Arial"/>
          <w:color w:val="000000" w:themeColor="text1"/>
          <w:sz w:val="20"/>
          <w:szCs w:val="20"/>
        </w:rPr>
        <w:t>service</w:t>
      </w:r>
      <w:r>
        <w:rPr>
          <w:rFonts w:ascii="Arial" w:hAnsi="Arial" w:cs="Arial"/>
          <w:color w:val="000000" w:themeColor="text1"/>
          <w:sz w:val="20"/>
          <w:szCs w:val="20"/>
        </w:rPr>
        <w:t>s</w:t>
      </w:r>
      <w:r w:rsidRPr="297FA16E">
        <w:rPr>
          <w:rFonts w:ascii="Arial" w:hAnsi="Arial" w:cs="Arial"/>
          <w:color w:val="000000" w:themeColor="text1"/>
          <w:sz w:val="20"/>
          <w:szCs w:val="20"/>
        </w:rPr>
        <w:t xml:space="preserve"> detailed in Schedule 2, </w:t>
      </w:r>
      <w:r>
        <w:rPr>
          <w:rFonts w:ascii="Arial" w:hAnsi="Arial" w:cs="Arial"/>
          <w:color w:val="000000" w:themeColor="text1"/>
          <w:sz w:val="20"/>
          <w:szCs w:val="20"/>
        </w:rPr>
        <w:t>Schedule of Requirement.</w:t>
      </w:r>
    </w:p>
    <w:p w14:paraId="16C52D97" w14:textId="77777777" w:rsidR="008C34ED" w:rsidRDefault="008C34ED" w:rsidP="008C34ED">
      <w:pPr>
        <w:pStyle w:val="NormalWeb"/>
        <w:rPr>
          <w:rFonts w:ascii="Arial" w:hAnsi="Arial" w:cs="Arial"/>
          <w:color w:val="000000" w:themeColor="text1"/>
          <w:sz w:val="20"/>
          <w:szCs w:val="20"/>
        </w:rPr>
      </w:pPr>
    </w:p>
    <w:p w14:paraId="3B288AC9" w14:textId="77777777" w:rsidR="008C34ED" w:rsidRDefault="008C34ED" w:rsidP="008C34ED">
      <w:pPr>
        <w:pStyle w:val="NormalWeb"/>
        <w:rPr>
          <w:rFonts w:ascii="Arial" w:hAnsi="Arial" w:cs="Arial"/>
          <w:color w:val="000000" w:themeColor="text1"/>
          <w:sz w:val="20"/>
          <w:szCs w:val="20"/>
        </w:rPr>
      </w:pPr>
    </w:p>
    <w:p w14:paraId="2F703131" w14:textId="77777777" w:rsidR="008C34ED" w:rsidRPr="008E6F4D" w:rsidRDefault="008C34ED" w:rsidP="008C34ED">
      <w:pPr>
        <w:pStyle w:val="NormalWeb"/>
        <w:rPr>
          <w:rFonts w:ascii="Arial" w:hAnsi="Arial" w:cs="Arial"/>
          <w:color w:val="000000"/>
          <w:sz w:val="20"/>
          <w:szCs w:val="20"/>
        </w:rPr>
      </w:pPr>
    </w:p>
    <w:tbl>
      <w:tblPr>
        <w:tblStyle w:val="TableGrid"/>
        <w:tblW w:w="5265" w:type="pct"/>
        <w:tblLook w:val="04A0" w:firstRow="1" w:lastRow="0" w:firstColumn="1" w:lastColumn="0" w:noHBand="0" w:noVBand="1"/>
      </w:tblPr>
      <w:tblGrid>
        <w:gridCol w:w="571"/>
        <w:gridCol w:w="1834"/>
        <w:gridCol w:w="2408"/>
        <w:gridCol w:w="2127"/>
        <w:gridCol w:w="2554"/>
      </w:tblGrid>
      <w:tr w:rsidR="00BA743D" w:rsidRPr="00FF1917" w14:paraId="42027DD7" w14:textId="31BDE23F" w:rsidTr="00FF1917">
        <w:trPr>
          <w:trHeight w:val="542"/>
        </w:trPr>
        <w:tc>
          <w:tcPr>
            <w:tcW w:w="301" w:type="pct"/>
          </w:tcPr>
          <w:p w14:paraId="5A97BB0E" w14:textId="7846A6B3" w:rsidR="00BA743D" w:rsidRPr="00E54590" w:rsidRDefault="00BA743D" w:rsidP="00BA743D">
            <w:pPr>
              <w:jc w:val="center"/>
              <w:rPr>
                <w:rFonts w:ascii="Arial" w:hAnsi="Arial" w:cs="Arial"/>
                <w:color w:val="002060"/>
                <w:sz w:val="20"/>
                <w:szCs w:val="20"/>
              </w:rPr>
            </w:pPr>
            <w:r w:rsidRPr="00E54590">
              <w:rPr>
                <w:rFonts w:ascii="Arial" w:hAnsi="Arial" w:cs="Arial"/>
                <w:color w:val="002060"/>
                <w:sz w:val="20"/>
                <w:szCs w:val="20"/>
              </w:rPr>
              <w:t>KPI</w:t>
            </w:r>
          </w:p>
        </w:tc>
        <w:tc>
          <w:tcPr>
            <w:tcW w:w="966" w:type="pct"/>
          </w:tcPr>
          <w:p w14:paraId="689B38FB" w14:textId="15A6F4CC" w:rsidR="00BA743D" w:rsidRPr="00E54590" w:rsidRDefault="00BA743D" w:rsidP="00BA743D">
            <w:pPr>
              <w:jc w:val="center"/>
              <w:rPr>
                <w:rFonts w:ascii="Arial" w:hAnsi="Arial" w:cs="Arial"/>
                <w:color w:val="002060"/>
                <w:sz w:val="20"/>
                <w:szCs w:val="20"/>
              </w:rPr>
            </w:pPr>
            <w:r w:rsidRPr="00E54590">
              <w:rPr>
                <w:rFonts w:ascii="Arial" w:hAnsi="Arial" w:cs="Arial"/>
                <w:color w:val="002060"/>
                <w:sz w:val="20"/>
                <w:szCs w:val="20"/>
              </w:rPr>
              <w:t>KPI Measurement</w:t>
            </w:r>
          </w:p>
        </w:tc>
        <w:tc>
          <w:tcPr>
            <w:tcW w:w="3733" w:type="pct"/>
            <w:gridSpan w:val="3"/>
          </w:tcPr>
          <w:p w14:paraId="5C9D4FF8" w14:textId="5C6014A4" w:rsidR="00BA743D" w:rsidRPr="00E54590" w:rsidRDefault="00BA743D" w:rsidP="00BA743D">
            <w:pPr>
              <w:jc w:val="center"/>
              <w:rPr>
                <w:rFonts w:ascii="Arial" w:hAnsi="Arial" w:cs="Arial"/>
                <w:color w:val="002060"/>
                <w:sz w:val="20"/>
                <w:szCs w:val="20"/>
              </w:rPr>
            </w:pPr>
            <w:r w:rsidRPr="00E54590">
              <w:rPr>
                <w:rFonts w:ascii="Arial" w:hAnsi="Arial" w:cs="Arial"/>
                <w:color w:val="002060"/>
                <w:sz w:val="20"/>
                <w:szCs w:val="20"/>
              </w:rPr>
              <w:t>KPI Rating</w:t>
            </w:r>
          </w:p>
        </w:tc>
      </w:tr>
      <w:tr w:rsidR="00DA7F6A" w:rsidRPr="00FF1917" w14:paraId="424BC7AB" w14:textId="1A11C911" w:rsidTr="00FF1917">
        <w:trPr>
          <w:trHeight w:val="2145"/>
        </w:trPr>
        <w:tc>
          <w:tcPr>
            <w:tcW w:w="301" w:type="pct"/>
          </w:tcPr>
          <w:p w14:paraId="1902BFB3" w14:textId="34C3FFE8" w:rsidR="00DA7F6A" w:rsidRPr="00E54590" w:rsidRDefault="00DA7F6A" w:rsidP="00DA7F6A">
            <w:pPr>
              <w:jc w:val="center"/>
              <w:rPr>
                <w:rFonts w:ascii="Arial" w:hAnsi="Arial" w:cs="Arial"/>
                <w:color w:val="002060"/>
                <w:sz w:val="20"/>
                <w:szCs w:val="20"/>
              </w:rPr>
            </w:pPr>
            <w:r w:rsidRPr="00E54590">
              <w:rPr>
                <w:rFonts w:ascii="Arial" w:hAnsi="Arial" w:cs="Arial"/>
                <w:color w:val="002060"/>
                <w:sz w:val="20"/>
                <w:szCs w:val="20"/>
              </w:rPr>
              <w:t>1</w:t>
            </w:r>
          </w:p>
        </w:tc>
        <w:tc>
          <w:tcPr>
            <w:tcW w:w="966" w:type="pct"/>
          </w:tcPr>
          <w:p w14:paraId="7D99FB75" w14:textId="4FB17F48" w:rsidR="00DA7F6A" w:rsidRPr="00E54590" w:rsidRDefault="006D4915" w:rsidP="00DA7F6A">
            <w:pPr>
              <w:rPr>
                <w:rFonts w:ascii="Arial" w:hAnsi="Arial" w:cs="Arial"/>
                <w:color w:val="002060"/>
                <w:sz w:val="20"/>
                <w:szCs w:val="20"/>
              </w:rPr>
            </w:pPr>
            <w:r>
              <w:rPr>
                <w:rStyle w:val="normaltextrun"/>
                <w:rFonts w:ascii="Arial" w:eastAsiaTheme="majorEastAsia" w:hAnsi="Arial" w:cs="Arial"/>
                <w:color w:val="002060"/>
              </w:rPr>
              <w:t>A</w:t>
            </w:r>
            <w:r>
              <w:rPr>
                <w:rStyle w:val="normaltextrun"/>
                <w:rFonts w:eastAsiaTheme="majorEastAsia"/>
                <w:color w:val="002060"/>
              </w:rPr>
              <w:t xml:space="preserve">vailability </w:t>
            </w:r>
            <w:r w:rsidR="00BA710C" w:rsidRPr="00E54590">
              <w:rPr>
                <w:rStyle w:val="normaltextrun"/>
                <w:rFonts w:ascii="Arial" w:eastAsiaTheme="majorEastAsia" w:hAnsi="Arial" w:cs="Arial"/>
                <w:color w:val="002060"/>
              </w:rPr>
              <w:t xml:space="preserve"> </w:t>
            </w:r>
          </w:p>
        </w:tc>
        <w:tc>
          <w:tcPr>
            <w:tcW w:w="1268" w:type="pct"/>
            <w:shd w:val="clear" w:color="auto" w:fill="FF0000"/>
          </w:tcPr>
          <w:p w14:paraId="040EAE92" w14:textId="41637BD7" w:rsidR="00DA7F6A" w:rsidRPr="00E54590" w:rsidRDefault="00E7619C" w:rsidP="001267F7">
            <w:pPr>
              <w:rPr>
                <w:rFonts w:ascii="Arial" w:hAnsi="Arial" w:cs="Arial"/>
                <w:color w:val="002060"/>
                <w:sz w:val="20"/>
                <w:szCs w:val="20"/>
              </w:rPr>
            </w:pPr>
            <w:r w:rsidRPr="00E7619C">
              <w:rPr>
                <w:rFonts w:ascii="Arial" w:hAnsi="Arial" w:cs="Arial"/>
                <w:color w:val="002060"/>
                <w:sz w:val="20"/>
                <w:szCs w:val="20"/>
              </w:rPr>
              <w:t xml:space="preserve">GADAPT service should be available 24 hours per day, every day of the year. Minor planned stoppages of up to 1 hr for updates may be permitted with </w:t>
            </w:r>
            <w:r w:rsidR="00FC380E">
              <w:rPr>
                <w:rFonts w:ascii="Arial" w:hAnsi="Arial" w:cs="Arial"/>
                <w:color w:val="002060"/>
                <w:sz w:val="20"/>
                <w:szCs w:val="20"/>
              </w:rPr>
              <w:t xml:space="preserve">at least </w:t>
            </w:r>
            <w:r w:rsidRPr="00E7619C">
              <w:rPr>
                <w:rFonts w:ascii="Arial" w:hAnsi="Arial" w:cs="Arial"/>
                <w:color w:val="002060"/>
                <w:sz w:val="20"/>
                <w:szCs w:val="20"/>
              </w:rPr>
              <w:t>7 days’ notice</w:t>
            </w:r>
            <w:r>
              <w:rPr>
                <w:rFonts w:ascii="Arial" w:hAnsi="Arial" w:cs="Arial"/>
                <w:color w:val="002060"/>
                <w:sz w:val="20"/>
                <w:szCs w:val="20"/>
              </w:rPr>
              <w:t xml:space="preserve"> with </w:t>
            </w:r>
            <w:r w:rsidR="00B516A6">
              <w:rPr>
                <w:rFonts w:ascii="Arial" w:hAnsi="Arial" w:cs="Arial"/>
                <w:color w:val="002060"/>
                <w:sz w:val="20"/>
                <w:szCs w:val="20"/>
              </w:rPr>
              <w:t>2</w:t>
            </w:r>
            <w:r w:rsidR="00970B11">
              <w:rPr>
                <w:rFonts w:ascii="Arial" w:hAnsi="Arial" w:cs="Arial"/>
                <w:color w:val="002060"/>
                <w:sz w:val="20"/>
                <w:szCs w:val="20"/>
              </w:rPr>
              <w:t xml:space="preserve"> </w:t>
            </w:r>
            <w:r w:rsidR="00FC380E">
              <w:rPr>
                <w:rFonts w:ascii="Arial" w:hAnsi="Arial" w:cs="Arial"/>
                <w:color w:val="002060"/>
                <w:sz w:val="20"/>
                <w:szCs w:val="20"/>
              </w:rPr>
              <w:t>instances</w:t>
            </w:r>
            <w:r w:rsidR="00970B11">
              <w:rPr>
                <w:rFonts w:ascii="Arial" w:hAnsi="Arial" w:cs="Arial"/>
                <w:color w:val="002060"/>
                <w:sz w:val="20"/>
                <w:szCs w:val="20"/>
              </w:rPr>
              <w:t xml:space="preserve"> of failure </w:t>
            </w:r>
          </w:p>
        </w:tc>
        <w:tc>
          <w:tcPr>
            <w:tcW w:w="1120" w:type="pct"/>
            <w:shd w:val="clear" w:color="auto" w:fill="FFFF00"/>
          </w:tcPr>
          <w:p w14:paraId="33DF80D6" w14:textId="1BC7344F" w:rsidR="00DA7F6A" w:rsidRPr="00E54590" w:rsidRDefault="00B516A6" w:rsidP="001267F7">
            <w:pPr>
              <w:rPr>
                <w:rFonts w:ascii="Arial" w:hAnsi="Arial" w:cs="Arial"/>
                <w:color w:val="002060"/>
                <w:sz w:val="20"/>
                <w:szCs w:val="20"/>
              </w:rPr>
            </w:pPr>
            <w:r w:rsidRPr="00B516A6">
              <w:rPr>
                <w:rFonts w:ascii="Arial" w:hAnsi="Arial" w:cs="Arial"/>
                <w:color w:val="002060"/>
                <w:sz w:val="20"/>
                <w:szCs w:val="20"/>
              </w:rPr>
              <w:t xml:space="preserve">GADAPT service should be available 24 hours per day, every day of the year. Minor planned stoppages of up to 1 hr for updates may be permitted with </w:t>
            </w:r>
            <w:r w:rsidR="00FC380E">
              <w:rPr>
                <w:rFonts w:ascii="Arial" w:hAnsi="Arial" w:cs="Arial"/>
                <w:color w:val="002060"/>
                <w:sz w:val="20"/>
                <w:szCs w:val="20"/>
              </w:rPr>
              <w:t xml:space="preserve">at least </w:t>
            </w:r>
            <w:r w:rsidRPr="00B516A6">
              <w:rPr>
                <w:rFonts w:ascii="Arial" w:hAnsi="Arial" w:cs="Arial"/>
                <w:color w:val="002060"/>
                <w:sz w:val="20"/>
                <w:szCs w:val="20"/>
              </w:rPr>
              <w:t xml:space="preserve">7 days’ notice with </w:t>
            </w:r>
            <w:r>
              <w:rPr>
                <w:rFonts w:ascii="Arial" w:hAnsi="Arial" w:cs="Arial"/>
                <w:color w:val="002060"/>
                <w:sz w:val="20"/>
                <w:szCs w:val="20"/>
              </w:rPr>
              <w:t>1</w:t>
            </w:r>
            <w:r w:rsidRPr="00B516A6">
              <w:rPr>
                <w:rFonts w:ascii="Arial" w:hAnsi="Arial" w:cs="Arial"/>
                <w:color w:val="002060"/>
                <w:sz w:val="20"/>
                <w:szCs w:val="20"/>
              </w:rPr>
              <w:t xml:space="preserve"> instance of failure</w:t>
            </w:r>
          </w:p>
        </w:tc>
        <w:tc>
          <w:tcPr>
            <w:tcW w:w="1345" w:type="pct"/>
            <w:shd w:val="clear" w:color="auto" w:fill="00B050"/>
          </w:tcPr>
          <w:p w14:paraId="375B6133" w14:textId="70B92370" w:rsidR="00DA7F6A" w:rsidRPr="00E54590" w:rsidRDefault="00BD3329" w:rsidP="001267F7">
            <w:pPr>
              <w:rPr>
                <w:rFonts w:ascii="Arial" w:hAnsi="Arial" w:cs="Arial"/>
                <w:color w:val="002060"/>
                <w:sz w:val="20"/>
                <w:szCs w:val="20"/>
              </w:rPr>
            </w:pPr>
            <w:r w:rsidRPr="00BD3329">
              <w:rPr>
                <w:rFonts w:ascii="Arial" w:hAnsi="Arial" w:cs="Arial"/>
                <w:color w:val="002060"/>
                <w:sz w:val="20"/>
                <w:szCs w:val="20"/>
              </w:rPr>
              <w:t xml:space="preserve">GADAPT service should be available 24 hours per day, every day of the year. Minor planned stoppages of up to 1 hr for updates may be permitted with </w:t>
            </w:r>
            <w:r w:rsidR="00FC380E">
              <w:rPr>
                <w:rFonts w:ascii="Arial" w:hAnsi="Arial" w:cs="Arial"/>
                <w:color w:val="002060"/>
                <w:sz w:val="20"/>
                <w:szCs w:val="20"/>
              </w:rPr>
              <w:t xml:space="preserve">at least </w:t>
            </w:r>
            <w:r w:rsidRPr="00BD3329">
              <w:rPr>
                <w:rFonts w:ascii="Arial" w:hAnsi="Arial" w:cs="Arial"/>
                <w:color w:val="002060"/>
                <w:sz w:val="20"/>
                <w:szCs w:val="20"/>
              </w:rPr>
              <w:t>7 days’ notice</w:t>
            </w:r>
            <w:r>
              <w:rPr>
                <w:rFonts w:ascii="Arial" w:hAnsi="Arial" w:cs="Arial"/>
                <w:color w:val="002060"/>
                <w:sz w:val="20"/>
                <w:szCs w:val="20"/>
              </w:rPr>
              <w:t xml:space="preserve"> with no instances of failure.</w:t>
            </w:r>
          </w:p>
        </w:tc>
      </w:tr>
      <w:tr w:rsidR="004D7B19" w:rsidRPr="00FF1917" w14:paraId="3F0FDCCE" w14:textId="47ACBB11" w:rsidTr="00FF1917">
        <w:tc>
          <w:tcPr>
            <w:tcW w:w="301" w:type="pct"/>
          </w:tcPr>
          <w:p w14:paraId="25E24AAC" w14:textId="5E3D46E3" w:rsidR="004D7B19" w:rsidRPr="00E54590" w:rsidRDefault="004D7B19" w:rsidP="004D7B19">
            <w:pPr>
              <w:jc w:val="center"/>
              <w:rPr>
                <w:rFonts w:ascii="Arial" w:hAnsi="Arial" w:cs="Arial"/>
                <w:color w:val="002060"/>
                <w:sz w:val="20"/>
                <w:szCs w:val="20"/>
              </w:rPr>
            </w:pPr>
            <w:r w:rsidRPr="00E54590">
              <w:rPr>
                <w:rFonts w:ascii="Arial" w:hAnsi="Arial" w:cs="Arial"/>
                <w:color w:val="002060"/>
                <w:sz w:val="20"/>
                <w:szCs w:val="20"/>
              </w:rPr>
              <w:t>2</w:t>
            </w:r>
          </w:p>
        </w:tc>
        <w:tc>
          <w:tcPr>
            <w:tcW w:w="966" w:type="pct"/>
          </w:tcPr>
          <w:p w14:paraId="0FD23EDA" w14:textId="25EF0A0B" w:rsidR="004D7B19" w:rsidRPr="00E54590" w:rsidRDefault="00BD3329" w:rsidP="004D7B19">
            <w:pPr>
              <w:rPr>
                <w:rFonts w:ascii="Arial" w:hAnsi="Arial" w:cs="Arial"/>
                <w:color w:val="002060"/>
                <w:sz w:val="20"/>
                <w:szCs w:val="20"/>
              </w:rPr>
            </w:pPr>
            <w:r>
              <w:rPr>
                <w:rStyle w:val="normaltextrun"/>
                <w:rFonts w:eastAsiaTheme="majorEastAsia"/>
              </w:rPr>
              <w:t>Access</w:t>
            </w:r>
          </w:p>
        </w:tc>
        <w:tc>
          <w:tcPr>
            <w:tcW w:w="1268" w:type="pct"/>
            <w:shd w:val="clear" w:color="auto" w:fill="FF0000"/>
          </w:tcPr>
          <w:p w14:paraId="11F732CA" w14:textId="7281364B" w:rsidR="004D7B19" w:rsidRPr="00E54590" w:rsidRDefault="00031825" w:rsidP="001267F7">
            <w:pPr>
              <w:rPr>
                <w:rFonts w:ascii="Arial" w:hAnsi="Arial" w:cs="Arial"/>
                <w:color w:val="002060"/>
                <w:sz w:val="20"/>
                <w:szCs w:val="20"/>
              </w:rPr>
            </w:pPr>
            <w:r w:rsidRPr="00031825">
              <w:rPr>
                <w:rFonts w:ascii="Arial" w:hAnsi="Arial" w:cs="Arial"/>
                <w:color w:val="002060"/>
                <w:sz w:val="20"/>
                <w:szCs w:val="20"/>
              </w:rPr>
              <w:t xml:space="preserve">Access by </w:t>
            </w:r>
            <w:proofErr w:type="gramStart"/>
            <w:r w:rsidRPr="00031825">
              <w:rPr>
                <w:rFonts w:ascii="Arial" w:hAnsi="Arial" w:cs="Arial"/>
                <w:color w:val="002060"/>
                <w:sz w:val="20"/>
                <w:szCs w:val="20"/>
              </w:rPr>
              <w:t>multiple  users</w:t>
            </w:r>
            <w:proofErr w:type="gramEnd"/>
            <w:r w:rsidRPr="00031825">
              <w:rPr>
                <w:rFonts w:ascii="Arial" w:hAnsi="Arial" w:cs="Arial"/>
                <w:color w:val="002060"/>
                <w:sz w:val="20"/>
                <w:szCs w:val="20"/>
              </w:rPr>
              <w:t xml:space="preserve"> at the same time is required with a minimum of </w:t>
            </w:r>
            <w:r>
              <w:rPr>
                <w:rFonts w:ascii="Arial" w:hAnsi="Arial" w:cs="Arial"/>
                <w:color w:val="002060"/>
                <w:sz w:val="20"/>
                <w:szCs w:val="20"/>
              </w:rPr>
              <w:t>150</w:t>
            </w:r>
            <w:r w:rsidRPr="00031825">
              <w:rPr>
                <w:rFonts w:ascii="Arial" w:hAnsi="Arial" w:cs="Arial"/>
                <w:color w:val="002060"/>
                <w:sz w:val="20"/>
                <w:szCs w:val="20"/>
              </w:rPr>
              <w:t xml:space="preserve"> number of concurrent users</w:t>
            </w:r>
            <w:r w:rsidR="00D52150">
              <w:rPr>
                <w:rFonts w:ascii="Arial" w:hAnsi="Arial" w:cs="Arial"/>
                <w:color w:val="002060"/>
                <w:sz w:val="20"/>
                <w:szCs w:val="20"/>
              </w:rPr>
              <w:t xml:space="preserve"> </w:t>
            </w:r>
            <w:r w:rsidR="004D7B19" w:rsidRPr="00E54590">
              <w:rPr>
                <w:rFonts w:ascii="Arial" w:hAnsi="Arial" w:cs="Arial"/>
                <w:color w:val="002060"/>
                <w:sz w:val="20"/>
                <w:szCs w:val="20"/>
              </w:rPr>
              <w:t>with 2 or more instances of failure.</w:t>
            </w:r>
          </w:p>
          <w:p w14:paraId="3552A850" w14:textId="50A98243" w:rsidR="004D7B19" w:rsidRPr="00E54590" w:rsidRDefault="004D7B19" w:rsidP="001267F7">
            <w:pPr>
              <w:rPr>
                <w:rFonts w:ascii="Arial" w:hAnsi="Arial" w:cs="Arial"/>
                <w:color w:val="002060"/>
                <w:sz w:val="20"/>
                <w:szCs w:val="20"/>
                <w:highlight w:val="red"/>
              </w:rPr>
            </w:pPr>
          </w:p>
        </w:tc>
        <w:tc>
          <w:tcPr>
            <w:tcW w:w="1120" w:type="pct"/>
            <w:shd w:val="clear" w:color="auto" w:fill="FFFF00"/>
          </w:tcPr>
          <w:p w14:paraId="5FB4176C" w14:textId="553E76DE" w:rsidR="004D7B19" w:rsidRPr="00E54590" w:rsidRDefault="00031825" w:rsidP="001267F7">
            <w:pPr>
              <w:rPr>
                <w:rFonts w:ascii="Arial" w:hAnsi="Arial" w:cs="Arial"/>
                <w:color w:val="002060"/>
                <w:sz w:val="20"/>
                <w:szCs w:val="20"/>
              </w:rPr>
            </w:pPr>
            <w:r w:rsidRPr="00031825">
              <w:rPr>
                <w:rFonts w:ascii="Arial" w:hAnsi="Arial" w:cs="Arial"/>
                <w:color w:val="002060"/>
                <w:sz w:val="20"/>
                <w:szCs w:val="20"/>
              </w:rPr>
              <w:t xml:space="preserve">Access by </w:t>
            </w:r>
            <w:proofErr w:type="gramStart"/>
            <w:r w:rsidRPr="00031825">
              <w:rPr>
                <w:rFonts w:ascii="Arial" w:hAnsi="Arial" w:cs="Arial"/>
                <w:color w:val="002060"/>
                <w:sz w:val="20"/>
                <w:szCs w:val="20"/>
              </w:rPr>
              <w:t>multiple  users</w:t>
            </w:r>
            <w:proofErr w:type="gramEnd"/>
            <w:r w:rsidRPr="00031825">
              <w:rPr>
                <w:rFonts w:ascii="Arial" w:hAnsi="Arial" w:cs="Arial"/>
                <w:color w:val="002060"/>
                <w:sz w:val="20"/>
                <w:szCs w:val="20"/>
              </w:rPr>
              <w:t xml:space="preserve"> at the same time is required with a minimum of </w:t>
            </w:r>
            <w:r>
              <w:rPr>
                <w:rFonts w:ascii="Arial" w:hAnsi="Arial" w:cs="Arial"/>
                <w:color w:val="002060"/>
                <w:sz w:val="20"/>
                <w:szCs w:val="20"/>
              </w:rPr>
              <w:t>150</w:t>
            </w:r>
            <w:r w:rsidRPr="00031825">
              <w:rPr>
                <w:rFonts w:ascii="Arial" w:hAnsi="Arial" w:cs="Arial"/>
                <w:color w:val="002060"/>
                <w:sz w:val="20"/>
                <w:szCs w:val="20"/>
              </w:rPr>
              <w:t xml:space="preserve"> number of concurrent users. </w:t>
            </w:r>
            <w:r w:rsidR="004D7B19" w:rsidRPr="00E54590">
              <w:rPr>
                <w:rFonts w:ascii="Arial" w:hAnsi="Arial" w:cs="Arial"/>
                <w:color w:val="002060"/>
                <w:sz w:val="20"/>
                <w:szCs w:val="20"/>
              </w:rPr>
              <w:t>with 1 instance of failure.</w:t>
            </w:r>
          </w:p>
        </w:tc>
        <w:tc>
          <w:tcPr>
            <w:tcW w:w="1345" w:type="pct"/>
            <w:shd w:val="clear" w:color="auto" w:fill="00B050"/>
          </w:tcPr>
          <w:p w14:paraId="48915756" w14:textId="219D763A" w:rsidR="004D7B19" w:rsidRPr="00E54590" w:rsidRDefault="009837E3" w:rsidP="001267F7">
            <w:pPr>
              <w:rPr>
                <w:rFonts w:ascii="Arial" w:hAnsi="Arial" w:cs="Arial"/>
                <w:color w:val="002060"/>
                <w:sz w:val="20"/>
                <w:szCs w:val="20"/>
              </w:rPr>
            </w:pPr>
            <w:r w:rsidRPr="009837E3">
              <w:rPr>
                <w:rFonts w:ascii="Arial" w:hAnsi="Arial" w:cs="Arial"/>
                <w:color w:val="002060"/>
                <w:sz w:val="20"/>
                <w:szCs w:val="20"/>
              </w:rPr>
              <w:t xml:space="preserve">Access by </w:t>
            </w:r>
            <w:proofErr w:type="gramStart"/>
            <w:r w:rsidRPr="009837E3">
              <w:rPr>
                <w:rFonts w:ascii="Arial" w:hAnsi="Arial" w:cs="Arial"/>
                <w:color w:val="002060"/>
                <w:sz w:val="20"/>
                <w:szCs w:val="20"/>
              </w:rPr>
              <w:t>multiple  users</w:t>
            </w:r>
            <w:proofErr w:type="gramEnd"/>
            <w:r w:rsidRPr="009837E3">
              <w:rPr>
                <w:rFonts w:ascii="Arial" w:hAnsi="Arial" w:cs="Arial"/>
                <w:color w:val="002060"/>
                <w:sz w:val="20"/>
                <w:szCs w:val="20"/>
              </w:rPr>
              <w:t xml:space="preserve"> at the same time is required with a minimum of </w:t>
            </w:r>
            <w:r>
              <w:rPr>
                <w:rFonts w:ascii="Arial" w:hAnsi="Arial" w:cs="Arial"/>
                <w:color w:val="002060"/>
                <w:sz w:val="20"/>
                <w:szCs w:val="20"/>
              </w:rPr>
              <w:t>150</w:t>
            </w:r>
            <w:r w:rsidRPr="009837E3">
              <w:rPr>
                <w:rFonts w:ascii="Arial" w:hAnsi="Arial" w:cs="Arial"/>
                <w:color w:val="002060"/>
                <w:sz w:val="20"/>
                <w:szCs w:val="20"/>
              </w:rPr>
              <w:t xml:space="preserve"> number of concurrent users</w:t>
            </w:r>
            <w:r w:rsidR="00031825">
              <w:rPr>
                <w:rFonts w:ascii="Arial" w:hAnsi="Arial" w:cs="Arial"/>
                <w:color w:val="002060"/>
                <w:sz w:val="20"/>
                <w:szCs w:val="20"/>
              </w:rPr>
              <w:t xml:space="preserve"> </w:t>
            </w:r>
            <w:r w:rsidR="004D7B19" w:rsidRPr="00E54590">
              <w:rPr>
                <w:rFonts w:ascii="Arial" w:hAnsi="Arial" w:cs="Arial"/>
                <w:color w:val="002060"/>
                <w:sz w:val="20"/>
                <w:szCs w:val="20"/>
              </w:rPr>
              <w:t>with no instance of failure.</w:t>
            </w:r>
          </w:p>
        </w:tc>
      </w:tr>
      <w:tr w:rsidR="006F3DF8" w:rsidRPr="00FF1917" w14:paraId="2391A37B" w14:textId="0AD0681F" w:rsidTr="00FF1917">
        <w:tc>
          <w:tcPr>
            <w:tcW w:w="301" w:type="pct"/>
          </w:tcPr>
          <w:p w14:paraId="5280864E" w14:textId="6FD569F9" w:rsidR="006F3DF8" w:rsidRPr="00E54590" w:rsidRDefault="006F3DF8" w:rsidP="006F3DF8">
            <w:pPr>
              <w:jc w:val="center"/>
              <w:rPr>
                <w:rFonts w:ascii="Arial" w:hAnsi="Arial" w:cs="Arial"/>
                <w:color w:val="002060"/>
                <w:sz w:val="20"/>
                <w:szCs w:val="20"/>
              </w:rPr>
            </w:pPr>
            <w:r w:rsidRPr="00E54590">
              <w:rPr>
                <w:rFonts w:ascii="Arial" w:hAnsi="Arial" w:cs="Arial"/>
                <w:color w:val="002060"/>
                <w:sz w:val="20"/>
                <w:szCs w:val="20"/>
              </w:rPr>
              <w:t>3</w:t>
            </w:r>
          </w:p>
        </w:tc>
        <w:tc>
          <w:tcPr>
            <w:tcW w:w="966" w:type="pct"/>
          </w:tcPr>
          <w:p w14:paraId="1AC21F6E" w14:textId="738A6583" w:rsidR="006F3DF8" w:rsidRPr="00E54590" w:rsidRDefault="00BD3329" w:rsidP="006F3DF8">
            <w:pPr>
              <w:rPr>
                <w:rFonts w:ascii="Arial" w:hAnsi="Arial" w:cs="Arial"/>
                <w:color w:val="002060"/>
                <w:sz w:val="20"/>
                <w:szCs w:val="20"/>
              </w:rPr>
            </w:pPr>
            <w:r>
              <w:rPr>
                <w:rStyle w:val="normaltextrun"/>
                <w:rFonts w:eastAsiaTheme="majorEastAsia"/>
              </w:rPr>
              <w:t>Access</w:t>
            </w:r>
          </w:p>
        </w:tc>
        <w:tc>
          <w:tcPr>
            <w:tcW w:w="1268" w:type="pct"/>
            <w:shd w:val="clear" w:color="auto" w:fill="FF0000"/>
          </w:tcPr>
          <w:p w14:paraId="3DC0ABF5" w14:textId="732289C3" w:rsidR="006F3DF8" w:rsidRPr="00E54590" w:rsidRDefault="005D292D" w:rsidP="001267F7">
            <w:pPr>
              <w:rPr>
                <w:rFonts w:ascii="Arial" w:hAnsi="Arial" w:cs="Arial"/>
                <w:color w:val="002060"/>
                <w:sz w:val="20"/>
                <w:szCs w:val="20"/>
              </w:rPr>
            </w:pPr>
            <w:r w:rsidRPr="005D292D">
              <w:rPr>
                <w:rFonts w:ascii="Arial" w:hAnsi="Arial" w:cs="Arial"/>
                <w:color w:val="002060"/>
                <w:sz w:val="20"/>
                <w:szCs w:val="20"/>
              </w:rPr>
              <w:t>Admin and Main user access are to be separate to ensure info updates or requests are correctly processed and do not affect the main user access unintentionally</w:t>
            </w:r>
            <w:r w:rsidR="00A6542E">
              <w:rPr>
                <w:rFonts w:ascii="Arial" w:hAnsi="Arial" w:cs="Arial"/>
                <w:color w:val="002060"/>
                <w:sz w:val="20"/>
                <w:szCs w:val="20"/>
              </w:rPr>
              <w:t xml:space="preserve"> with 2 or</w:t>
            </w:r>
            <w:r w:rsidR="006F3DF8" w:rsidRPr="00E54590">
              <w:rPr>
                <w:rFonts w:ascii="Arial" w:hAnsi="Arial" w:cs="Arial"/>
                <w:color w:val="002060"/>
                <w:sz w:val="20"/>
                <w:szCs w:val="20"/>
              </w:rPr>
              <w:t xml:space="preserve"> more instances of failure.</w:t>
            </w:r>
          </w:p>
        </w:tc>
        <w:tc>
          <w:tcPr>
            <w:tcW w:w="1120" w:type="pct"/>
            <w:shd w:val="clear" w:color="auto" w:fill="FFFF00"/>
          </w:tcPr>
          <w:p w14:paraId="08F3A051" w14:textId="2B370D59" w:rsidR="006F3DF8" w:rsidRPr="00E54590" w:rsidRDefault="00B516A6" w:rsidP="001267F7">
            <w:pPr>
              <w:rPr>
                <w:rFonts w:ascii="Arial" w:hAnsi="Arial" w:cs="Arial"/>
                <w:color w:val="002060"/>
                <w:sz w:val="20"/>
                <w:szCs w:val="20"/>
                <w:highlight w:val="yellow"/>
              </w:rPr>
            </w:pPr>
            <w:r w:rsidRPr="00B516A6">
              <w:rPr>
                <w:rFonts w:ascii="Arial" w:hAnsi="Arial" w:cs="Arial"/>
                <w:color w:val="002060"/>
                <w:sz w:val="20"/>
                <w:szCs w:val="20"/>
              </w:rPr>
              <w:t xml:space="preserve">Admin and Main user access are to be separate to ensure info updates or requests are correctly processed and do not affect the main user access unintentionally with </w:t>
            </w:r>
            <w:r>
              <w:rPr>
                <w:rFonts w:ascii="Arial" w:hAnsi="Arial" w:cs="Arial"/>
                <w:color w:val="002060"/>
                <w:sz w:val="20"/>
                <w:szCs w:val="20"/>
              </w:rPr>
              <w:t>1</w:t>
            </w:r>
            <w:r w:rsidRPr="00B516A6">
              <w:rPr>
                <w:rFonts w:ascii="Arial" w:hAnsi="Arial" w:cs="Arial"/>
                <w:color w:val="002060"/>
                <w:sz w:val="20"/>
                <w:szCs w:val="20"/>
              </w:rPr>
              <w:t xml:space="preserve"> or more instances of failure.</w:t>
            </w:r>
          </w:p>
        </w:tc>
        <w:tc>
          <w:tcPr>
            <w:tcW w:w="1345" w:type="pct"/>
            <w:shd w:val="clear" w:color="auto" w:fill="00B050"/>
          </w:tcPr>
          <w:p w14:paraId="7837139F" w14:textId="7185558E" w:rsidR="006F3DF8" w:rsidRPr="00E54590" w:rsidRDefault="00A6542E" w:rsidP="001267F7">
            <w:pPr>
              <w:rPr>
                <w:rFonts w:ascii="Arial" w:hAnsi="Arial" w:cs="Arial"/>
                <w:color w:val="002060"/>
                <w:sz w:val="20"/>
                <w:szCs w:val="20"/>
              </w:rPr>
            </w:pPr>
            <w:r w:rsidRPr="00A6542E">
              <w:rPr>
                <w:rFonts w:ascii="Arial" w:hAnsi="Arial" w:cs="Arial"/>
                <w:color w:val="002060"/>
                <w:sz w:val="20"/>
                <w:szCs w:val="20"/>
              </w:rPr>
              <w:t>Admin and Main user access are to be separate to ensure info updates or requests are correctly processed and do not affect the main user access unintentionally</w:t>
            </w:r>
            <w:r w:rsidR="00641635">
              <w:rPr>
                <w:rFonts w:ascii="Arial" w:hAnsi="Arial" w:cs="Arial"/>
                <w:color w:val="002060"/>
                <w:sz w:val="20"/>
                <w:szCs w:val="20"/>
              </w:rPr>
              <w:t xml:space="preserve"> </w:t>
            </w:r>
            <w:r w:rsidR="006F3DF8" w:rsidRPr="00E54590">
              <w:rPr>
                <w:rFonts w:ascii="Arial" w:hAnsi="Arial" w:cs="Arial"/>
                <w:color w:val="002060"/>
                <w:sz w:val="20"/>
                <w:szCs w:val="20"/>
              </w:rPr>
              <w:t>with no instance of failure.</w:t>
            </w:r>
          </w:p>
        </w:tc>
      </w:tr>
      <w:tr w:rsidR="006F3DF8" w:rsidRPr="00FF1917" w14:paraId="39E42737" w14:textId="77777777" w:rsidTr="00FF1917">
        <w:tc>
          <w:tcPr>
            <w:tcW w:w="301" w:type="pct"/>
          </w:tcPr>
          <w:p w14:paraId="2387C7C5" w14:textId="00C132CA" w:rsidR="006F3DF8" w:rsidRPr="00E54590" w:rsidRDefault="006F3DF8" w:rsidP="006F3DF8">
            <w:pPr>
              <w:jc w:val="center"/>
              <w:rPr>
                <w:rFonts w:ascii="Arial" w:hAnsi="Arial" w:cs="Arial"/>
                <w:color w:val="002060"/>
                <w:sz w:val="20"/>
                <w:szCs w:val="20"/>
              </w:rPr>
            </w:pPr>
            <w:r w:rsidRPr="00E54590">
              <w:rPr>
                <w:rFonts w:ascii="Arial" w:hAnsi="Arial" w:cs="Arial"/>
                <w:color w:val="002060"/>
                <w:sz w:val="20"/>
                <w:szCs w:val="20"/>
              </w:rPr>
              <w:t>4</w:t>
            </w:r>
          </w:p>
        </w:tc>
        <w:tc>
          <w:tcPr>
            <w:tcW w:w="966" w:type="pct"/>
          </w:tcPr>
          <w:p w14:paraId="3DF664BF" w14:textId="13D13537" w:rsidR="006F3DF8" w:rsidRPr="00E54590" w:rsidRDefault="00DC499B" w:rsidP="006F3DF8">
            <w:pPr>
              <w:rPr>
                <w:rFonts w:ascii="Arial" w:hAnsi="Arial" w:cs="Arial"/>
                <w:color w:val="002060"/>
                <w:sz w:val="20"/>
                <w:szCs w:val="20"/>
              </w:rPr>
            </w:pPr>
            <w:r>
              <w:rPr>
                <w:rStyle w:val="normaltextrun"/>
                <w:rFonts w:eastAsiaTheme="majorEastAsia"/>
              </w:rPr>
              <w:t xml:space="preserve">Accuracy </w:t>
            </w:r>
          </w:p>
        </w:tc>
        <w:tc>
          <w:tcPr>
            <w:tcW w:w="1268" w:type="pct"/>
            <w:shd w:val="clear" w:color="auto" w:fill="FF0000"/>
          </w:tcPr>
          <w:p w14:paraId="5A8C89BA" w14:textId="7A6BB2C7" w:rsidR="006F3DF8" w:rsidRPr="00E54590" w:rsidRDefault="006E2DDB" w:rsidP="001267F7">
            <w:pPr>
              <w:rPr>
                <w:rFonts w:ascii="Arial" w:hAnsi="Arial" w:cs="Arial"/>
                <w:color w:val="002060"/>
                <w:sz w:val="20"/>
                <w:szCs w:val="20"/>
              </w:rPr>
            </w:pPr>
            <w:r w:rsidRPr="006E2DDB">
              <w:rPr>
                <w:rFonts w:ascii="Arial" w:hAnsi="Arial" w:cs="Arial"/>
                <w:color w:val="002060"/>
                <w:sz w:val="20"/>
                <w:szCs w:val="20"/>
              </w:rPr>
              <w:t xml:space="preserve">Airfield and Obstacle Data must be accurate. </w:t>
            </w:r>
            <w:r w:rsidR="00AB72A5" w:rsidRPr="00AB72A5">
              <w:rPr>
                <w:rFonts w:ascii="Arial" w:hAnsi="Arial" w:cs="Arial"/>
                <w:color w:val="002060"/>
                <w:sz w:val="20"/>
                <w:szCs w:val="20"/>
              </w:rPr>
              <w:t>Data must be accurate to the tolerances defined in ICAO Annex 15.</w:t>
            </w:r>
            <w:r>
              <w:rPr>
                <w:rFonts w:ascii="Arial" w:hAnsi="Arial" w:cs="Arial"/>
                <w:color w:val="002060"/>
                <w:sz w:val="20"/>
                <w:szCs w:val="20"/>
              </w:rPr>
              <w:t xml:space="preserve">, </w:t>
            </w:r>
            <w:r w:rsidR="00491E59" w:rsidRPr="00E54590">
              <w:rPr>
                <w:rFonts w:ascii="Arial" w:hAnsi="Arial" w:cs="Arial"/>
                <w:color w:val="002060"/>
                <w:sz w:val="20"/>
                <w:szCs w:val="20"/>
              </w:rPr>
              <w:t xml:space="preserve">with </w:t>
            </w:r>
            <w:r w:rsidR="00FB7D08">
              <w:rPr>
                <w:rFonts w:ascii="Arial" w:hAnsi="Arial" w:cs="Arial"/>
                <w:color w:val="002060"/>
                <w:sz w:val="20"/>
                <w:szCs w:val="20"/>
              </w:rPr>
              <w:t>2 or more</w:t>
            </w:r>
            <w:r w:rsidR="00F2458F" w:rsidRPr="00E54590">
              <w:rPr>
                <w:rFonts w:ascii="Arial" w:hAnsi="Arial" w:cs="Arial"/>
                <w:color w:val="002060"/>
                <w:sz w:val="20"/>
                <w:szCs w:val="20"/>
              </w:rPr>
              <w:t xml:space="preserve"> </w:t>
            </w:r>
            <w:r w:rsidR="00491E59" w:rsidRPr="00E54590">
              <w:rPr>
                <w:rFonts w:ascii="Arial" w:hAnsi="Arial" w:cs="Arial"/>
                <w:color w:val="002060"/>
                <w:sz w:val="20"/>
                <w:szCs w:val="20"/>
              </w:rPr>
              <w:t>instance</w:t>
            </w:r>
            <w:r w:rsidR="00FB7D08">
              <w:rPr>
                <w:rFonts w:ascii="Arial" w:hAnsi="Arial" w:cs="Arial"/>
                <w:color w:val="002060"/>
                <w:sz w:val="20"/>
                <w:szCs w:val="20"/>
              </w:rPr>
              <w:t>s</w:t>
            </w:r>
            <w:r w:rsidR="00491E59" w:rsidRPr="00E54590">
              <w:rPr>
                <w:rFonts w:ascii="Arial" w:hAnsi="Arial" w:cs="Arial"/>
                <w:color w:val="002060"/>
                <w:sz w:val="20"/>
                <w:szCs w:val="20"/>
              </w:rPr>
              <w:t xml:space="preserve"> of failure.</w:t>
            </w:r>
          </w:p>
        </w:tc>
        <w:tc>
          <w:tcPr>
            <w:tcW w:w="1120" w:type="pct"/>
            <w:shd w:val="clear" w:color="auto" w:fill="FFFF00"/>
          </w:tcPr>
          <w:p w14:paraId="5C8C8CDE" w14:textId="460AAD05" w:rsidR="006F3DF8" w:rsidRPr="00E54590" w:rsidRDefault="00FB7D08" w:rsidP="001267F7">
            <w:pPr>
              <w:rPr>
                <w:rFonts w:ascii="Arial" w:hAnsi="Arial" w:cs="Arial"/>
                <w:color w:val="002060"/>
                <w:sz w:val="20"/>
                <w:szCs w:val="20"/>
              </w:rPr>
            </w:pPr>
            <w:r w:rsidRPr="00FB7D08">
              <w:rPr>
                <w:rFonts w:ascii="Arial" w:hAnsi="Arial" w:cs="Arial"/>
                <w:color w:val="002060"/>
                <w:sz w:val="20"/>
                <w:szCs w:val="20"/>
              </w:rPr>
              <w:t xml:space="preserve">Airfield and Obstacle Data must be accurate. </w:t>
            </w:r>
            <w:r w:rsidR="00AB72A5" w:rsidRPr="00AB72A5">
              <w:rPr>
                <w:rFonts w:ascii="Arial" w:hAnsi="Arial" w:cs="Arial"/>
                <w:color w:val="002060"/>
                <w:sz w:val="20"/>
                <w:szCs w:val="20"/>
              </w:rPr>
              <w:t>Data must be accurate to the tolerances defined in ICAO Annex 15.</w:t>
            </w:r>
            <w:r w:rsidRPr="00FB7D08">
              <w:rPr>
                <w:rFonts w:ascii="Arial" w:hAnsi="Arial" w:cs="Arial"/>
                <w:color w:val="002060"/>
                <w:sz w:val="20"/>
                <w:szCs w:val="20"/>
              </w:rPr>
              <w:t>, with 2 or more instances of failure.</w:t>
            </w:r>
          </w:p>
        </w:tc>
        <w:tc>
          <w:tcPr>
            <w:tcW w:w="1345" w:type="pct"/>
            <w:shd w:val="clear" w:color="auto" w:fill="00B050"/>
          </w:tcPr>
          <w:p w14:paraId="17051ADC" w14:textId="2E13561E" w:rsidR="006F3DF8" w:rsidRPr="00E54590" w:rsidRDefault="006E2DDB" w:rsidP="001267F7">
            <w:pPr>
              <w:rPr>
                <w:rFonts w:ascii="Arial" w:hAnsi="Arial" w:cs="Arial"/>
                <w:color w:val="002060"/>
                <w:sz w:val="20"/>
                <w:szCs w:val="20"/>
              </w:rPr>
            </w:pPr>
            <w:r w:rsidRPr="006E2DDB">
              <w:rPr>
                <w:rFonts w:ascii="Arial" w:hAnsi="Arial" w:cs="Arial"/>
                <w:color w:val="002060"/>
                <w:sz w:val="20"/>
                <w:szCs w:val="20"/>
              </w:rPr>
              <w:t xml:space="preserve">Airfield and Obstacle Data must be accurate. </w:t>
            </w:r>
            <w:r w:rsidR="00AB72A5" w:rsidRPr="00AB72A5">
              <w:rPr>
                <w:rFonts w:ascii="Arial" w:hAnsi="Arial" w:cs="Arial"/>
                <w:color w:val="002060"/>
                <w:sz w:val="20"/>
                <w:szCs w:val="20"/>
              </w:rPr>
              <w:t>Data must be accurate to the tolerances defined in ICAO Annex 15</w:t>
            </w:r>
            <w:r w:rsidR="006A7D99">
              <w:rPr>
                <w:rFonts w:ascii="Arial" w:hAnsi="Arial" w:cs="Arial"/>
                <w:color w:val="002060"/>
                <w:sz w:val="20"/>
                <w:szCs w:val="20"/>
              </w:rPr>
              <w:t xml:space="preserve"> </w:t>
            </w:r>
            <w:r w:rsidR="00297D91" w:rsidRPr="00E54590">
              <w:rPr>
                <w:rFonts w:ascii="Arial" w:hAnsi="Arial" w:cs="Arial"/>
                <w:color w:val="002060"/>
                <w:sz w:val="20"/>
                <w:szCs w:val="20"/>
              </w:rPr>
              <w:t>with no instance of failure.</w:t>
            </w:r>
          </w:p>
        </w:tc>
      </w:tr>
    </w:tbl>
    <w:p w14:paraId="116FEEB6" w14:textId="66910EB7" w:rsidR="005C7D32" w:rsidRPr="00FF1917" w:rsidRDefault="005C7D32">
      <w:pPr>
        <w:rPr>
          <w:rFonts w:ascii="Arial" w:hAnsi="Arial" w:cs="Arial"/>
          <w:sz w:val="20"/>
          <w:szCs w:val="20"/>
        </w:rPr>
      </w:pPr>
    </w:p>
    <w:p w14:paraId="43E3D240" w14:textId="77777777" w:rsidR="007A7357" w:rsidRPr="00FF1917" w:rsidRDefault="007A7357" w:rsidP="007A7357">
      <w:pPr>
        <w:widowControl w:val="0"/>
        <w:autoSpaceDE w:val="0"/>
        <w:autoSpaceDN w:val="0"/>
        <w:adjustRightInd w:val="0"/>
        <w:spacing w:after="0" w:line="276" w:lineRule="auto"/>
        <w:ind w:right="114"/>
        <w:rPr>
          <w:rFonts w:ascii="Arial" w:hAnsi="Arial" w:cs="Arial"/>
          <w:sz w:val="20"/>
          <w:szCs w:val="20"/>
        </w:rPr>
      </w:pPr>
    </w:p>
    <w:p w14:paraId="3F15878D" w14:textId="7FF8B438" w:rsidR="007A7357" w:rsidRPr="00FF1917" w:rsidRDefault="007A7357" w:rsidP="007A7357">
      <w:pPr>
        <w:rPr>
          <w:sz w:val="20"/>
          <w:szCs w:val="20"/>
        </w:rPr>
      </w:pPr>
    </w:p>
    <w:sectPr w:rsidR="007A7357" w:rsidRPr="00FF191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C27D" w14:textId="77777777" w:rsidR="00DF2A82" w:rsidRDefault="00DF2A82" w:rsidP="005C7D32">
      <w:pPr>
        <w:spacing w:after="0" w:line="240" w:lineRule="auto"/>
      </w:pPr>
      <w:r>
        <w:separator/>
      </w:r>
    </w:p>
  </w:endnote>
  <w:endnote w:type="continuationSeparator" w:id="0">
    <w:p w14:paraId="7AB00E8F" w14:textId="77777777" w:rsidR="00DF2A82" w:rsidRDefault="00DF2A82" w:rsidP="005C7D32">
      <w:pPr>
        <w:spacing w:after="0" w:line="240" w:lineRule="auto"/>
      </w:pPr>
      <w:r>
        <w:continuationSeparator/>
      </w:r>
    </w:p>
  </w:endnote>
  <w:endnote w:type="continuationNotice" w:id="1">
    <w:p w14:paraId="515A566E" w14:textId="77777777" w:rsidR="00DF2A82" w:rsidRDefault="00DF2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C314" w14:textId="029086C8" w:rsidR="00D635DA" w:rsidRDefault="00D635DA">
    <w:pPr>
      <w:pStyle w:val="Footer"/>
    </w:pPr>
    <w:r>
      <w:rPr>
        <w:noProof/>
      </w:rPr>
      <mc:AlternateContent>
        <mc:Choice Requires="wps">
          <w:drawing>
            <wp:anchor distT="0" distB="0" distL="0" distR="0" simplePos="0" relativeHeight="251658244" behindDoc="0" locked="0" layoutInCell="1" allowOverlap="1" wp14:anchorId="7D8F4CCB" wp14:editId="15628C80">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0226A" w14:textId="65C5190B"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8F4CCB"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2D0226A" w14:textId="65C5190B"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9FCA" w14:textId="32DA3B1F" w:rsidR="00D635DA" w:rsidRDefault="00D635DA">
    <w:pPr>
      <w:pStyle w:val="Footer"/>
    </w:pPr>
    <w:r>
      <w:rPr>
        <w:noProof/>
      </w:rPr>
      <mc:AlternateContent>
        <mc:Choice Requires="wps">
          <w:drawing>
            <wp:anchor distT="0" distB="0" distL="0" distR="0" simplePos="0" relativeHeight="251658245" behindDoc="0" locked="0" layoutInCell="1" allowOverlap="1" wp14:anchorId="791AD73F" wp14:editId="3ECB0A4D">
              <wp:simplePos x="914400" y="1006792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77249" w14:textId="0F684658"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1AD73F"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6777249" w14:textId="0F684658"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278C" w14:textId="0937B425" w:rsidR="00D635DA" w:rsidRDefault="00D635DA">
    <w:pPr>
      <w:pStyle w:val="Footer"/>
    </w:pPr>
    <w:r>
      <w:rPr>
        <w:noProof/>
      </w:rPr>
      <mc:AlternateContent>
        <mc:Choice Requires="wps">
          <w:drawing>
            <wp:anchor distT="0" distB="0" distL="0" distR="0" simplePos="0" relativeHeight="251658243" behindDoc="0" locked="0" layoutInCell="1" allowOverlap="1" wp14:anchorId="3906B3A0" wp14:editId="7530DE29">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0DF68" w14:textId="7B4778D6"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06B3A0"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DC0DF68" w14:textId="7B4778D6"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EEAB" w14:textId="77777777" w:rsidR="00DF2A82" w:rsidRDefault="00DF2A82" w:rsidP="005C7D32">
      <w:pPr>
        <w:spacing w:after="0" w:line="240" w:lineRule="auto"/>
      </w:pPr>
      <w:r>
        <w:separator/>
      </w:r>
    </w:p>
  </w:footnote>
  <w:footnote w:type="continuationSeparator" w:id="0">
    <w:p w14:paraId="7CAE40CD" w14:textId="77777777" w:rsidR="00DF2A82" w:rsidRDefault="00DF2A82" w:rsidP="005C7D32">
      <w:pPr>
        <w:spacing w:after="0" w:line="240" w:lineRule="auto"/>
      </w:pPr>
      <w:r>
        <w:continuationSeparator/>
      </w:r>
    </w:p>
  </w:footnote>
  <w:footnote w:type="continuationNotice" w:id="1">
    <w:p w14:paraId="3DD99FAB" w14:textId="77777777" w:rsidR="00DF2A82" w:rsidRDefault="00DF2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4081" w14:textId="6DCB3C3E" w:rsidR="00D635DA" w:rsidRDefault="00D635DA">
    <w:pPr>
      <w:pStyle w:val="Header"/>
    </w:pPr>
    <w:r>
      <w:rPr>
        <w:noProof/>
      </w:rPr>
      <mc:AlternateContent>
        <mc:Choice Requires="wps">
          <w:drawing>
            <wp:anchor distT="0" distB="0" distL="0" distR="0" simplePos="0" relativeHeight="251658241" behindDoc="0" locked="0" layoutInCell="1" allowOverlap="1" wp14:anchorId="28D2F6CF" wp14:editId="5BF76EFE">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A4F0BE" w14:textId="02B49F90"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D2F6CF"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0A4F0BE" w14:textId="02B49F90"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C084" w14:textId="77777777" w:rsidR="00203E3B" w:rsidRDefault="00203E3B" w:rsidP="00017E8D">
    <w:pPr>
      <w:pStyle w:val="Header"/>
      <w:jc w:val="right"/>
      <w:rPr>
        <w:rFonts w:ascii="Arial" w:hAnsi="Arial" w:cs="Arial"/>
        <w:b/>
      </w:rPr>
    </w:pPr>
  </w:p>
  <w:p w14:paraId="6B47EC88" w14:textId="6EE7EEF4" w:rsidR="00017E8D" w:rsidRPr="00017E8D" w:rsidRDefault="00D635DA" w:rsidP="00017E8D">
    <w:pPr>
      <w:pStyle w:val="Header"/>
      <w:jc w:val="right"/>
      <w:rPr>
        <w:rFonts w:ascii="Arial" w:hAnsi="Arial" w:cs="Arial"/>
      </w:rPr>
    </w:pPr>
    <w:r>
      <w:rPr>
        <w:rFonts w:ascii="Arial" w:hAnsi="Arial" w:cs="Arial"/>
        <w:b/>
        <w:noProof/>
      </w:rPr>
      <mc:AlternateContent>
        <mc:Choice Requires="wps">
          <w:drawing>
            <wp:anchor distT="0" distB="0" distL="0" distR="0" simplePos="0" relativeHeight="251658242" behindDoc="0" locked="0" layoutInCell="1" allowOverlap="1" wp14:anchorId="2294BF42" wp14:editId="0DF71FBA">
              <wp:simplePos x="914400" y="44767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DD5F3" w14:textId="3CD5BFDE"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94BF42"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B0DD5F3" w14:textId="3CD5BFDE"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E53F" w14:textId="3E5FBE75" w:rsidR="00D635DA" w:rsidRDefault="00D635DA">
    <w:pPr>
      <w:pStyle w:val="Header"/>
    </w:pPr>
    <w:r>
      <w:rPr>
        <w:noProof/>
      </w:rPr>
      <mc:AlternateContent>
        <mc:Choice Requires="wps">
          <w:drawing>
            <wp:anchor distT="0" distB="0" distL="0" distR="0" simplePos="0" relativeHeight="251658240" behindDoc="0" locked="0" layoutInCell="1" allowOverlap="1" wp14:anchorId="7A1A53A9" wp14:editId="1487B7BE">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D4D18" w14:textId="1E03887C"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1A53A9"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C7D4D18" w14:textId="1E03887C" w:rsidR="00D635DA" w:rsidRPr="00D635DA" w:rsidRDefault="00D635DA">
                    <w:pPr>
                      <w:rPr>
                        <w:rFonts w:ascii="Arial" w:eastAsia="Arial" w:hAnsi="Arial" w:cs="Arial"/>
                        <w:color w:val="000000"/>
                        <w:sz w:val="24"/>
                        <w:szCs w:val="24"/>
                      </w:rPr>
                    </w:pPr>
                    <w:r w:rsidRPr="00D635DA">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266D"/>
    <w:multiLevelType w:val="hybridMultilevel"/>
    <w:tmpl w:val="C85ACFE2"/>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66D89"/>
    <w:multiLevelType w:val="hybridMultilevel"/>
    <w:tmpl w:val="ECB6B3F6"/>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13103"/>
    <w:multiLevelType w:val="hybridMultilevel"/>
    <w:tmpl w:val="D614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41C0A"/>
    <w:multiLevelType w:val="hybridMultilevel"/>
    <w:tmpl w:val="4B2646E6"/>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C7313E"/>
    <w:multiLevelType w:val="hybridMultilevel"/>
    <w:tmpl w:val="856870FE"/>
    <w:lvl w:ilvl="0" w:tplc="2BF4BD5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80928"/>
    <w:multiLevelType w:val="hybridMultilevel"/>
    <w:tmpl w:val="F33E4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522045">
    <w:abstractNumId w:val="5"/>
  </w:num>
  <w:num w:numId="2" w16cid:durableId="704137759">
    <w:abstractNumId w:val="2"/>
  </w:num>
  <w:num w:numId="3" w16cid:durableId="1816213619">
    <w:abstractNumId w:val="3"/>
  </w:num>
  <w:num w:numId="4" w16cid:durableId="829633568">
    <w:abstractNumId w:val="4"/>
  </w:num>
  <w:num w:numId="5" w16cid:durableId="977802040">
    <w:abstractNumId w:val="0"/>
  </w:num>
  <w:num w:numId="6" w16cid:durableId="1998804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32"/>
    <w:rsid w:val="00017E8D"/>
    <w:rsid w:val="00031825"/>
    <w:rsid w:val="00044F2C"/>
    <w:rsid w:val="00065544"/>
    <w:rsid w:val="00080A37"/>
    <w:rsid w:val="000D6E9B"/>
    <w:rsid w:val="000D7DED"/>
    <w:rsid w:val="00102372"/>
    <w:rsid w:val="00112975"/>
    <w:rsid w:val="00114742"/>
    <w:rsid w:val="001267F7"/>
    <w:rsid w:val="0019338A"/>
    <w:rsid w:val="001E5562"/>
    <w:rsid w:val="00203E3B"/>
    <w:rsid w:val="00222063"/>
    <w:rsid w:val="0022395C"/>
    <w:rsid w:val="0023403F"/>
    <w:rsid w:val="002465FA"/>
    <w:rsid w:val="00297D91"/>
    <w:rsid w:val="002D1F4D"/>
    <w:rsid w:val="002F1B57"/>
    <w:rsid w:val="002F6795"/>
    <w:rsid w:val="003226F2"/>
    <w:rsid w:val="00330C25"/>
    <w:rsid w:val="00346E0C"/>
    <w:rsid w:val="00351A44"/>
    <w:rsid w:val="0035680A"/>
    <w:rsid w:val="00386770"/>
    <w:rsid w:val="003A1F27"/>
    <w:rsid w:val="003B0E3B"/>
    <w:rsid w:val="00411D37"/>
    <w:rsid w:val="00490B21"/>
    <w:rsid w:val="00491E59"/>
    <w:rsid w:val="004B6B52"/>
    <w:rsid w:val="004C0B89"/>
    <w:rsid w:val="004D7B19"/>
    <w:rsid w:val="00522C1C"/>
    <w:rsid w:val="00525663"/>
    <w:rsid w:val="005A5D57"/>
    <w:rsid w:val="005B0DBF"/>
    <w:rsid w:val="005C7D32"/>
    <w:rsid w:val="005D14D6"/>
    <w:rsid w:val="005D292D"/>
    <w:rsid w:val="00615266"/>
    <w:rsid w:val="00617E64"/>
    <w:rsid w:val="00636C76"/>
    <w:rsid w:val="00641635"/>
    <w:rsid w:val="00645E74"/>
    <w:rsid w:val="00647C19"/>
    <w:rsid w:val="006A7D99"/>
    <w:rsid w:val="006B77C6"/>
    <w:rsid w:val="006D4915"/>
    <w:rsid w:val="006E2DDB"/>
    <w:rsid w:val="006F3DF8"/>
    <w:rsid w:val="007101E0"/>
    <w:rsid w:val="00715038"/>
    <w:rsid w:val="00727AFE"/>
    <w:rsid w:val="00794739"/>
    <w:rsid w:val="007A7357"/>
    <w:rsid w:val="00817C93"/>
    <w:rsid w:val="00895343"/>
    <w:rsid w:val="008C34ED"/>
    <w:rsid w:val="008E11EC"/>
    <w:rsid w:val="008E6F4D"/>
    <w:rsid w:val="00965D4C"/>
    <w:rsid w:val="00970B11"/>
    <w:rsid w:val="009837E3"/>
    <w:rsid w:val="009A1186"/>
    <w:rsid w:val="009C41E4"/>
    <w:rsid w:val="009D2EE7"/>
    <w:rsid w:val="009E5498"/>
    <w:rsid w:val="009F71A1"/>
    <w:rsid w:val="00A007C2"/>
    <w:rsid w:val="00A64D15"/>
    <w:rsid w:val="00A6542E"/>
    <w:rsid w:val="00A9203F"/>
    <w:rsid w:val="00AB72A5"/>
    <w:rsid w:val="00AE0A18"/>
    <w:rsid w:val="00AF06F7"/>
    <w:rsid w:val="00B01084"/>
    <w:rsid w:val="00B30EE8"/>
    <w:rsid w:val="00B516A6"/>
    <w:rsid w:val="00B77F1F"/>
    <w:rsid w:val="00BA710C"/>
    <w:rsid w:val="00BA743D"/>
    <w:rsid w:val="00BD3329"/>
    <w:rsid w:val="00C13A47"/>
    <w:rsid w:val="00C30171"/>
    <w:rsid w:val="00C4792C"/>
    <w:rsid w:val="00C766CE"/>
    <w:rsid w:val="00CA7383"/>
    <w:rsid w:val="00CD1583"/>
    <w:rsid w:val="00D10F5F"/>
    <w:rsid w:val="00D14933"/>
    <w:rsid w:val="00D312C6"/>
    <w:rsid w:val="00D52150"/>
    <w:rsid w:val="00D635DA"/>
    <w:rsid w:val="00D67043"/>
    <w:rsid w:val="00DA696A"/>
    <w:rsid w:val="00DA7299"/>
    <w:rsid w:val="00DA7F6A"/>
    <w:rsid w:val="00DC499B"/>
    <w:rsid w:val="00DC5149"/>
    <w:rsid w:val="00DC6DDA"/>
    <w:rsid w:val="00DD247D"/>
    <w:rsid w:val="00DF0EB6"/>
    <w:rsid w:val="00DF2A82"/>
    <w:rsid w:val="00E021A7"/>
    <w:rsid w:val="00E079B7"/>
    <w:rsid w:val="00E54590"/>
    <w:rsid w:val="00E7619C"/>
    <w:rsid w:val="00EC3003"/>
    <w:rsid w:val="00EF038E"/>
    <w:rsid w:val="00F0726B"/>
    <w:rsid w:val="00F13768"/>
    <w:rsid w:val="00F1602D"/>
    <w:rsid w:val="00F16F1C"/>
    <w:rsid w:val="00F2458F"/>
    <w:rsid w:val="00F25BA2"/>
    <w:rsid w:val="00F356CA"/>
    <w:rsid w:val="00F403E1"/>
    <w:rsid w:val="00F97147"/>
    <w:rsid w:val="00FB7D08"/>
    <w:rsid w:val="00FC380E"/>
    <w:rsid w:val="00FF1917"/>
    <w:rsid w:val="00FF776E"/>
    <w:rsid w:val="297FA16E"/>
    <w:rsid w:val="4154BDEC"/>
    <w:rsid w:val="73DCC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836F5"/>
  <w15:chartTrackingRefBased/>
  <w15:docId w15:val="{A06C206F-8521-4879-A1F5-DB5F387A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6CA"/>
    <w:pPr>
      <w:ind w:left="720"/>
      <w:contextualSpacing/>
    </w:pPr>
  </w:style>
  <w:style w:type="paragraph" w:styleId="NormalWeb">
    <w:name w:val="Normal (Web)"/>
    <w:basedOn w:val="Normal"/>
    <w:uiPriority w:val="99"/>
    <w:unhideWhenUsed/>
    <w:rsid w:val="00F072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2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75"/>
  </w:style>
  <w:style w:type="paragraph" w:styleId="Footer">
    <w:name w:val="footer"/>
    <w:basedOn w:val="Normal"/>
    <w:link w:val="FooterChar"/>
    <w:uiPriority w:val="99"/>
    <w:unhideWhenUsed/>
    <w:rsid w:val="00112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75"/>
  </w:style>
  <w:style w:type="character" w:customStyle="1" w:styleId="normaltextrun">
    <w:name w:val="normaltextrun"/>
    <w:basedOn w:val="DefaultParagraphFont"/>
    <w:rsid w:val="00BA710C"/>
  </w:style>
  <w:style w:type="character" w:customStyle="1" w:styleId="eop">
    <w:name w:val="eop"/>
    <w:basedOn w:val="DefaultParagraphFont"/>
    <w:rsid w:val="00AF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6110">
      <w:bodyDiv w:val="1"/>
      <w:marLeft w:val="0"/>
      <w:marRight w:val="0"/>
      <w:marTop w:val="0"/>
      <w:marBottom w:val="0"/>
      <w:divBdr>
        <w:top w:val="none" w:sz="0" w:space="0" w:color="auto"/>
        <w:left w:val="none" w:sz="0" w:space="0" w:color="auto"/>
        <w:bottom w:val="none" w:sz="0" w:space="0" w:color="auto"/>
        <w:right w:val="none" w:sz="0" w:space="0" w:color="auto"/>
      </w:divBdr>
    </w:div>
    <w:div w:id="602302553">
      <w:bodyDiv w:val="1"/>
      <w:marLeft w:val="0"/>
      <w:marRight w:val="0"/>
      <w:marTop w:val="0"/>
      <w:marBottom w:val="0"/>
      <w:divBdr>
        <w:top w:val="none" w:sz="0" w:space="0" w:color="auto"/>
        <w:left w:val="none" w:sz="0" w:space="0" w:color="auto"/>
        <w:bottom w:val="none" w:sz="0" w:space="0" w:color="auto"/>
        <w:right w:val="none" w:sz="0" w:space="0" w:color="auto"/>
      </w:divBdr>
    </w:div>
    <w:div w:id="1738086151">
      <w:bodyDiv w:val="1"/>
      <w:marLeft w:val="0"/>
      <w:marRight w:val="0"/>
      <w:marTop w:val="0"/>
      <w:marBottom w:val="0"/>
      <w:divBdr>
        <w:top w:val="none" w:sz="0" w:space="0" w:color="auto"/>
        <w:left w:val="none" w:sz="0" w:space="0" w:color="auto"/>
        <w:bottom w:val="none" w:sz="0" w:space="0" w:color="auto"/>
        <w:right w:val="none" w:sz="0" w:space="0" w:color="auto"/>
      </w:divBdr>
    </w:div>
    <w:div w:id="20565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2022-04-28T09:54:01+00:00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4101329FEA10498D1F58111B1EADC9" ma:contentTypeVersion="9" ma:contentTypeDescription="Designed to facilitate the storage of MOD Documents with a '.doc' or '.docx' extension" ma:contentTypeScope="" ma:versionID="f5762fe10e85d056837c0c771b958a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5f41585b-6984-4d6b-9022-03af9beb1efa" targetNamespace="http://schemas.microsoft.com/office/2006/metadata/properties" ma:root="true" ma:fieldsID="bf616631466bb11db1a44c7e2ae7cb2d" ns1:_="" ns2:_="" ns3:_="" ns4:_="" ns5:_="">
    <xsd:import namespace="http://schemas.microsoft.com/sharepoint/v3"/>
    <xsd:import namespace="04738c6d-ecc8-46f1-821f-82e308eab3d9"/>
    <xsd:import namespace="http://schemas.microsoft.com/sharepoint.v3"/>
    <xsd:import namespace="http://schemas.microsoft.com/sharepoint/v3/fields"/>
    <xsd:import namespace="5f41585b-6984-4d6b-9022-03af9beb1efa"/>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585b-6984-4d6b-9022-03af9beb1ef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68F13-789A-4C36-8DCE-7FAE6A1F5386}">
  <ds:schemaRefs>
    <ds:schemaRef ds:uri="04738c6d-ecc8-46f1-821f-82e308eab3d9"/>
    <ds:schemaRef ds:uri="http://schemas.microsoft.com/sharepoint/v3"/>
    <ds:schemaRef ds:uri="http://purl.org/dc/terms/"/>
    <ds:schemaRef ds:uri="5f41585b-6984-4d6b-9022-03af9beb1efa"/>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E6D3809-D9E7-421A-B8EB-06E46B8C52CA}">
  <ds:schemaRefs>
    <ds:schemaRef ds:uri="http://schemas.microsoft.com/sharepoint/events"/>
  </ds:schemaRefs>
</ds:datastoreItem>
</file>

<file path=customXml/itemProps3.xml><?xml version="1.0" encoding="utf-8"?>
<ds:datastoreItem xmlns:ds="http://schemas.openxmlformats.org/officeDocument/2006/customXml" ds:itemID="{029F1002-69F3-4ECC-917C-4325F16236B0}">
  <ds:schemaRefs>
    <ds:schemaRef ds:uri="http://schemas.openxmlformats.org/officeDocument/2006/bibliography"/>
  </ds:schemaRefs>
</ds:datastoreItem>
</file>

<file path=customXml/itemProps4.xml><?xml version="1.0" encoding="utf-8"?>
<ds:datastoreItem xmlns:ds="http://schemas.openxmlformats.org/officeDocument/2006/customXml" ds:itemID="{9AEE222A-D8DB-4E8D-801C-66E3C85C79FF}">
  <ds:schemaRefs>
    <ds:schemaRef ds:uri="http://schemas.microsoft.com/sharepoint/v3/contenttype/forms"/>
  </ds:schemaRefs>
</ds:datastoreItem>
</file>

<file path=customXml/itemProps5.xml><?xml version="1.0" encoding="utf-8"?>
<ds:datastoreItem xmlns:ds="http://schemas.openxmlformats.org/officeDocument/2006/customXml" ds:itemID="{8FB2F166-7995-49D9-A672-45DB0B4C1DC0}">
  <ds:schemaRefs>
    <ds:schemaRef ds:uri="office.server.policy"/>
  </ds:schemaRefs>
</ds:datastoreItem>
</file>

<file path=customXml/itemProps6.xml><?xml version="1.0" encoding="utf-8"?>
<ds:datastoreItem xmlns:ds="http://schemas.openxmlformats.org/officeDocument/2006/customXml" ds:itemID="{5D30A13D-F61B-42E2-91AE-6FBF11846A8C}">
  <ds:schemaRefs>
    <ds:schemaRef ds:uri="Microsoft.SharePoint.Taxonomy.ContentTypeSync"/>
  </ds:schemaRefs>
</ds:datastoreItem>
</file>

<file path=customXml/itemProps7.xml><?xml version="1.0" encoding="utf-8"?>
<ds:datastoreItem xmlns:ds="http://schemas.openxmlformats.org/officeDocument/2006/customXml" ds:itemID="{1CADD9E9-D09D-476E-A117-795CEF5B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5f41585b-6984-4d6b-9022-03af9beb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Fryer, Anna (Air-Comrcl Proc Offcr 2)</dc:creator>
  <cp:keywords/>
  <dc:description/>
  <cp:lastModifiedBy>Bratchell, Simon Mr (Air-Comrcl Proc Snr Off 2)</cp:lastModifiedBy>
  <cp:revision>2</cp:revision>
  <dcterms:created xsi:type="dcterms:W3CDTF">2023-05-24T08:31:00Z</dcterms:created>
  <dcterms:modified xsi:type="dcterms:W3CDTF">2023-05-24T08:31:00Z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0x010100D9D675D6CDED02438DC7CFF78D2F29E401009B4101329FEA10498D1F58111B1EADC9</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ClassificationContentMarkingHeaderShapeIds">
    <vt:lpwstr>1,2,3</vt:lpwstr>
  </property>
  <property fmtid="{D5CDD505-2E9C-101B-9397-08002B2CF9AE}" pid="11" name="ClassificationContentMarkingHeaderFontProps">
    <vt:lpwstr>#000000,12,Arial</vt:lpwstr>
  </property>
  <property fmtid="{D5CDD505-2E9C-101B-9397-08002B2CF9AE}" pid="12" name="ClassificationContentMarkingHeaderText">
    <vt:lpwstr>OFFICIAL-SENSITIVE COMMERCIAL</vt:lpwstr>
  </property>
  <property fmtid="{D5CDD505-2E9C-101B-9397-08002B2CF9AE}" pid="13" name="ClassificationContentMarkingFooterShapeIds">
    <vt:lpwstr>4,5,6</vt:lpwstr>
  </property>
  <property fmtid="{D5CDD505-2E9C-101B-9397-08002B2CF9AE}" pid="14" name="ClassificationContentMarkingFooterFontProps">
    <vt:lpwstr>#000000,12,Arial</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2022-08-17T06:20:26Z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50ac6f66-03ca-405b-8ace-647a428b468a</vt:lpwstr>
  </property>
  <property fmtid="{D5CDD505-2E9C-101B-9397-08002B2CF9AE}" pid="22" name="MSIP_Label_5e992740-1f89-4ed6-b51b-95a6d0136ac8_ContentBits">
    <vt:lpwstr>3</vt:lpwstr>
  </property>
</Properties>
</file>