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5C1008">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5C1008">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5C1008">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5C1008">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5C1008">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5C1008">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5C1008">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5C1008">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5C1008">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5C1008">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3A344B37" w14:textId="334775E9" w:rsidR="0001459B" w:rsidRPr="00CE1F52" w:rsidRDefault="004E0974" w:rsidP="00CE1F52">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 xml:space="preserve">Part </w:t>
      </w:r>
      <w:proofErr w:type="gramStart"/>
      <w:r w:rsidRPr="009E4569">
        <w:rPr>
          <w:rFonts w:ascii="Helvetica Neue" w:eastAsia="Helvetica Neue" w:hAnsi="Helvetica Neue" w:cs="Helvetica Neue"/>
          <w:b/>
          <w:sz w:val="32"/>
          <w:szCs w:val="32"/>
        </w:rPr>
        <w:t>A</w:t>
      </w:r>
      <w:proofErr w:type="gramEnd"/>
      <w:r w:rsidRPr="009E4569">
        <w:rPr>
          <w:rFonts w:ascii="Helvetica Neue" w:eastAsia="Helvetica Neue" w:hAnsi="Helvetica Neue" w:cs="Helvetica Neue"/>
          <w:b/>
          <w:sz w:val="32"/>
          <w:szCs w:val="32"/>
        </w:rPr>
        <w:t xml:space="preserve">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7278A547" w:rsidR="0001459B" w:rsidRPr="0080403F" w:rsidRDefault="000406E6">
            <w:pPr>
              <w:spacing w:after="0"/>
              <w:rPr>
                <w:rFonts w:ascii="Helvetica Neue" w:eastAsia="Helvetica Neue" w:hAnsi="Helvetica Neue" w:cs="Helvetica Neue"/>
                <w:highlight w:val="yellow"/>
              </w:rPr>
            </w:pPr>
            <w:r>
              <w:rPr>
                <w:rFonts w:ascii="Helvetica Neue" w:eastAsia="Helvetica Neue" w:hAnsi="Helvetica Neue" w:cs="Helvetica Neue"/>
              </w:rPr>
              <w:t>REDACTED INFORMATION</w:t>
            </w:r>
            <w:bookmarkStart w:id="9" w:name="_GoBack"/>
            <w:bookmarkEnd w:id="9"/>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0AFC908B" w:rsidR="0001459B" w:rsidRPr="0080403F" w:rsidRDefault="00CE1F52">
            <w:pPr>
              <w:spacing w:after="0"/>
              <w:rPr>
                <w:rFonts w:ascii="Helvetica Neue" w:eastAsia="Helvetica Neue" w:hAnsi="Helvetica Neue" w:cs="Helvetica Neue"/>
                <w:highlight w:val="yellow"/>
              </w:rPr>
            </w:pPr>
            <w:r w:rsidRPr="00CE1F52">
              <w:rPr>
                <w:rFonts w:ascii="Helvetica Neue" w:eastAsia="Helvetica Neue" w:hAnsi="Helvetica Neue" w:cs="Helvetica Neue"/>
              </w:rPr>
              <w:t>CCIT20A03</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CE1F52" w:rsidRDefault="004E0974">
            <w:pPr>
              <w:spacing w:after="0"/>
              <w:rPr>
                <w:rFonts w:ascii="Helvetica Neue" w:eastAsia="Helvetica Neue" w:hAnsi="Helvetica Neue" w:cs="Helvetica Neue"/>
                <w:b/>
              </w:rPr>
            </w:pPr>
            <w:r w:rsidRPr="00CE1F52">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4282F481" w:rsidR="0001459B" w:rsidRPr="00CE1F52" w:rsidRDefault="00CE1F52">
            <w:pPr>
              <w:spacing w:after="0"/>
              <w:rPr>
                <w:rFonts w:ascii="Helvetica Neue" w:eastAsia="Helvetica Neue" w:hAnsi="Helvetica Neue" w:cs="Helvetica Neue"/>
              </w:rPr>
            </w:pPr>
            <w:r w:rsidRPr="00CE1F52">
              <w:rPr>
                <w:rFonts w:ascii="Helvetica Neue" w:eastAsia="Helvetica Neue" w:hAnsi="Helvetica Neue" w:cs="Helvetica Neue"/>
              </w:rPr>
              <w:t>Conclave Evidence Locker</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014839" w:rsidRDefault="004E0974">
            <w:pPr>
              <w:spacing w:after="0"/>
              <w:rPr>
                <w:rFonts w:ascii="Helvetica Neue" w:eastAsia="Helvetica Neue" w:hAnsi="Helvetica Neue" w:cs="Helvetica Neue"/>
                <w:b/>
              </w:rPr>
            </w:pPr>
            <w:r w:rsidRPr="00014839">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55B4880F" w14:textId="77777777" w:rsidR="00014839" w:rsidRDefault="00014839">
            <w:pPr>
              <w:spacing w:after="0"/>
              <w:rPr>
                <w:rFonts w:ascii="Helvetica Neue" w:eastAsia="Helvetica Neue" w:hAnsi="Helvetica Neue" w:cs="Helvetica Neue"/>
              </w:rPr>
            </w:pPr>
            <w:r>
              <w:rPr>
                <w:rFonts w:ascii="Helvetica Neue" w:eastAsia="Helvetica Neue" w:hAnsi="Helvetica Neue" w:cs="Helvetica Neue"/>
              </w:rPr>
              <w:t>The requirement for the Evidence Locker will be as follows:</w:t>
            </w:r>
          </w:p>
          <w:p w14:paraId="70D29C5C" w14:textId="1B743F7E" w:rsidR="00014839" w:rsidRPr="00014839" w:rsidRDefault="00014839">
            <w:pPr>
              <w:spacing w:after="0"/>
              <w:rPr>
                <w:rFonts w:ascii="Helvetica Neue" w:eastAsia="Helvetica Neue" w:hAnsi="Helvetica Neue" w:cs="Helvetica Neue"/>
              </w:rPr>
            </w:pP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43E22207" w:rsidR="0001459B" w:rsidRPr="0080403F" w:rsidRDefault="00264066">
            <w:pPr>
              <w:spacing w:after="0"/>
              <w:rPr>
                <w:rFonts w:ascii="Helvetica Neue" w:eastAsia="Helvetica Neue" w:hAnsi="Helvetica Neue" w:cs="Helvetica Neue"/>
                <w:highlight w:val="yellow"/>
              </w:rPr>
            </w:pPr>
            <w:r>
              <w:rPr>
                <w:rFonts w:ascii="Helvetica Neue" w:eastAsia="Helvetica Neue" w:hAnsi="Helvetica Neue" w:cs="Helvetica Neue"/>
              </w:rPr>
              <w:t>19</w:t>
            </w:r>
            <w:r w:rsidR="00925453" w:rsidRPr="00925453">
              <w:rPr>
                <w:rFonts w:ascii="Helvetica Neue" w:eastAsia="Helvetica Neue" w:hAnsi="Helvetica Neue" w:cs="Helvetica Neue"/>
                <w:vertAlign w:val="superscript"/>
              </w:rPr>
              <w:t>th</w:t>
            </w:r>
            <w:r w:rsidR="00925453" w:rsidRPr="00925453">
              <w:rPr>
                <w:rFonts w:ascii="Helvetica Neue" w:eastAsia="Helvetica Neue" w:hAnsi="Helvetica Neue" w:cs="Helvetica Neue"/>
              </w:rPr>
              <w:t xml:space="preserve"> </w:t>
            </w:r>
            <w:r w:rsidR="00925453">
              <w:rPr>
                <w:rFonts w:ascii="Helvetica Neue" w:eastAsia="Helvetica Neue" w:hAnsi="Helvetica Neue" w:cs="Helvetica Neue"/>
              </w:rPr>
              <w:t>February 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7DC79EB9" w:rsidR="0001459B" w:rsidRPr="00925453" w:rsidRDefault="00925453">
            <w:pPr>
              <w:spacing w:after="0"/>
              <w:rPr>
                <w:rFonts w:ascii="Helvetica Neue" w:eastAsia="Helvetica Neue" w:hAnsi="Helvetica Neue" w:cs="Helvetica Neue"/>
              </w:rPr>
            </w:pPr>
            <w:r w:rsidRPr="00925453">
              <w:rPr>
                <w:rFonts w:ascii="Helvetica Neue" w:eastAsia="Helvetica Neue" w:hAnsi="Helvetica Neue" w:cs="Helvetica Neue"/>
              </w:rPr>
              <w:t>31</w:t>
            </w:r>
            <w:r w:rsidRPr="00925453">
              <w:rPr>
                <w:rFonts w:ascii="Helvetica Neue" w:eastAsia="Helvetica Neue" w:hAnsi="Helvetica Neue" w:cs="Helvetica Neue"/>
                <w:vertAlign w:val="superscript"/>
              </w:rPr>
              <w:t>st</w:t>
            </w:r>
            <w:r w:rsidRPr="00925453">
              <w:rPr>
                <w:rFonts w:ascii="Helvetica Neue" w:eastAsia="Helvetica Neue" w:hAnsi="Helvetica Neue" w:cs="Helvetica Neue"/>
              </w:rPr>
              <w:t xml:space="preserve"> March 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51306B37" w:rsidR="0001459B" w:rsidRPr="0080403F" w:rsidRDefault="00925453">
            <w:pPr>
              <w:spacing w:after="0"/>
              <w:rPr>
                <w:rFonts w:ascii="Helvetica Neue" w:eastAsia="Helvetica Neue" w:hAnsi="Helvetica Neue" w:cs="Helvetica Neue"/>
                <w:highlight w:val="yellow"/>
              </w:rPr>
            </w:pPr>
            <w:r w:rsidRPr="00925453">
              <w:rPr>
                <w:rFonts w:ascii="Helvetica Neue" w:eastAsia="Helvetica Neue" w:hAnsi="Helvetica Neue" w:cs="Helvetica Neue"/>
              </w:rPr>
              <w:t>£113,675.00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565C29" w:rsidRDefault="004E0974">
            <w:pPr>
              <w:spacing w:after="0"/>
              <w:rPr>
                <w:rFonts w:ascii="Helvetica Neue" w:eastAsia="Helvetica Neue" w:hAnsi="Helvetica Neue" w:cs="Helvetica Neue"/>
                <w:b/>
              </w:rPr>
            </w:pPr>
            <w:r w:rsidRPr="00565C29">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448D4CC9" w:rsidR="0001459B" w:rsidRPr="00565C29" w:rsidRDefault="00565C29">
            <w:pPr>
              <w:spacing w:after="0"/>
              <w:rPr>
                <w:rFonts w:ascii="Helvetica Neue" w:eastAsia="Helvetica Neue" w:hAnsi="Helvetica Neue" w:cs="Helvetica Neue"/>
              </w:rPr>
            </w:pPr>
            <w:r w:rsidRPr="00565C29">
              <w:rPr>
                <w:rFonts w:ascii="Helvetica Neue" w:eastAsia="Helvetica Neue" w:hAnsi="Helvetica Neue" w:cs="Helvetica Neue"/>
              </w:rPr>
              <w:t>Monthly Invoice</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51DD8DA8" w:rsidR="0001459B" w:rsidRPr="0080403F" w:rsidRDefault="00221685">
            <w:pPr>
              <w:spacing w:after="0"/>
              <w:rPr>
                <w:rFonts w:ascii="Helvetica Neue" w:eastAsia="Helvetica Neue" w:hAnsi="Helvetica Neue" w:cs="Helvetica Neue"/>
                <w:highlight w:val="yellow"/>
              </w:rPr>
            </w:pPr>
            <w:r w:rsidRPr="00221685">
              <w:rPr>
                <w:rFonts w:ascii="Helvetica Neue" w:eastAsia="Helvetica Neue" w:hAnsi="Helvetica Neue" w:cs="Helvetica Neue"/>
              </w:rPr>
              <w:t>To be confirmed</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The Order Form cannot be used to alter existing terms or add any extra terms that materially </w:t>
      </w:r>
      <w:proofErr w:type="gramStart"/>
      <w:r w:rsidRPr="0080403F">
        <w:rPr>
          <w:rFonts w:ascii="Helvetica Neue" w:eastAsia="Helvetica Neue" w:hAnsi="Helvetica Neue" w:cs="Helvetica Neue"/>
        </w:rPr>
        <w:t>change</w:t>
      </w:r>
      <w:proofErr w:type="gramEnd"/>
      <w:r w:rsidRPr="0080403F">
        <w:rPr>
          <w:rFonts w:ascii="Helvetica Neue" w:eastAsia="Helvetica Neue" w:hAnsi="Helvetica Neue" w:cs="Helvetica Neue"/>
        </w:rPr>
        <w:t xml:space="preserv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61510614" w14:textId="648CACBD" w:rsidR="0001459B" w:rsidRPr="00565C29" w:rsidRDefault="00565C29">
            <w:pPr>
              <w:spacing w:after="0"/>
              <w:rPr>
                <w:rFonts w:ascii="Helvetica Neue" w:eastAsia="Helvetica Neue" w:hAnsi="Helvetica Neue" w:cs="Helvetica Neue"/>
              </w:rPr>
            </w:pPr>
            <w:r w:rsidRPr="00565C29">
              <w:rPr>
                <w:rFonts w:ascii="Helvetica Neue" w:eastAsia="Helvetica Neue" w:hAnsi="Helvetica Neue" w:cs="Helvetica Neue"/>
              </w:rPr>
              <w:t>Crown Commercial Service</w:t>
            </w:r>
          </w:p>
          <w:p w14:paraId="7EFA5E22" w14:textId="5648789A" w:rsidR="00C63B0A" w:rsidRPr="00565C29" w:rsidRDefault="00C63B0A" w:rsidP="00C63B0A">
            <w:pPr>
              <w:spacing w:after="0"/>
              <w:rPr>
                <w:rFonts w:ascii="Helvetica Neue" w:eastAsia="Helvetica Neue" w:hAnsi="Helvetica Neue" w:cs="Helvetica Neue"/>
              </w:rPr>
            </w:pPr>
            <w:r>
              <w:rPr>
                <w:rFonts w:ascii="Helvetica Neue" w:eastAsia="Helvetica Neue" w:hAnsi="Helvetica Neue" w:cs="Helvetica Neue"/>
              </w:rPr>
              <w:t>REDACTED INFORMATION</w:t>
            </w:r>
          </w:p>
          <w:p w14:paraId="6CBBF9E9" w14:textId="094E4DDE" w:rsidR="0001459B" w:rsidRPr="00565C29" w:rsidRDefault="0001459B">
            <w:pPr>
              <w:spacing w:after="0"/>
              <w:rPr>
                <w:rFonts w:ascii="Helvetica Neue" w:eastAsia="Helvetica Neue" w:hAnsi="Helvetica Neue" w:cs="Helvetica Neue"/>
              </w:rPr>
            </w:pP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16916E2E" w14:textId="7A956581" w:rsidR="0001459B" w:rsidRPr="00565C29" w:rsidRDefault="00565C29">
            <w:pPr>
              <w:spacing w:after="0"/>
              <w:rPr>
                <w:rFonts w:ascii="Helvetica Neue" w:eastAsia="Helvetica Neue" w:hAnsi="Helvetica Neue" w:cs="Helvetica Neue"/>
              </w:rPr>
            </w:pPr>
            <w:r w:rsidRPr="00565C29">
              <w:rPr>
                <w:rFonts w:ascii="Helvetica Neue" w:eastAsia="Helvetica Neue" w:hAnsi="Helvetica Neue" w:cs="Helvetica Neue"/>
              </w:rPr>
              <w:t>NQC Ltd</w:t>
            </w:r>
          </w:p>
          <w:p w14:paraId="3A21B61E" w14:textId="47CE3E81" w:rsidR="0001459B" w:rsidRPr="00C63B0A" w:rsidRDefault="00C63B0A">
            <w:pPr>
              <w:spacing w:after="0"/>
              <w:rPr>
                <w:rFonts w:ascii="Helvetica Neue" w:eastAsia="Helvetica Neue" w:hAnsi="Helvetica Neue" w:cs="Helvetica Neue"/>
              </w:rPr>
            </w:pPr>
            <w:r>
              <w:rPr>
                <w:rFonts w:ascii="Helvetica Neue" w:eastAsia="Helvetica Neue" w:hAnsi="Helvetica Neue" w:cs="Helvetica Neue"/>
              </w:rPr>
              <w:t>REDACTED INFORMATION</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10" w:name="_Toc12278064"/>
      <w:r w:rsidRPr="0080403F">
        <w:rPr>
          <w:rFonts w:ascii="Helvetica Neue" w:eastAsia="Helvetica Neue" w:hAnsi="Helvetica Neue" w:cs="Helvetica Neue"/>
          <w:color w:val="000000"/>
          <w:sz w:val="28"/>
          <w:szCs w:val="28"/>
        </w:rPr>
        <w:lastRenderedPageBreak/>
        <w:t>Principle contact details</w:t>
      </w:r>
      <w:bookmarkEnd w:id="10"/>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7E22BAF" w14:textId="21F3A5BD" w:rsidR="00C63B0A" w:rsidRPr="0080403F" w:rsidRDefault="00C63B0A" w:rsidP="00C63B0A">
            <w:pPr>
              <w:spacing w:after="0"/>
              <w:rPr>
                <w:rFonts w:ascii="Helvetica Neue" w:eastAsia="Helvetica Neue" w:hAnsi="Helvetica Neue" w:cs="Helvetica Neue"/>
              </w:rPr>
            </w:pPr>
            <w:r>
              <w:rPr>
                <w:rFonts w:ascii="Helvetica Neue" w:eastAsia="Helvetica Neue" w:hAnsi="Helvetica Neue" w:cs="Helvetica Neue"/>
              </w:rPr>
              <w:t>REDACTED INFORMATION</w:t>
            </w:r>
          </w:p>
          <w:p w14:paraId="225136C1" w14:textId="52196F17" w:rsidR="0001459B" w:rsidRPr="0080403F" w:rsidRDefault="0001459B">
            <w:pPr>
              <w:spacing w:after="0"/>
              <w:rPr>
                <w:rFonts w:ascii="Helvetica Neue" w:eastAsia="Helvetica Neue" w:hAnsi="Helvetica Neue" w:cs="Helvetica Neue"/>
                <w:highlight w:val="yellow"/>
              </w:rPr>
            </w:pP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1F750EB" w14:textId="0FD85977" w:rsidR="00C63B0A" w:rsidRPr="007110DE" w:rsidRDefault="00C63B0A" w:rsidP="00C63B0A">
            <w:pPr>
              <w:spacing w:after="0"/>
              <w:rPr>
                <w:rFonts w:ascii="Helvetica Neue" w:eastAsia="Helvetica Neue" w:hAnsi="Helvetica Neue" w:cs="Helvetica Neue"/>
              </w:rPr>
            </w:pPr>
            <w:r>
              <w:rPr>
                <w:rFonts w:ascii="Helvetica Neue" w:eastAsia="Helvetica Neue" w:hAnsi="Helvetica Neue" w:cs="Helvetica Neue"/>
              </w:rPr>
              <w:t>REDACTED INFORMATION</w:t>
            </w:r>
          </w:p>
          <w:p w14:paraId="79052EB5" w14:textId="5369DB79" w:rsidR="0001459B" w:rsidRPr="007110DE" w:rsidRDefault="0001459B">
            <w:pPr>
              <w:spacing w:after="0"/>
              <w:rPr>
                <w:rFonts w:ascii="Helvetica Neue" w:eastAsia="Helvetica Neue" w:hAnsi="Helvetica Neue" w:cs="Helvetica Neue"/>
                <w:highlight w:val="yellow"/>
              </w:rPr>
            </w:pP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1" w:name="_Toc12278065"/>
      <w:r w:rsidRPr="0080403F">
        <w:rPr>
          <w:rFonts w:ascii="Helvetica Neue" w:eastAsia="Helvetica Neue" w:hAnsi="Helvetica Neue" w:cs="Helvetica Neue"/>
          <w:color w:val="000000"/>
        </w:rPr>
        <w:t>Call-Off Contract term</w:t>
      </w:r>
      <w:bookmarkEnd w:id="11"/>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438DCC0B"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T</w:t>
            </w:r>
            <w:r w:rsidR="00E112D3">
              <w:rPr>
                <w:rFonts w:ascii="Helvetica Neue" w:eastAsia="Helvetica Neue" w:hAnsi="Helvetica Neue" w:cs="Helvetica Neue"/>
              </w:rPr>
              <w:t>his Call-Off Contract Starts upon successful completion of signatures and will expire on the 31</w:t>
            </w:r>
            <w:r w:rsidR="00E112D3" w:rsidRPr="00E112D3">
              <w:rPr>
                <w:rFonts w:ascii="Helvetica Neue" w:eastAsia="Helvetica Neue" w:hAnsi="Helvetica Neue" w:cs="Helvetica Neue"/>
                <w:vertAlign w:val="superscript"/>
              </w:rPr>
              <w:t>st</w:t>
            </w:r>
            <w:r w:rsidR="00E112D3">
              <w:rPr>
                <w:rFonts w:ascii="Helvetica Neue" w:eastAsia="Helvetica Neue" w:hAnsi="Helvetica Neue" w:cs="Helvetica Neue"/>
              </w:rPr>
              <w:t xml:space="preserve"> March 2020.</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1DF1E063" w:rsidR="0001459B" w:rsidRPr="0080403F" w:rsidRDefault="004E0974" w:rsidP="00E112D3">
            <w:pPr>
              <w:spacing w:after="0"/>
              <w:rPr>
                <w:rFonts w:ascii="Helvetica Neue" w:eastAsia="Helvetica Neue" w:hAnsi="Helvetica Neue" w:cs="Helvetica Neue"/>
                <w:highlight w:val="yellow"/>
              </w:rPr>
            </w:pPr>
            <w:r w:rsidRPr="0080403F">
              <w:rPr>
                <w:rFonts w:ascii="Helvetica Neue" w:eastAsia="Helvetica Neue" w:hAnsi="Helvetica Neue" w:cs="Helvetica Neue"/>
              </w:rPr>
              <w:t>The notice period neede</w:t>
            </w:r>
            <w:r w:rsidRPr="00E112D3">
              <w:rPr>
                <w:rFonts w:ascii="Helvetica Neue" w:eastAsia="Helvetica Neue" w:hAnsi="Helvetica Neue" w:cs="Helvetica Neue"/>
              </w:rPr>
              <w:t xml:space="preserve">d for Ending the Call-Off Contract is </w:t>
            </w:r>
            <w:r w:rsidR="00115FC0">
              <w:rPr>
                <w:rFonts w:ascii="Helvetica Neue" w:eastAsia="Helvetica Neue" w:hAnsi="Helvetica Neue" w:cs="Helvetica Neue"/>
              </w:rPr>
              <w:t>at least 3</w:t>
            </w:r>
            <w:r w:rsidR="00E112D3" w:rsidRPr="00E112D3">
              <w:rPr>
                <w:rFonts w:ascii="Helvetica Neue" w:eastAsia="Helvetica Neue" w:hAnsi="Helvetica Neue" w:cs="Helvetica Neue"/>
              </w:rPr>
              <w:t>0 Calendar</w:t>
            </w:r>
            <w:r w:rsidRPr="00E112D3">
              <w:rPr>
                <w:rFonts w:ascii="Helvetica Neue" w:eastAsia="Helvetica Neue" w:hAnsi="Helvetica Neue" w:cs="Helvetica Neue"/>
              </w:rPr>
              <w:t xml:space="preserve"> Days from the date of written notice f</w:t>
            </w:r>
            <w:r w:rsidR="00E112D3" w:rsidRPr="00E112D3">
              <w:rPr>
                <w:rFonts w:ascii="Helvetica Neue" w:eastAsia="Helvetica Neue" w:hAnsi="Helvetica Neue" w:cs="Helvetica Neue"/>
              </w:rPr>
              <w:t xml:space="preserve">or undisputed sums or at least </w:t>
            </w:r>
            <w:r w:rsidRPr="00E112D3">
              <w:rPr>
                <w:rFonts w:ascii="Helvetica Neue" w:eastAsia="Helvetica Neue" w:hAnsi="Helvetica Neue" w:cs="Helvetica Neue"/>
              </w:rPr>
              <w:t>30</w:t>
            </w:r>
            <w:r w:rsidR="00E112D3" w:rsidRPr="00E112D3">
              <w:rPr>
                <w:rFonts w:ascii="Helvetica Neue" w:eastAsia="Helvetica Neue" w:hAnsi="Helvetica Neue" w:cs="Helvetica Neue"/>
              </w:rPr>
              <w:t xml:space="preserve"> Calendar D</w:t>
            </w:r>
            <w:r w:rsidRPr="00E112D3">
              <w:rPr>
                <w:rFonts w:ascii="Helvetica Neue" w:eastAsia="Helvetica Neue" w:hAnsi="Helvetica Neue" w:cs="Helvetica Neue"/>
              </w:rPr>
              <w:t xml:space="preserve">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2" w:name="_17dp8vu" w:colFirst="0" w:colLast="0"/>
            <w:bookmarkEnd w:id="12"/>
            <w:r w:rsidRPr="0080403F">
              <w:rPr>
                <w:rFonts w:ascii="Helvetica Neue" w:eastAsia="Helvetica Neue" w:hAnsi="Helvetica Neue" w:cs="Helvetica Neue"/>
                <w:b/>
              </w:rPr>
              <w:t>Extension period:</w:t>
            </w:r>
          </w:p>
        </w:tc>
        <w:tc>
          <w:tcPr>
            <w:tcW w:w="7973" w:type="dxa"/>
          </w:tcPr>
          <w:p w14:paraId="264A7794" w14:textId="0951CD23" w:rsidR="0001459B" w:rsidRPr="00587A78" w:rsidRDefault="004E0974" w:rsidP="00565C29">
            <w:pPr>
              <w:spacing w:after="0"/>
              <w:rPr>
                <w:rFonts w:ascii="Helvetica Neue" w:eastAsia="Helvetica Neue" w:hAnsi="Helvetica Neue" w:cs="Helvetica Neue"/>
              </w:rPr>
            </w:pPr>
            <w:r w:rsidRPr="0080403F">
              <w:rPr>
                <w:rFonts w:ascii="Helvetica Neue" w:eastAsia="Helvetica Neue" w:hAnsi="Helvetica Neue" w:cs="Helvetica Neue"/>
              </w:rPr>
              <w:t>Th</w:t>
            </w:r>
            <w:bookmarkStart w:id="13" w:name="_3rdcrjn" w:colFirst="0" w:colLast="0"/>
            <w:bookmarkEnd w:id="13"/>
            <w:r w:rsidR="00565C29">
              <w:rPr>
                <w:rFonts w:ascii="Helvetica Neue" w:eastAsia="Helvetica Neue" w:hAnsi="Helvetica Neue" w:cs="Helvetica Neue"/>
              </w:rPr>
              <w:t>ere is no option to extend.</w:t>
            </w:r>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4" w:name="_Toc12278066"/>
      <w:r w:rsidRPr="0080403F">
        <w:rPr>
          <w:rFonts w:ascii="Helvetica Neue" w:eastAsia="Helvetica Neue" w:hAnsi="Helvetica Neue" w:cs="Helvetica Neue"/>
          <w:color w:val="000000"/>
          <w:sz w:val="28"/>
          <w:szCs w:val="28"/>
        </w:rPr>
        <w:t>Buyer contractual details</w:t>
      </w:r>
      <w:bookmarkEnd w:id="14"/>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42"/>
        <w:gridCol w:w="8088"/>
      </w:tblGrid>
      <w:tr w:rsidR="0001459B" w:rsidRPr="0080403F" w14:paraId="64B6B5FD" w14:textId="77777777" w:rsidTr="00E91D29">
        <w:tc>
          <w:tcPr>
            <w:tcW w:w="2542"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8088" w:type="dxa"/>
          </w:tcPr>
          <w:p w14:paraId="0937C052" w14:textId="46BF5730" w:rsidR="0001459B" w:rsidRPr="00587A78" w:rsidRDefault="004E0974">
            <w:pPr>
              <w:spacing w:after="0"/>
              <w:rPr>
                <w:rFonts w:ascii="Helvetica Neue" w:eastAsia="Helvetica Neue" w:hAnsi="Helvetica Neue" w:cs="Helvetica Neue"/>
              </w:rPr>
            </w:pPr>
            <w:r w:rsidRPr="0080403F">
              <w:rPr>
                <w:rFonts w:ascii="Helvetica Neue" w:eastAsia="Helvetica Neue" w:hAnsi="Helvetica Neue" w:cs="Helvetica Neue"/>
              </w:rPr>
              <w:t>This Call-Off Contract is for t</w:t>
            </w:r>
            <w:r w:rsidR="00587A78">
              <w:rPr>
                <w:rFonts w:ascii="Helvetica Neue" w:eastAsia="Helvetica Neue" w:hAnsi="Helvetica Neue" w:cs="Helvetica Neue"/>
              </w:rPr>
              <w:t>he provision of Services under</w:t>
            </w:r>
          </w:p>
          <w:p w14:paraId="5004D6F1" w14:textId="1E30FFF3" w:rsidR="0001459B" w:rsidRPr="00587A78" w:rsidRDefault="004E0974">
            <w:pPr>
              <w:spacing w:after="0"/>
              <w:rPr>
                <w:rFonts w:ascii="Helvetica Neue" w:eastAsia="Helvetica Neue" w:hAnsi="Helvetica Neue" w:cs="Helvetica Neue"/>
                <w:highlight w:val="yellow"/>
              </w:rPr>
            </w:pPr>
            <w:r w:rsidRPr="00587A78">
              <w:rPr>
                <w:rFonts w:ascii="Helvetica Neue" w:eastAsia="Helvetica Neue" w:hAnsi="Helvetica Neue" w:cs="Helvetica Neue"/>
              </w:rPr>
              <w:t>Lot 2 - Cloud s</w:t>
            </w:r>
            <w:r w:rsidR="00587A78" w:rsidRPr="00587A78">
              <w:rPr>
                <w:rFonts w:ascii="Helvetica Neue" w:eastAsia="Helvetica Neue" w:hAnsi="Helvetica Neue" w:cs="Helvetica Neue"/>
              </w:rPr>
              <w:t>oftware</w:t>
            </w:r>
          </w:p>
        </w:tc>
      </w:tr>
      <w:tr w:rsidR="0001459B" w:rsidRPr="0080403F" w14:paraId="0D6451FF" w14:textId="77777777" w:rsidTr="00E91D29">
        <w:tc>
          <w:tcPr>
            <w:tcW w:w="2542"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8088" w:type="dxa"/>
          </w:tcPr>
          <w:p w14:paraId="09031B85" w14:textId="5DC54DFC" w:rsidR="00565C29" w:rsidRPr="0080403F" w:rsidRDefault="00565C29" w:rsidP="00565C29">
            <w:pPr>
              <w:spacing w:after="0"/>
              <w:rPr>
                <w:rFonts w:ascii="Helvetica Neue" w:eastAsia="Helvetica Neue" w:hAnsi="Helvetica Neue" w:cs="Helvetica Neue"/>
              </w:rPr>
            </w:pPr>
            <w:r>
              <w:rPr>
                <w:rFonts w:ascii="Helvetica Neue" w:eastAsia="Helvetica Neue" w:hAnsi="Helvetica Neue" w:cs="Helvetica Neue"/>
              </w:rPr>
              <w:t>Please see Schedule 1 for full service required.</w:t>
            </w:r>
          </w:p>
          <w:p w14:paraId="3AA6003F" w14:textId="40EC661D" w:rsidR="0001459B" w:rsidRPr="0080403F" w:rsidRDefault="0001459B">
            <w:pPr>
              <w:spacing w:after="0"/>
              <w:rPr>
                <w:rFonts w:ascii="Helvetica Neue" w:eastAsia="Helvetica Neue" w:hAnsi="Helvetica Neue" w:cs="Helvetica Neue"/>
                <w:highlight w:val="green"/>
              </w:rPr>
            </w:pPr>
          </w:p>
        </w:tc>
      </w:tr>
      <w:tr w:rsidR="0001459B" w:rsidRPr="0080403F" w14:paraId="1077C158" w14:textId="77777777" w:rsidTr="00E91D29">
        <w:tc>
          <w:tcPr>
            <w:tcW w:w="2542"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8088" w:type="dxa"/>
          </w:tcPr>
          <w:p w14:paraId="1032AA4F" w14:textId="7E900729" w:rsidR="00565C29" w:rsidRPr="0080403F" w:rsidRDefault="00565C29" w:rsidP="00565C29">
            <w:pPr>
              <w:spacing w:after="0"/>
              <w:rPr>
                <w:rFonts w:ascii="Helvetica Neue" w:eastAsia="Helvetica Neue" w:hAnsi="Helvetica Neue" w:cs="Helvetica Neue"/>
              </w:rPr>
            </w:pPr>
            <w:r>
              <w:rPr>
                <w:rFonts w:ascii="Helvetica Neue" w:eastAsia="Helvetica Neue" w:hAnsi="Helvetica Neue" w:cs="Helvetica Neue"/>
              </w:rPr>
              <w:t>Not Applicable.</w:t>
            </w:r>
          </w:p>
          <w:p w14:paraId="02BC64E8" w14:textId="4B8EDA59" w:rsidR="0001459B" w:rsidRPr="0080403F" w:rsidRDefault="0001459B">
            <w:pPr>
              <w:spacing w:after="0"/>
              <w:rPr>
                <w:rFonts w:ascii="Helvetica Neue" w:eastAsia="Helvetica Neue" w:hAnsi="Helvetica Neue" w:cs="Helvetica Neue"/>
                <w:highlight w:val="green"/>
              </w:rPr>
            </w:pPr>
          </w:p>
        </w:tc>
      </w:tr>
      <w:tr w:rsidR="0001459B" w:rsidRPr="0080403F" w14:paraId="7ABFE9DC" w14:textId="77777777" w:rsidTr="00E91D29">
        <w:tc>
          <w:tcPr>
            <w:tcW w:w="2542"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8088" w:type="dxa"/>
          </w:tcPr>
          <w:p w14:paraId="7378C239" w14:textId="241F23A0" w:rsidR="0001459B" w:rsidRPr="0080403F" w:rsidRDefault="00C63B0A" w:rsidP="00C63B0A">
            <w:pPr>
              <w:spacing w:after="0" w:line="240" w:lineRule="auto"/>
              <w:rPr>
                <w:rFonts w:ascii="Helvetica Neue" w:eastAsia="Helvetica Neue" w:hAnsi="Helvetica Neue" w:cs="Helvetica Neue"/>
              </w:rPr>
            </w:pPr>
            <w:r>
              <w:rPr>
                <w:rFonts w:ascii="Helvetica Neue" w:eastAsia="Helvetica Neue" w:hAnsi="Helvetica Neue" w:cs="Helvetica Neue"/>
              </w:rPr>
              <w:t>REDACTED INFORMATION</w:t>
            </w:r>
            <w:r w:rsidR="00221685">
              <w:rPr>
                <w:rFonts w:ascii="Helvetica Neue" w:eastAsia="Helvetica Neue" w:hAnsi="Helvetica Neue" w:cs="Helvetica Neue"/>
                <w:highlight w:val="green"/>
              </w:rPr>
              <w:t xml:space="preserve"> </w:t>
            </w:r>
          </w:p>
        </w:tc>
      </w:tr>
      <w:tr w:rsidR="0001459B" w:rsidRPr="0080403F" w14:paraId="678FD5FC" w14:textId="77777777" w:rsidTr="00E91D29">
        <w:tc>
          <w:tcPr>
            <w:tcW w:w="2542"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8088" w:type="dxa"/>
          </w:tcPr>
          <w:p w14:paraId="317EC672" w14:textId="1633851A" w:rsidR="0001459B" w:rsidRPr="0080403F" w:rsidRDefault="0038273B" w:rsidP="0038273B">
            <w:pPr>
              <w:spacing w:after="0" w:line="240" w:lineRule="auto"/>
              <w:rPr>
                <w:rFonts w:ascii="Helvetica Neue" w:eastAsia="Helvetica Neue" w:hAnsi="Helvetica Neue" w:cs="Helvetica Neue"/>
              </w:rPr>
            </w:pPr>
            <w:r>
              <w:rPr>
                <w:rFonts w:ascii="Helvetica Neue" w:eastAsia="Helvetica Neue" w:hAnsi="Helvetica Neue" w:cs="Helvetica Neue"/>
              </w:rPr>
              <w:t>As a CCS project it is expected that quality will be of the highest standard. Product code will be effective to run and will as a minimum meet industry standard and best practice. The Evidence Locker must be capable of enhancement and adaption and is to be built as a series of interrelated, loosely-coupled micro services which can be easily updated as the technology picture advances.</w:t>
            </w:r>
          </w:p>
        </w:tc>
      </w:tr>
      <w:tr w:rsidR="0001459B" w:rsidRPr="0080403F" w14:paraId="6C7B7D0B" w14:textId="77777777" w:rsidTr="00E91D29">
        <w:tc>
          <w:tcPr>
            <w:tcW w:w="2542"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8088" w:type="dxa"/>
          </w:tcPr>
          <w:p w14:paraId="40D82247" w14:textId="77777777"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technical standards required</w:t>
            </w:r>
            <w:r w:rsidR="00936D77">
              <w:rPr>
                <w:rFonts w:ascii="Helvetica Neue" w:eastAsia="Helvetica Neue" w:hAnsi="Helvetica Neue" w:cs="Helvetica Neue"/>
              </w:rPr>
              <w:t xml:space="preserve"> for this Call-Off Contract are:</w:t>
            </w:r>
          </w:p>
          <w:p w14:paraId="11A87D28" w14:textId="77777777" w:rsidR="00936D77" w:rsidRDefault="00936D77" w:rsidP="00936D77">
            <w:pPr>
              <w:spacing w:after="0" w:line="240" w:lineRule="auto"/>
              <w:rPr>
                <w:rFonts w:ascii="Helvetica Neue" w:eastAsia="Helvetica Neue" w:hAnsi="Helvetica Neue" w:cs="Helvetica Neue"/>
              </w:rPr>
            </w:pPr>
          </w:p>
          <w:p w14:paraId="4298D210" w14:textId="03256B55" w:rsidR="00936D77" w:rsidRDefault="00936D77" w:rsidP="00936D77">
            <w:pPr>
              <w:spacing w:after="0" w:line="240" w:lineRule="auto"/>
              <w:rPr>
                <w:rFonts w:ascii="Helvetica Neue" w:eastAsia="Helvetica Neue" w:hAnsi="Helvetica Neue" w:cs="Helvetica Neue"/>
              </w:rPr>
            </w:pPr>
            <w:r>
              <w:rPr>
                <w:rFonts w:ascii="Helvetica Neue" w:eastAsia="Helvetica Neue" w:hAnsi="Helvetica Neue" w:cs="Helvetica Neue"/>
              </w:rPr>
              <w:t>The Authority requires the Supplier to provide a sufficient level of resource throughout the duration of the Conclave Evidence Locker Contract in order to consistently deliver a quality service</w:t>
            </w:r>
          </w:p>
          <w:p w14:paraId="194774F2" w14:textId="77777777" w:rsidR="00936D77" w:rsidRDefault="00936D77" w:rsidP="00936D77">
            <w:pPr>
              <w:spacing w:after="0" w:line="240" w:lineRule="auto"/>
              <w:rPr>
                <w:rFonts w:ascii="Helvetica Neue" w:eastAsia="Helvetica Neue" w:hAnsi="Helvetica Neue" w:cs="Helvetica Neue"/>
              </w:rPr>
            </w:pPr>
          </w:p>
          <w:p w14:paraId="5CC6C7F2" w14:textId="77777777" w:rsidR="00936D77" w:rsidRDefault="00936D77" w:rsidP="00936D77">
            <w:pPr>
              <w:spacing w:after="0" w:line="240" w:lineRule="auto"/>
              <w:rPr>
                <w:rFonts w:ascii="Helvetica Neue" w:eastAsia="Helvetica Neue" w:hAnsi="Helvetica Neue" w:cs="Helvetica Neue"/>
              </w:rPr>
            </w:pPr>
            <w:r>
              <w:rPr>
                <w:rFonts w:ascii="Helvetica Neue" w:eastAsia="Helvetica Neue" w:hAnsi="Helvetica Neue" w:cs="Helvetica Neue"/>
              </w:rPr>
              <w:t>The Supplier’s staff assigned to the Conclave Evidence Locker shall have the relevant qualifications and experience to deliver the Contract to the required standard.</w:t>
            </w:r>
          </w:p>
          <w:p w14:paraId="2ADC3842" w14:textId="77777777" w:rsidR="00936D77" w:rsidRDefault="00936D77" w:rsidP="00936D77">
            <w:pPr>
              <w:spacing w:after="0" w:line="240" w:lineRule="auto"/>
              <w:rPr>
                <w:rFonts w:ascii="Helvetica Neue" w:eastAsia="Helvetica Neue" w:hAnsi="Helvetica Neue" w:cs="Helvetica Neue"/>
              </w:rPr>
            </w:pPr>
          </w:p>
          <w:p w14:paraId="697FF233" w14:textId="4E0C4A67" w:rsidR="00936D77" w:rsidRPr="00936D77" w:rsidRDefault="00936D77" w:rsidP="00936D77">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Supplier’s shall ensure that staff understand the Authority’s vision </w:t>
            </w:r>
            <w:r>
              <w:rPr>
                <w:rFonts w:ascii="Helvetica Neue" w:eastAsia="Helvetica Neue" w:hAnsi="Helvetica Neue" w:cs="Helvetica Neue"/>
              </w:rPr>
              <w:lastRenderedPageBreak/>
              <w:t>and objectives and will provide excellent customer service to the Authority throughout the duration of the Contract.</w:t>
            </w:r>
          </w:p>
        </w:tc>
      </w:tr>
      <w:tr w:rsidR="0001459B" w:rsidRPr="0080403F" w14:paraId="0FF7B3B6" w14:textId="77777777" w:rsidTr="00E91D29">
        <w:tc>
          <w:tcPr>
            <w:tcW w:w="2542"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Service level agreement:</w:t>
            </w:r>
          </w:p>
        </w:tc>
        <w:tc>
          <w:tcPr>
            <w:tcW w:w="8088" w:type="dxa"/>
          </w:tcPr>
          <w:p w14:paraId="28E10317" w14:textId="2D65D921" w:rsidR="0001459B" w:rsidRDefault="00E91D29" w:rsidP="00E91D29">
            <w:pPr>
              <w:spacing w:after="0" w:line="240" w:lineRule="auto"/>
              <w:rPr>
                <w:rFonts w:ascii="Helvetica Neue" w:eastAsia="Helvetica Neue" w:hAnsi="Helvetica Neue" w:cs="Helvetica Neue"/>
              </w:rPr>
            </w:pPr>
            <w:r>
              <w:rPr>
                <w:rFonts w:ascii="Helvetica Neue" w:eastAsia="Helvetica Neue" w:hAnsi="Helvetica Neue" w:cs="Helvetica Neue"/>
              </w:rPr>
              <w:t>The Buyer will measure the quality of the Supplier’s delivery by:</w:t>
            </w:r>
          </w:p>
          <w:p w14:paraId="1F606D18" w14:textId="77777777" w:rsidR="00E91D29" w:rsidRDefault="00E91D29" w:rsidP="00E91D29">
            <w:pPr>
              <w:spacing w:after="0" w:line="240" w:lineRule="auto"/>
              <w:rPr>
                <w:rFonts w:ascii="Helvetica Neue" w:eastAsia="Helvetica Neue" w:hAnsi="Helvetica Neue" w:cs="Helvetica Neue"/>
              </w:rPr>
            </w:pPr>
          </w:p>
          <w:p w14:paraId="1F7CDD1F" w14:textId="77777777" w:rsidR="00E91D29" w:rsidRDefault="00E91D29" w:rsidP="00E91D29">
            <w:pPr>
              <w:spacing w:after="0" w:line="240" w:lineRule="auto"/>
            </w:pPr>
            <w:r w:rsidRPr="00D87D98">
              <w:t>The Potential Bidder will be required to achieve the following service levels and KPIs and against which the Supplier’s performance will be assessed</w:t>
            </w:r>
            <w:r>
              <w:t>.</w:t>
            </w:r>
          </w:p>
          <w:p w14:paraId="7014B688" w14:textId="77777777" w:rsidR="00E91D29" w:rsidRDefault="00E91D29" w:rsidP="00E91D29">
            <w:pPr>
              <w:spacing w:after="0" w:line="240" w:lineRule="auto"/>
            </w:pPr>
          </w:p>
          <w:tbl>
            <w:tblPr>
              <w:tblStyle w:val="a2"/>
              <w:tblW w:w="0" w:type="auto"/>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1468"/>
              <w:gridCol w:w="1498"/>
              <w:gridCol w:w="2857"/>
              <w:gridCol w:w="1255"/>
            </w:tblGrid>
            <w:tr w:rsidR="00E91D29" w:rsidRPr="00D87D98" w14:paraId="039B8267" w14:textId="77777777" w:rsidTr="00E91D29">
              <w:tc>
                <w:tcPr>
                  <w:tcW w:w="0" w:type="auto"/>
                  <w:shd w:val="clear" w:color="auto" w:fill="B8CCE4"/>
                </w:tcPr>
                <w:p w14:paraId="286B7E9A" w14:textId="77777777" w:rsidR="00E91D29" w:rsidRPr="00D87D98" w:rsidRDefault="00E91D29" w:rsidP="00E91D29">
                  <w:pPr>
                    <w:pStyle w:val="Heading2"/>
                    <w:ind w:hanging="141"/>
                    <w:jc w:val="center"/>
                    <w:rPr>
                      <w:b/>
                      <w:sz w:val="24"/>
                      <w:szCs w:val="24"/>
                    </w:rPr>
                  </w:pPr>
                  <w:r w:rsidRPr="00D87D98">
                    <w:rPr>
                      <w:b/>
                      <w:sz w:val="24"/>
                      <w:szCs w:val="24"/>
                    </w:rPr>
                    <w:t>KPI/SLA</w:t>
                  </w:r>
                </w:p>
              </w:tc>
              <w:tc>
                <w:tcPr>
                  <w:tcW w:w="0" w:type="auto"/>
                  <w:shd w:val="clear" w:color="auto" w:fill="B8CCE4"/>
                </w:tcPr>
                <w:p w14:paraId="3EE49A9C" w14:textId="77777777" w:rsidR="00E91D29" w:rsidRPr="00D87D98" w:rsidRDefault="00E91D29" w:rsidP="00E91D29">
                  <w:pPr>
                    <w:pStyle w:val="Heading2"/>
                    <w:ind w:hanging="141"/>
                    <w:jc w:val="center"/>
                    <w:rPr>
                      <w:b/>
                      <w:sz w:val="24"/>
                      <w:szCs w:val="24"/>
                    </w:rPr>
                  </w:pPr>
                  <w:r w:rsidRPr="00D87D98">
                    <w:rPr>
                      <w:b/>
                      <w:sz w:val="24"/>
                      <w:szCs w:val="24"/>
                    </w:rPr>
                    <w:t>Service Area</w:t>
                  </w:r>
                </w:p>
              </w:tc>
              <w:tc>
                <w:tcPr>
                  <w:tcW w:w="0" w:type="auto"/>
                  <w:shd w:val="clear" w:color="auto" w:fill="B8CCE4"/>
                </w:tcPr>
                <w:p w14:paraId="630C2325" w14:textId="77777777" w:rsidR="00E91D29" w:rsidRPr="00D87D98" w:rsidRDefault="00E91D29" w:rsidP="00E91D29">
                  <w:pPr>
                    <w:pStyle w:val="Heading2"/>
                    <w:ind w:hanging="141"/>
                    <w:jc w:val="center"/>
                    <w:rPr>
                      <w:b/>
                      <w:sz w:val="24"/>
                      <w:szCs w:val="24"/>
                    </w:rPr>
                  </w:pPr>
                  <w:r w:rsidRPr="00D87D98">
                    <w:rPr>
                      <w:b/>
                      <w:sz w:val="24"/>
                      <w:szCs w:val="24"/>
                    </w:rPr>
                    <w:t>KPI/SLA description</w:t>
                  </w:r>
                </w:p>
              </w:tc>
              <w:tc>
                <w:tcPr>
                  <w:tcW w:w="0" w:type="auto"/>
                  <w:shd w:val="clear" w:color="auto" w:fill="B8CCE4"/>
                </w:tcPr>
                <w:p w14:paraId="63AD1F6D" w14:textId="77777777" w:rsidR="00E91D29" w:rsidRPr="00D87D98" w:rsidRDefault="00E91D29" w:rsidP="00E91D29">
                  <w:pPr>
                    <w:pStyle w:val="Heading2"/>
                    <w:ind w:hanging="141"/>
                    <w:jc w:val="center"/>
                    <w:rPr>
                      <w:b/>
                      <w:sz w:val="24"/>
                      <w:szCs w:val="24"/>
                    </w:rPr>
                  </w:pPr>
                  <w:r w:rsidRPr="00D87D98">
                    <w:rPr>
                      <w:b/>
                      <w:sz w:val="24"/>
                      <w:szCs w:val="24"/>
                    </w:rPr>
                    <w:t>Target</w:t>
                  </w:r>
                </w:p>
              </w:tc>
            </w:tr>
            <w:tr w:rsidR="00E91D29" w:rsidRPr="00D87D98" w14:paraId="2E11A58C" w14:textId="77777777" w:rsidTr="00E91D29">
              <w:trPr>
                <w:trHeight w:val="1001"/>
              </w:trPr>
              <w:tc>
                <w:tcPr>
                  <w:tcW w:w="0" w:type="auto"/>
                </w:tcPr>
                <w:p w14:paraId="7FE648CF" w14:textId="77777777" w:rsidR="00E91D29" w:rsidRPr="00D87D98" w:rsidRDefault="00E91D29" w:rsidP="00E91D29">
                  <w:pPr>
                    <w:pStyle w:val="Heading2"/>
                    <w:jc w:val="center"/>
                    <w:rPr>
                      <w:color w:val="000000"/>
                      <w:sz w:val="24"/>
                      <w:szCs w:val="24"/>
                    </w:rPr>
                  </w:pPr>
                  <w:r w:rsidRPr="00D87D98">
                    <w:rPr>
                      <w:color w:val="000000"/>
                      <w:sz w:val="24"/>
                      <w:szCs w:val="24"/>
                    </w:rPr>
                    <w:t>1</w:t>
                  </w:r>
                </w:p>
              </w:tc>
              <w:tc>
                <w:tcPr>
                  <w:tcW w:w="0" w:type="auto"/>
                </w:tcPr>
                <w:p w14:paraId="40843186" w14:textId="3E1067A9" w:rsidR="00E91D29" w:rsidRPr="00E91D29" w:rsidRDefault="00E91D29" w:rsidP="00E91D29">
                  <w:pPr>
                    <w:pStyle w:val="Heading2"/>
                    <w:ind w:left="0" w:right="-44" w:firstLine="0"/>
                    <w:jc w:val="center"/>
                    <w:rPr>
                      <w:color w:val="000000"/>
                      <w:sz w:val="18"/>
                      <w:szCs w:val="24"/>
                    </w:rPr>
                  </w:pPr>
                  <w:r w:rsidRPr="00E91D29">
                    <w:rPr>
                      <w:color w:val="000000"/>
                      <w:szCs w:val="24"/>
                    </w:rPr>
                    <w:t>Service Delivery SD</w:t>
                  </w:r>
                </w:p>
              </w:tc>
              <w:tc>
                <w:tcPr>
                  <w:tcW w:w="0" w:type="auto"/>
                </w:tcPr>
                <w:p w14:paraId="2A6CB321" w14:textId="77777777" w:rsidR="00E91D29" w:rsidRPr="00D87D98" w:rsidRDefault="00E91D29" w:rsidP="00E91D29">
                  <w:pPr>
                    <w:pStyle w:val="Heading2"/>
                    <w:ind w:left="0"/>
                    <w:jc w:val="center"/>
                    <w:rPr>
                      <w:color w:val="000000"/>
                      <w:sz w:val="24"/>
                      <w:szCs w:val="24"/>
                    </w:rPr>
                  </w:pPr>
                  <w:r w:rsidRPr="00D87D98">
                    <w:rPr>
                      <w:color w:val="000000"/>
                      <w:sz w:val="24"/>
                      <w:szCs w:val="24"/>
                    </w:rPr>
                    <w:t>Start Point</w:t>
                  </w:r>
                </w:p>
              </w:tc>
              <w:tc>
                <w:tcPr>
                  <w:tcW w:w="0" w:type="auto"/>
                </w:tcPr>
                <w:p w14:paraId="2720BD79"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 xml:space="preserve">100% </w:t>
                  </w:r>
                </w:p>
              </w:tc>
            </w:tr>
            <w:tr w:rsidR="00E91D29" w:rsidRPr="00D87D98" w14:paraId="09A45CD3" w14:textId="77777777" w:rsidTr="00E91D29">
              <w:tc>
                <w:tcPr>
                  <w:tcW w:w="0" w:type="auto"/>
                </w:tcPr>
                <w:p w14:paraId="7608B67C" w14:textId="77777777" w:rsidR="00E91D29" w:rsidRPr="00D87D98" w:rsidRDefault="00E91D29" w:rsidP="00E91D29">
                  <w:pPr>
                    <w:pStyle w:val="Heading2"/>
                    <w:jc w:val="center"/>
                    <w:rPr>
                      <w:color w:val="000000"/>
                      <w:sz w:val="24"/>
                      <w:szCs w:val="24"/>
                    </w:rPr>
                  </w:pPr>
                  <w:r w:rsidRPr="00D87D98">
                    <w:rPr>
                      <w:color w:val="000000"/>
                      <w:sz w:val="24"/>
                      <w:szCs w:val="24"/>
                    </w:rPr>
                    <w:t>2</w:t>
                  </w:r>
                </w:p>
              </w:tc>
              <w:tc>
                <w:tcPr>
                  <w:tcW w:w="0" w:type="auto"/>
                </w:tcPr>
                <w:p w14:paraId="474DAFF4"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0A63F5B1" w14:textId="77777777" w:rsidR="00E91D29" w:rsidRPr="00D87D98" w:rsidRDefault="00E91D29" w:rsidP="00E91D29">
                  <w:pPr>
                    <w:pStyle w:val="Heading2"/>
                    <w:ind w:left="0"/>
                    <w:jc w:val="center"/>
                    <w:rPr>
                      <w:color w:val="000000"/>
                      <w:sz w:val="24"/>
                      <w:szCs w:val="24"/>
                    </w:rPr>
                  </w:pPr>
                  <w:r w:rsidRPr="00D87D98">
                    <w:rPr>
                      <w:color w:val="000000"/>
                      <w:sz w:val="24"/>
                      <w:szCs w:val="24"/>
                    </w:rPr>
                    <w:t>Delivery of full design</w:t>
                  </w:r>
                </w:p>
              </w:tc>
              <w:tc>
                <w:tcPr>
                  <w:tcW w:w="0" w:type="auto"/>
                  <w:tcBorders>
                    <w:right w:val="single" w:sz="18" w:space="0" w:color="000000"/>
                  </w:tcBorders>
                </w:tcPr>
                <w:p w14:paraId="37D536CE"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100%</w:t>
                  </w:r>
                </w:p>
              </w:tc>
            </w:tr>
            <w:tr w:rsidR="00E91D29" w:rsidRPr="00D87D98" w14:paraId="0337E9A5" w14:textId="77777777" w:rsidTr="00E91D29">
              <w:tc>
                <w:tcPr>
                  <w:tcW w:w="0" w:type="auto"/>
                </w:tcPr>
                <w:p w14:paraId="0189B1EB" w14:textId="77777777" w:rsidR="00E91D29" w:rsidRPr="00D87D98" w:rsidRDefault="00E91D29" w:rsidP="00E91D29">
                  <w:pPr>
                    <w:pStyle w:val="Heading2"/>
                    <w:jc w:val="center"/>
                    <w:rPr>
                      <w:color w:val="000000"/>
                      <w:sz w:val="24"/>
                      <w:szCs w:val="24"/>
                    </w:rPr>
                  </w:pPr>
                  <w:r w:rsidRPr="00D87D98">
                    <w:rPr>
                      <w:color w:val="000000"/>
                      <w:sz w:val="24"/>
                      <w:szCs w:val="24"/>
                    </w:rPr>
                    <w:t>3</w:t>
                  </w:r>
                </w:p>
              </w:tc>
              <w:tc>
                <w:tcPr>
                  <w:tcW w:w="0" w:type="auto"/>
                </w:tcPr>
                <w:p w14:paraId="1A7B3EBE"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0522C59C" w14:textId="77777777" w:rsidR="00E91D29" w:rsidRPr="00D87D98" w:rsidRDefault="00E91D29" w:rsidP="00E91D29">
                  <w:pPr>
                    <w:pStyle w:val="Heading2"/>
                    <w:ind w:left="0"/>
                    <w:jc w:val="center"/>
                    <w:rPr>
                      <w:color w:val="000000"/>
                      <w:sz w:val="24"/>
                      <w:szCs w:val="24"/>
                    </w:rPr>
                  </w:pPr>
                  <w:r w:rsidRPr="00D87D98">
                    <w:rPr>
                      <w:color w:val="000000"/>
                      <w:sz w:val="24"/>
                      <w:szCs w:val="24"/>
                    </w:rPr>
                    <w:t>Full design sign off</w:t>
                  </w:r>
                </w:p>
              </w:tc>
              <w:tc>
                <w:tcPr>
                  <w:tcW w:w="0" w:type="auto"/>
                </w:tcPr>
                <w:p w14:paraId="2203B4B3"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100%</w:t>
                  </w:r>
                </w:p>
              </w:tc>
            </w:tr>
            <w:tr w:rsidR="00E91D29" w:rsidRPr="00D87D98" w14:paraId="0ADDC572" w14:textId="77777777" w:rsidTr="00E91D29">
              <w:tc>
                <w:tcPr>
                  <w:tcW w:w="0" w:type="auto"/>
                </w:tcPr>
                <w:p w14:paraId="130B1A07" w14:textId="77777777" w:rsidR="00E91D29" w:rsidRPr="00D87D98" w:rsidRDefault="00E91D29" w:rsidP="00E91D29">
                  <w:pPr>
                    <w:pStyle w:val="Heading2"/>
                    <w:jc w:val="center"/>
                    <w:rPr>
                      <w:color w:val="000000"/>
                      <w:sz w:val="24"/>
                      <w:szCs w:val="24"/>
                    </w:rPr>
                  </w:pPr>
                  <w:r w:rsidRPr="00D87D98">
                    <w:rPr>
                      <w:color w:val="000000"/>
                      <w:sz w:val="24"/>
                      <w:szCs w:val="24"/>
                    </w:rPr>
                    <w:t>4</w:t>
                  </w:r>
                </w:p>
              </w:tc>
              <w:tc>
                <w:tcPr>
                  <w:tcW w:w="0" w:type="auto"/>
                </w:tcPr>
                <w:p w14:paraId="2BF2276C"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03DF14CB" w14:textId="77777777" w:rsidR="00E91D29" w:rsidRPr="00D87D98" w:rsidRDefault="00E91D29" w:rsidP="00E91D29">
                  <w:pPr>
                    <w:pStyle w:val="Heading2"/>
                    <w:ind w:left="0"/>
                    <w:jc w:val="center"/>
                    <w:rPr>
                      <w:color w:val="000000"/>
                      <w:sz w:val="24"/>
                      <w:szCs w:val="24"/>
                    </w:rPr>
                  </w:pPr>
                  <w:r w:rsidRPr="00D87D98">
                    <w:rPr>
                      <w:color w:val="000000"/>
                      <w:sz w:val="24"/>
                      <w:szCs w:val="24"/>
                    </w:rPr>
                    <w:t>Build of API (Schema / RESTful)</w:t>
                  </w:r>
                </w:p>
              </w:tc>
              <w:tc>
                <w:tcPr>
                  <w:tcW w:w="0" w:type="auto"/>
                </w:tcPr>
                <w:p w14:paraId="202D7492"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100%</w:t>
                  </w:r>
                </w:p>
              </w:tc>
            </w:tr>
            <w:tr w:rsidR="00E91D29" w:rsidRPr="00D87D98" w14:paraId="2DE40185" w14:textId="77777777" w:rsidTr="00E91D29">
              <w:tc>
                <w:tcPr>
                  <w:tcW w:w="0" w:type="auto"/>
                </w:tcPr>
                <w:p w14:paraId="78EC4B50" w14:textId="77777777" w:rsidR="00E91D29" w:rsidRPr="00D87D98" w:rsidRDefault="00E91D29" w:rsidP="00E91D29">
                  <w:pPr>
                    <w:pStyle w:val="Heading2"/>
                    <w:jc w:val="center"/>
                    <w:rPr>
                      <w:color w:val="000000"/>
                      <w:sz w:val="24"/>
                      <w:szCs w:val="24"/>
                    </w:rPr>
                  </w:pPr>
                  <w:r w:rsidRPr="00D87D98">
                    <w:rPr>
                      <w:color w:val="000000"/>
                      <w:sz w:val="24"/>
                      <w:szCs w:val="24"/>
                    </w:rPr>
                    <w:t>5</w:t>
                  </w:r>
                </w:p>
              </w:tc>
              <w:tc>
                <w:tcPr>
                  <w:tcW w:w="0" w:type="auto"/>
                </w:tcPr>
                <w:p w14:paraId="1C123AA8"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02610132" w14:textId="77777777" w:rsidR="00E91D29" w:rsidRPr="00D87D98" w:rsidRDefault="00E91D29" w:rsidP="00E91D29">
                  <w:pPr>
                    <w:pStyle w:val="Heading2"/>
                    <w:ind w:left="0"/>
                    <w:jc w:val="center"/>
                    <w:rPr>
                      <w:color w:val="000000"/>
                      <w:sz w:val="24"/>
                      <w:szCs w:val="24"/>
                    </w:rPr>
                  </w:pPr>
                  <w:r w:rsidRPr="00D87D98">
                    <w:rPr>
                      <w:color w:val="000000"/>
                      <w:sz w:val="24"/>
                      <w:szCs w:val="24"/>
                    </w:rPr>
                    <w:t xml:space="preserve">Delivery of Administrative UI  </w:t>
                  </w:r>
                </w:p>
              </w:tc>
              <w:tc>
                <w:tcPr>
                  <w:tcW w:w="0" w:type="auto"/>
                </w:tcPr>
                <w:p w14:paraId="5E779D8D"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100%</w:t>
                  </w:r>
                </w:p>
              </w:tc>
            </w:tr>
            <w:tr w:rsidR="00E91D29" w:rsidRPr="00D87D98" w14:paraId="749FBB26" w14:textId="77777777" w:rsidTr="00E91D29">
              <w:tc>
                <w:tcPr>
                  <w:tcW w:w="0" w:type="auto"/>
                </w:tcPr>
                <w:p w14:paraId="1F1B06E3" w14:textId="77777777" w:rsidR="00E91D29" w:rsidRPr="00D87D98" w:rsidRDefault="00E91D29" w:rsidP="00E91D29">
                  <w:pPr>
                    <w:pStyle w:val="Heading2"/>
                    <w:jc w:val="center"/>
                    <w:rPr>
                      <w:color w:val="000000"/>
                      <w:sz w:val="24"/>
                      <w:szCs w:val="24"/>
                    </w:rPr>
                  </w:pPr>
                  <w:r w:rsidRPr="00D87D98">
                    <w:rPr>
                      <w:color w:val="000000"/>
                      <w:sz w:val="24"/>
                      <w:szCs w:val="24"/>
                    </w:rPr>
                    <w:t>6</w:t>
                  </w:r>
                </w:p>
              </w:tc>
              <w:tc>
                <w:tcPr>
                  <w:tcW w:w="0" w:type="auto"/>
                </w:tcPr>
                <w:p w14:paraId="6AE3F573"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464C2574" w14:textId="77777777" w:rsidR="00E91D29" w:rsidRPr="00D87D98" w:rsidRDefault="00E91D29" w:rsidP="00E91D29">
                  <w:pPr>
                    <w:pStyle w:val="Heading2"/>
                    <w:ind w:left="0"/>
                    <w:jc w:val="center"/>
                    <w:rPr>
                      <w:color w:val="000000"/>
                      <w:sz w:val="24"/>
                      <w:szCs w:val="24"/>
                    </w:rPr>
                  </w:pPr>
                  <w:r w:rsidRPr="00D87D98">
                    <w:rPr>
                      <w:color w:val="000000"/>
                      <w:sz w:val="24"/>
                      <w:szCs w:val="24"/>
                    </w:rPr>
                    <w:t xml:space="preserve">Delivery of support documentation / meetings / </w:t>
                  </w:r>
                  <w:proofErr w:type="gramStart"/>
                  <w:r w:rsidRPr="00D87D98">
                    <w:rPr>
                      <w:color w:val="000000"/>
                      <w:sz w:val="24"/>
                      <w:szCs w:val="24"/>
                    </w:rPr>
                    <w:t>process  to</w:t>
                  </w:r>
                  <w:proofErr w:type="gramEnd"/>
                  <w:r w:rsidRPr="00D87D98">
                    <w:rPr>
                      <w:color w:val="000000"/>
                      <w:sz w:val="24"/>
                      <w:szCs w:val="24"/>
                    </w:rPr>
                    <w:t xml:space="preserve"> project Phase 2 </w:t>
                  </w:r>
                </w:p>
              </w:tc>
              <w:tc>
                <w:tcPr>
                  <w:tcW w:w="0" w:type="auto"/>
                </w:tcPr>
                <w:p w14:paraId="7245A389"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85%</w:t>
                  </w:r>
                </w:p>
              </w:tc>
            </w:tr>
            <w:tr w:rsidR="00E91D29" w:rsidRPr="00D87D98" w14:paraId="42A99980" w14:textId="77777777" w:rsidTr="00E91D29">
              <w:tc>
                <w:tcPr>
                  <w:tcW w:w="0" w:type="auto"/>
                </w:tcPr>
                <w:p w14:paraId="2EDB8EBA" w14:textId="77777777" w:rsidR="00E91D29" w:rsidRPr="00D87D98" w:rsidRDefault="00E91D29" w:rsidP="00E91D29">
                  <w:pPr>
                    <w:pStyle w:val="Heading2"/>
                    <w:jc w:val="center"/>
                    <w:rPr>
                      <w:color w:val="000000"/>
                      <w:sz w:val="24"/>
                      <w:szCs w:val="24"/>
                    </w:rPr>
                  </w:pPr>
                  <w:bookmarkStart w:id="15" w:name="_x20t2o3nrex7" w:colFirst="0" w:colLast="0"/>
                  <w:bookmarkEnd w:id="15"/>
                  <w:r w:rsidRPr="00D87D98">
                    <w:rPr>
                      <w:color w:val="000000"/>
                      <w:sz w:val="24"/>
                      <w:szCs w:val="24"/>
                    </w:rPr>
                    <w:t>7</w:t>
                  </w:r>
                </w:p>
              </w:tc>
              <w:tc>
                <w:tcPr>
                  <w:tcW w:w="0" w:type="auto"/>
                </w:tcPr>
                <w:p w14:paraId="37FF3B08"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tcPr>
                <w:p w14:paraId="558863FE" w14:textId="77777777" w:rsidR="00E91D29" w:rsidRPr="00D87D98" w:rsidRDefault="00E91D29" w:rsidP="00E91D29">
                  <w:pPr>
                    <w:pStyle w:val="Heading2"/>
                    <w:ind w:left="0"/>
                    <w:jc w:val="center"/>
                    <w:rPr>
                      <w:color w:val="000000"/>
                      <w:sz w:val="24"/>
                      <w:szCs w:val="24"/>
                    </w:rPr>
                  </w:pPr>
                  <w:r w:rsidRPr="00D87D98">
                    <w:rPr>
                      <w:color w:val="000000"/>
                      <w:sz w:val="24"/>
                      <w:szCs w:val="24"/>
                    </w:rPr>
                    <w:t>Delivery of User Interface</w:t>
                  </w:r>
                </w:p>
              </w:tc>
              <w:tc>
                <w:tcPr>
                  <w:tcW w:w="0" w:type="auto"/>
                </w:tcPr>
                <w:p w14:paraId="6C70E90D"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75%</w:t>
                  </w:r>
                </w:p>
              </w:tc>
            </w:tr>
            <w:tr w:rsidR="00E91D29" w:rsidRPr="00D87D98" w14:paraId="5CF5F83B" w14:textId="77777777" w:rsidTr="00E91D29">
              <w:tc>
                <w:tcPr>
                  <w:tcW w:w="0" w:type="auto"/>
                </w:tcPr>
                <w:p w14:paraId="7F728E0D" w14:textId="77777777" w:rsidR="00E91D29" w:rsidRPr="00D87D98" w:rsidRDefault="00E91D29" w:rsidP="00E91D29">
                  <w:pPr>
                    <w:pStyle w:val="Heading2"/>
                    <w:jc w:val="center"/>
                    <w:rPr>
                      <w:color w:val="000000"/>
                      <w:sz w:val="24"/>
                      <w:szCs w:val="24"/>
                    </w:rPr>
                  </w:pPr>
                  <w:r w:rsidRPr="00D87D98">
                    <w:rPr>
                      <w:color w:val="000000"/>
                      <w:sz w:val="24"/>
                      <w:szCs w:val="24"/>
                    </w:rPr>
                    <w:t>8</w:t>
                  </w:r>
                </w:p>
              </w:tc>
              <w:tc>
                <w:tcPr>
                  <w:tcW w:w="0" w:type="auto"/>
                </w:tcPr>
                <w:p w14:paraId="68C07EA8" w14:textId="77777777" w:rsidR="00E91D29" w:rsidRPr="00D87D98" w:rsidRDefault="00E91D29" w:rsidP="00E91D29">
                  <w:pPr>
                    <w:pStyle w:val="Heading2"/>
                    <w:jc w:val="center"/>
                    <w:rPr>
                      <w:color w:val="000000"/>
                      <w:sz w:val="24"/>
                      <w:szCs w:val="24"/>
                    </w:rPr>
                  </w:pPr>
                  <w:r w:rsidRPr="00D87D98">
                    <w:rPr>
                      <w:color w:val="000000"/>
                      <w:sz w:val="24"/>
                      <w:szCs w:val="24"/>
                    </w:rPr>
                    <w:t>SD</w:t>
                  </w:r>
                </w:p>
              </w:tc>
              <w:tc>
                <w:tcPr>
                  <w:tcW w:w="0" w:type="auto"/>
                  <w:vAlign w:val="center"/>
                </w:tcPr>
                <w:p w14:paraId="3BC7EFA3" w14:textId="77777777" w:rsidR="00E91D29" w:rsidRPr="00E91D29" w:rsidRDefault="00E91D29" w:rsidP="00E91D29">
                  <w:pPr>
                    <w:pStyle w:val="Heading3"/>
                    <w:spacing w:after="120"/>
                    <w:jc w:val="center"/>
                    <w:rPr>
                      <w:rFonts w:ascii="Arial" w:hAnsi="Arial" w:cs="Arial"/>
                    </w:rPr>
                  </w:pPr>
                  <w:bookmarkStart w:id="16" w:name="_65iksoowpejs" w:colFirst="0" w:colLast="0"/>
                  <w:bookmarkEnd w:id="16"/>
                  <w:r w:rsidRPr="00E91D29">
                    <w:rPr>
                      <w:rFonts w:ascii="Arial" w:hAnsi="Arial" w:cs="Arial"/>
                      <w:color w:val="auto"/>
                    </w:rPr>
                    <w:t>Project completion and bug-fixing support prior to live deployment</w:t>
                  </w:r>
                </w:p>
              </w:tc>
              <w:tc>
                <w:tcPr>
                  <w:tcW w:w="0" w:type="auto"/>
                </w:tcPr>
                <w:p w14:paraId="00411CAE" w14:textId="77777777" w:rsidR="00E91D29" w:rsidRPr="00D87D98" w:rsidRDefault="00E91D29" w:rsidP="00E91D29">
                  <w:pPr>
                    <w:pStyle w:val="Heading2"/>
                    <w:ind w:left="0" w:right="-22"/>
                    <w:jc w:val="center"/>
                    <w:rPr>
                      <w:color w:val="000000"/>
                      <w:sz w:val="24"/>
                      <w:szCs w:val="24"/>
                    </w:rPr>
                  </w:pPr>
                  <w:r w:rsidRPr="00D87D98">
                    <w:rPr>
                      <w:color w:val="000000"/>
                      <w:sz w:val="24"/>
                      <w:szCs w:val="24"/>
                    </w:rPr>
                    <w:t>85%</w:t>
                  </w:r>
                </w:p>
              </w:tc>
            </w:tr>
          </w:tbl>
          <w:p w14:paraId="36F864B2" w14:textId="77777777" w:rsidR="00E91D29" w:rsidRDefault="00E91D29" w:rsidP="00E91D29">
            <w:pPr>
              <w:spacing w:after="0" w:line="240" w:lineRule="auto"/>
              <w:rPr>
                <w:rFonts w:ascii="Helvetica Neue" w:eastAsia="Helvetica Neue" w:hAnsi="Helvetica Neue" w:cs="Helvetica Neue"/>
              </w:rPr>
            </w:pPr>
          </w:p>
          <w:p w14:paraId="692372CB" w14:textId="6C7D321F" w:rsidR="00E91D29" w:rsidRPr="00E91D29" w:rsidRDefault="00E91D29" w:rsidP="00E91D29">
            <w:pPr>
              <w:spacing w:after="0" w:line="240" w:lineRule="auto"/>
              <w:rPr>
                <w:rFonts w:ascii="Helvetica Neue" w:eastAsia="Helvetica Neue" w:hAnsi="Helvetica Neue" w:cs="Helvetica Neue"/>
              </w:rPr>
            </w:pPr>
            <w:r w:rsidRPr="00E91D29">
              <w:rPr>
                <w:rFonts w:ascii="Helvetica Neue" w:eastAsia="Helvetica Neue" w:hAnsi="Helvetica Neue" w:cs="Helvetica Neue"/>
              </w:rPr>
              <w:t xml:space="preserve">35% of the total cost for the Evidence Locker work will be paid following delivery of an effective, competent service which eets customer need and which conforms </w:t>
            </w:r>
            <w:proofErr w:type="gramStart"/>
            <w:r w:rsidRPr="00E91D29">
              <w:rPr>
                <w:rFonts w:ascii="Helvetica Neue" w:eastAsia="Helvetica Neue" w:hAnsi="Helvetica Neue" w:cs="Helvetica Neue"/>
              </w:rPr>
              <w:t>with</w:t>
            </w:r>
            <w:proofErr w:type="gramEnd"/>
            <w:r w:rsidRPr="00E91D29">
              <w:rPr>
                <w:rFonts w:ascii="Helvetica Neue" w:eastAsia="Helvetica Neue" w:hAnsi="Helvetica Neue" w:cs="Helvetica Neue"/>
              </w:rPr>
              <w:t xml:space="preserve"> the stipulated SoR’s.  Should the provided system not be delivered to specification within the agreed timescale an element/or all of the final payment will be retained as compensation in lieu of service.</w:t>
            </w:r>
          </w:p>
        </w:tc>
      </w:tr>
      <w:tr w:rsidR="0001459B" w:rsidRPr="0080403F" w14:paraId="0B7E4775" w14:textId="77777777" w:rsidTr="00E91D29">
        <w:tc>
          <w:tcPr>
            <w:tcW w:w="2542"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8088" w:type="dxa"/>
          </w:tcPr>
          <w:p w14:paraId="1D3814AF" w14:textId="4339EBA7" w:rsidR="0001459B" w:rsidRPr="00E91D29" w:rsidRDefault="007B620E">
            <w:pPr>
              <w:spacing w:after="0"/>
              <w:rPr>
                <w:rFonts w:ascii="Helvetica Neue" w:eastAsia="Helvetica Neue" w:hAnsi="Helvetica Neue" w:cs="Helvetica Neue"/>
              </w:rPr>
            </w:pPr>
            <w:r>
              <w:rPr>
                <w:rFonts w:ascii="Helvetica Neue" w:eastAsia="Helvetica Neue" w:hAnsi="Helvetica Neue" w:cs="Helvetica Neue"/>
              </w:rPr>
              <w:t>REDACTED INFORMATION</w:t>
            </w:r>
          </w:p>
        </w:tc>
      </w:tr>
      <w:tr w:rsidR="0001459B" w:rsidRPr="0080403F" w14:paraId="661220A4" w14:textId="77777777" w:rsidTr="00E91D29">
        <w:tc>
          <w:tcPr>
            <w:tcW w:w="2542"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8088" w:type="dxa"/>
          </w:tcPr>
          <w:p w14:paraId="09CF057C" w14:textId="67D11A99" w:rsidR="00221685" w:rsidRPr="00221685" w:rsidRDefault="007B620E">
            <w:pPr>
              <w:spacing w:after="0"/>
              <w:rPr>
                <w:rFonts w:ascii="Helvetica Neue" w:eastAsia="Helvetica Neue" w:hAnsi="Helvetica Neue" w:cs="Helvetica Neue"/>
              </w:rPr>
            </w:pPr>
            <w:r>
              <w:rPr>
                <w:rFonts w:ascii="Helvetica Neue" w:eastAsia="Helvetica Neue" w:hAnsi="Helvetica Neue" w:cs="Helvetica Neue"/>
              </w:rPr>
              <w:t>REDACTED INFORMATION</w:t>
            </w:r>
          </w:p>
        </w:tc>
      </w:tr>
      <w:tr w:rsidR="0001459B" w:rsidRPr="0080403F" w14:paraId="36CFFB3A" w14:textId="77777777" w:rsidTr="00E91D29">
        <w:tc>
          <w:tcPr>
            <w:tcW w:w="2542"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8088" w:type="dxa"/>
          </w:tcPr>
          <w:p w14:paraId="6BFDD0B2" w14:textId="3E51B10C" w:rsidR="00B15AEC" w:rsidRPr="0080403F" w:rsidRDefault="00B15AEC" w:rsidP="00B15AEC">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033C2E7C" w14:textId="51228AFB" w:rsidR="0001459B" w:rsidRPr="0080403F" w:rsidRDefault="0001459B">
            <w:pPr>
              <w:spacing w:after="0" w:line="240" w:lineRule="auto"/>
              <w:rPr>
                <w:rFonts w:ascii="Helvetica Neue" w:eastAsia="Helvetica Neue" w:hAnsi="Helvetica Neue" w:cs="Helvetica Neue"/>
              </w:rPr>
            </w:pPr>
          </w:p>
        </w:tc>
      </w:tr>
      <w:tr w:rsidR="0001459B" w:rsidRPr="0080403F" w14:paraId="30C83C43" w14:textId="77777777" w:rsidTr="00E91D29">
        <w:tc>
          <w:tcPr>
            <w:tcW w:w="2542"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8088" w:type="dxa"/>
          </w:tcPr>
          <w:p w14:paraId="69DC9397" w14:textId="123672C1" w:rsidR="0001459B" w:rsidRPr="0007718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of either Party for all Pr</w:t>
            </w:r>
            <w:r w:rsidR="0007718F">
              <w:rPr>
                <w:rFonts w:ascii="Helvetica Neue" w:eastAsia="Helvetica Neue" w:hAnsi="Helvetica Neue" w:cs="Helvetica Neue"/>
              </w:rPr>
              <w:t>operty d</w:t>
            </w:r>
            <w:r w:rsidR="00C63B0A">
              <w:rPr>
                <w:rFonts w:ascii="Helvetica Neue" w:eastAsia="Helvetica Neue" w:hAnsi="Helvetica Neue" w:cs="Helvetica Neue"/>
              </w:rPr>
              <w:t>efaults will not exceed REDACTED INFORMATION</w:t>
            </w:r>
            <w:r w:rsidR="0007718F">
              <w:rPr>
                <w:rFonts w:ascii="Helvetica Neue" w:eastAsia="Helvetica Neue" w:hAnsi="Helvetica Neue" w:cs="Helvetica Neue"/>
              </w:rPr>
              <w:t>.</w:t>
            </w:r>
          </w:p>
          <w:p w14:paraId="4E16FC5E" w14:textId="512FE1C3"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Buye</w:t>
            </w:r>
            <w:r w:rsidR="00C63B0A">
              <w:rPr>
                <w:rFonts w:ascii="Helvetica Neue" w:eastAsia="Helvetica Neue" w:hAnsi="Helvetica Neue" w:cs="Helvetica Neue"/>
              </w:rPr>
              <w:t xml:space="preserve">r Data defaults will not exceed </w:t>
            </w:r>
            <w:r w:rsidR="00C63B0A">
              <w:rPr>
                <w:rFonts w:ascii="Helvetica Neue" w:eastAsia="Helvetica Neue" w:hAnsi="Helvetica Neue" w:cs="Helvetica Neue"/>
              </w:rPr>
              <w:lastRenderedPageBreak/>
              <w:t>REDACTED INFORMATION</w:t>
            </w:r>
            <w:r w:rsidR="0007718F">
              <w:rPr>
                <w:rFonts w:ascii="Helvetica Neue" w:eastAsia="Helvetica Neue" w:hAnsi="Helvetica Neue" w:cs="Helvetica Neue"/>
              </w:rPr>
              <w:t xml:space="preserve"> or 125%</w:t>
            </w:r>
            <w:r w:rsidRPr="0080403F">
              <w:rPr>
                <w:rFonts w:ascii="Helvetica Neue" w:eastAsia="Helvetica Neue" w:hAnsi="Helvetica Neue" w:cs="Helvetica Neue"/>
              </w:rPr>
              <w:t xml:space="preserve"> of the Charges payable by the Buyer to the Supplier during the Call-Off Contract Term (whichever is the greater).</w:t>
            </w:r>
          </w:p>
          <w:p w14:paraId="42256CB5" w14:textId="745FC44E"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all other defaults</w:t>
            </w:r>
            <w:r w:rsidR="0007718F">
              <w:rPr>
                <w:rFonts w:ascii="Helvetica Neue" w:eastAsia="Helvetica Neue" w:hAnsi="Helvetica Neue" w:cs="Helvetica Neue"/>
              </w:rPr>
              <w:t xml:space="preserve"> will no</w:t>
            </w:r>
            <w:r w:rsidR="00C63B0A">
              <w:rPr>
                <w:rFonts w:ascii="Helvetica Neue" w:eastAsia="Helvetica Neue" w:hAnsi="Helvetica Neue" w:cs="Helvetica Neue"/>
              </w:rPr>
              <w:t>t exceed the greater of REDACTED INFORMATION</w:t>
            </w:r>
            <w:r w:rsidR="0007718F">
              <w:rPr>
                <w:rFonts w:ascii="Helvetica Neue" w:eastAsia="Helvetica Neue" w:hAnsi="Helvetica Neue" w:cs="Helvetica Neue"/>
              </w:rPr>
              <w:t xml:space="preserve"> or 125%</w:t>
            </w:r>
            <w:r w:rsidRPr="0080403F">
              <w:rPr>
                <w:rFonts w:ascii="Helvetica Neue" w:eastAsia="Helvetica Neue" w:hAnsi="Helvetica Neue" w:cs="Helvetica Neue"/>
              </w:rPr>
              <w:t xml:space="preserve"> of the Charges payable by the Buyer to the Supplier during the Call-Off Contract Term (whichever is the greater).</w:t>
            </w:r>
          </w:p>
        </w:tc>
      </w:tr>
      <w:tr w:rsidR="0001459B" w:rsidRPr="0080403F" w14:paraId="5F599907" w14:textId="77777777" w:rsidTr="00E91D29">
        <w:tc>
          <w:tcPr>
            <w:tcW w:w="2542"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Insurance:</w:t>
            </w:r>
          </w:p>
        </w:tc>
        <w:tc>
          <w:tcPr>
            <w:tcW w:w="8088"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25C4E99E" w14:textId="68904405" w:rsidR="0001459B" w:rsidRPr="0007718F" w:rsidRDefault="0007718F" w:rsidP="0007718F">
            <w:pPr>
              <w:numPr>
                <w:ilvl w:val="0"/>
                <w:numId w:val="50"/>
              </w:numPr>
              <w:spacing w:after="0" w:line="240" w:lineRule="auto"/>
              <w:ind w:hanging="360"/>
              <w:rPr>
                <w:rFonts w:ascii="Helvetica Neue" w:eastAsia="Helvetica Neue" w:hAnsi="Helvetica Neue" w:cs="Helvetica Neue"/>
              </w:rPr>
            </w:pPr>
            <w:r w:rsidRPr="0007718F">
              <w:rPr>
                <w:rFonts w:ascii="Helvetica Neue" w:eastAsia="Helvetica Neue" w:hAnsi="Helvetica Neue" w:cs="Helvetica Neue"/>
              </w:rPr>
              <w:t xml:space="preserve">a minimum insurance period of </w:t>
            </w:r>
            <w:r w:rsidR="004E0974" w:rsidRPr="0007718F">
              <w:rPr>
                <w:rFonts w:ascii="Helvetica Neue" w:eastAsia="Helvetica Neue" w:hAnsi="Helvetica Neue" w:cs="Helvetica Neue"/>
              </w:rPr>
              <w:t>6 years following the expiration or Ending of this Call-Off Contract</w:t>
            </w:r>
          </w:p>
          <w:p w14:paraId="0E4317A3" w14:textId="733FE6CF" w:rsidR="0001459B" w:rsidRPr="0007718F" w:rsidRDefault="004E0974">
            <w:pPr>
              <w:numPr>
                <w:ilvl w:val="0"/>
                <w:numId w:val="50"/>
              </w:numPr>
              <w:spacing w:after="0" w:line="240" w:lineRule="auto"/>
              <w:ind w:hanging="360"/>
              <w:rPr>
                <w:rFonts w:ascii="Helvetica Neue" w:eastAsia="Helvetica Neue" w:hAnsi="Helvetica Neue" w:cs="Helvetica Neue"/>
              </w:rPr>
            </w:pPr>
            <w:proofErr w:type="gramStart"/>
            <w:r w:rsidRPr="0007718F">
              <w:rPr>
                <w:rFonts w:ascii="Helvetica Neue" w:eastAsia="Helvetica Neue" w:hAnsi="Helvetica Neue" w:cs="Helvetica Neue"/>
              </w:rPr>
              <w:t>professional</w:t>
            </w:r>
            <w:proofErr w:type="gramEnd"/>
            <w:r w:rsidRPr="0007718F">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w:t>
            </w:r>
            <w:r w:rsidR="00C63B0A">
              <w:rPr>
                <w:rFonts w:ascii="Helvetica Neue" w:eastAsia="Helvetica Neue" w:hAnsi="Helvetica Neue" w:cs="Helvetica Neue"/>
              </w:rPr>
              <w:t>limit of indemnity of REDACTED INFORMATION</w:t>
            </w:r>
            <w:r w:rsidRPr="0007718F">
              <w:rPr>
                <w:rFonts w:ascii="Helvetica Neue" w:eastAsia="Helvetica Neue" w:hAnsi="Helvetica Neue" w:cs="Helvetica Neue"/>
              </w:rPr>
              <w:t xml:space="preserve"> for each individual claim or any higher limit the Buyer re</w:t>
            </w:r>
            <w:r w:rsidR="0007718F" w:rsidRPr="0007718F">
              <w:rPr>
                <w:rFonts w:ascii="Helvetica Neue" w:eastAsia="Helvetica Neue" w:hAnsi="Helvetica Neue" w:cs="Helvetica Neue"/>
              </w:rPr>
              <w:t>quires (and as required by Law)</w:t>
            </w:r>
          </w:p>
          <w:p w14:paraId="3EEE7566" w14:textId="3689BC76" w:rsidR="0001459B" w:rsidRPr="0007718F" w:rsidRDefault="004E0974">
            <w:pPr>
              <w:numPr>
                <w:ilvl w:val="0"/>
                <w:numId w:val="50"/>
              </w:numPr>
              <w:spacing w:after="0" w:line="240" w:lineRule="auto"/>
              <w:ind w:hanging="360"/>
              <w:rPr>
                <w:rFonts w:ascii="Helvetica Neue" w:eastAsia="Helvetica Neue" w:hAnsi="Helvetica Neue" w:cs="Helvetica Neue"/>
              </w:rPr>
            </w:pPr>
            <w:r w:rsidRPr="0007718F">
              <w:rPr>
                <w:rFonts w:ascii="Helvetica Neue" w:eastAsia="Helvetica Neue" w:hAnsi="Helvetica Neue" w:cs="Helvetica Neue"/>
              </w:rPr>
              <w:t>employers' liability insurance w</w:t>
            </w:r>
            <w:r w:rsidR="00C63B0A">
              <w:rPr>
                <w:rFonts w:ascii="Helvetica Neue" w:eastAsia="Helvetica Neue" w:hAnsi="Helvetica Neue" w:cs="Helvetica Neue"/>
              </w:rPr>
              <w:t>ith a minimum limit of REDACTED INFORMATION</w:t>
            </w:r>
            <w:r w:rsidRPr="0007718F">
              <w:rPr>
                <w:rFonts w:ascii="Helvetica Neue" w:eastAsia="Helvetica Neue" w:hAnsi="Helvetica Neue" w:cs="Helvetica Neue"/>
              </w:rPr>
              <w:t xml:space="preserve"> or any highe</w:t>
            </w:r>
            <w:r w:rsidR="0007718F" w:rsidRPr="0007718F">
              <w:rPr>
                <w:rFonts w:ascii="Helvetica Neue" w:eastAsia="Helvetica Neue" w:hAnsi="Helvetica Neue" w:cs="Helvetica Neue"/>
              </w:rPr>
              <w:t>r minimum limit required by Law</w:t>
            </w:r>
          </w:p>
          <w:p w14:paraId="5D1A91D6" w14:textId="5A193FB9" w:rsidR="0001459B" w:rsidRPr="0007718F" w:rsidRDefault="0007718F">
            <w:pPr>
              <w:spacing w:after="0" w:line="240" w:lineRule="auto"/>
              <w:rPr>
                <w:rFonts w:ascii="Helvetica Neue" w:eastAsia="Helvetica Neue" w:hAnsi="Helvetica Neue" w:cs="Helvetica Neue"/>
                <w:highlight w:val="yellow"/>
              </w:rPr>
            </w:pPr>
            <w:r w:rsidRPr="0007718F">
              <w:rPr>
                <w:rFonts w:ascii="Helvetica Neue" w:eastAsia="Helvetica Neue" w:hAnsi="Helvetica Neue" w:cs="Helvetica Neue"/>
              </w:rPr>
              <w:t>This is in line with Clause 9 of part B Terms and Conditions.</w:t>
            </w:r>
          </w:p>
        </w:tc>
      </w:tr>
      <w:tr w:rsidR="0001459B" w:rsidRPr="0080403F" w14:paraId="04BA7FBB" w14:textId="77777777" w:rsidTr="00E91D29">
        <w:tc>
          <w:tcPr>
            <w:tcW w:w="2542"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8088" w:type="dxa"/>
          </w:tcPr>
          <w:p w14:paraId="2EA4D635" w14:textId="6E68AFA0"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w:t>
            </w:r>
            <w:r w:rsidR="00ED4919">
              <w:rPr>
                <w:rFonts w:ascii="Helvetica Neue" w:eastAsia="Helvetica Neue" w:hAnsi="Helvetica Neue" w:cs="Helvetica Neue"/>
              </w:rPr>
              <w:t xml:space="preserve"> Event that lasts for more than 14</w:t>
            </w:r>
            <w:r w:rsidRPr="0080403F">
              <w:rPr>
                <w:rFonts w:ascii="Helvetica Neue" w:eastAsia="Helvetica Neue" w:hAnsi="Helvetica Neue" w:cs="Helvetica Neue"/>
              </w:rPr>
              <w:t xml:space="preserve"> consecutive days.</w:t>
            </w:r>
          </w:p>
        </w:tc>
      </w:tr>
      <w:tr w:rsidR="0001459B" w:rsidRPr="0080403F" w14:paraId="2A8E4D38" w14:textId="77777777" w:rsidTr="00E91D29">
        <w:tc>
          <w:tcPr>
            <w:tcW w:w="2542"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8088" w:type="dxa"/>
          </w:tcPr>
          <w:p w14:paraId="55FFE271" w14:textId="77777777" w:rsidR="006013D6" w:rsidRPr="006013D6" w:rsidRDefault="004E0974">
            <w:pPr>
              <w:spacing w:after="0" w:line="240" w:lineRule="auto"/>
              <w:rPr>
                <w:rFonts w:ascii="Helvetica Neue" w:eastAsia="Helvetica Neue" w:hAnsi="Helvetica Neue" w:cs="Helvetica Neue"/>
              </w:rPr>
            </w:pPr>
            <w:r w:rsidRPr="006013D6">
              <w:rPr>
                <w:rFonts w:ascii="Helvetica Neue" w:eastAsia="Helvetica Neue" w:hAnsi="Helvetica Neue" w:cs="Helvetica Neue"/>
              </w:rPr>
              <w:t>The following Framework Agreement audit provisions will be incorporated under clause 2.1 of this Call-Off Contract to enable</w:t>
            </w:r>
            <w:r w:rsidR="006013D6" w:rsidRPr="006013D6">
              <w:rPr>
                <w:rFonts w:ascii="Helvetica Neue" w:eastAsia="Helvetica Neue" w:hAnsi="Helvetica Neue" w:cs="Helvetica Neue"/>
              </w:rPr>
              <w:t xml:space="preserve"> the Buyer to carry out audits.</w:t>
            </w:r>
          </w:p>
          <w:p w14:paraId="2B717FBA" w14:textId="50EB7F16" w:rsidR="0001459B" w:rsidRPr="006013D6" w:rsidRDefault="006013D6">
            <w:pPr>
              <w:spacing w:after="0" w:line="240" w:lineRule="auto"/>
              <w:rPr>
                <w:rFonts w:ascii="Helvetica Neue" w:eastAsia="Helvetica Neue" w:hAnsi="Helvetica Neue" w:cs="Helvetica Neue"/>
              </w:rPr>
            </w:pPr>
            <w:r w:rsidRPr="006013D6">
              <w:rPr>
                <w:rFonts w:ascii="Helvetica Neue" w:eastAsia="Helvetica Neue" w:hAnsi="Helvetica Neue" w:cs="Helvetica Neue"/>
              </w:rPr>
              <w:t>C</w:t>
            </w:r>
            <w:r w:rsidR="004E0974" w:rsidRPr="006013D6">
              <w:rPr>
                <w:rFonts w:ascii="Helvetica Neue" w:eastAsia="Helvetica Neue" w:hAnsi="Helvetica Neue" w:cs="Helvetica Neue"/>
              </w:rPr>
              <w:t>lauses 7.4 to 7.13 of the Fra</w:t>
            </w:r>
            <w:r w:rsidRPr="006013D6">
              <w:rPr>
                <w:rFonts w:ascii="Helvetica Neue" w:eastAsia="Helvetica Neue" w:hAnsi="Helvetica Neue" w:cs="Helvetica Neue"/>
              </w:rPr>
              <w:t>mework Agreement.</w:t>
            </w:r>
          </w:p>
          <w:p w14:paraId="3C3DD12C" w14:textId="77777777" w:rsidR="0001459B" w:rsidRPr="006013D6" w:rsidRDefault="0001459B">
            <w:pPr>
              <w:spacing w:after="0" w:line="240" w:lineRule="auto"/>
              <w:rPr>
                <w:rFonts w:ascii="Helvetica Neue" w:eastAsia="Helvetica Neue" w:hAnsi="Helvetica Neue" w:cs="Helvetica Neue"/>
              </w:rPr>
            </w:pPr>
          </w:p>
        </w:tc>
      </w:tr>
      <w:tr w:rsidR="0001459B" w:rsidRPr="0080403F" w14:paraId="1CF0EA53" w14:textId="77777777" w:rsidTr="00E91D29">
        <w:tc>
          <w:tcPr>
            <w:tcW w:w="2542"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8088" w:type="dxa"/>
          </w:tcPr>
          <w:p w14:paraId="7F68933B" w14:textId="4B3B6393" w:rsidR="006013D6" w:rsidRDefault="004E0974" w:rsidP="006013D6">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 is responsible for </w:t>
            </w:r>
          </w:p>
          <w:p w14:paraId="4067EE6C" w14:textId="14CD8088" w:rsidR="006013D6" w:rsidRDefault="006013D6" w:rsidP="006013D6">
            <w:pPr>
              <w:spacing w:after="0" w:line="240" w:lineRule="auto"/>
              <w:rPr>
                <w:rFonts w:ascii="Helvetica Neue" w:eastAsia="Helvetica Neue" w:hAnsi="Helvetica Neue" w:cs="Helvetica Neue"/>
              </w:rPr>
            </w:pPr>
          </w:p>
          <w:p w14:paraId="2AC8A13F" w14:textId="4A831FB0" w:rsidR="006013D6" w:rsidRDefault="006013D6" w:rsidP="006013D6">
            <w:pPr>
              <w:spacing w:after="0" w:line="240" w:lineRule="auto"/>
              <w:rPr>
                <w:rFonts w:ascii="Helvetica Neue" w:eastAsia="Helvetica Neue" w:hAnsi="Helvetica Neue" w:cs="Helvetica Neue"/>
              </w:rPr>
            </w:pPr>
            <w:r>
              <w:rPr>
                <w:rFonts w:ascii="Helvetica Neue" w:eastAsia="Helvetica Neue" w:hAnsi="Helvetica Neue" w:cs="Helvetica Neue"/>
              </w:rPr>
              <w:t>Prompt payment of undisputed invoices in line with the details within Part A Order Form of the Call Off Contract.</w:t>
            </w:r>
          </w:p>
          <w:p w14:paraId="23636E64" w14:textId="56EE738F" w:rsidR="006013D6" w:rsidRDefault="006013D6" w:rsidP="006013D6">
            <w:pPr>
              <w:spacing w:after="0" w:line="240" w:lineRule="auto"/>
              <w:rPr>
                <w:rFonts w:ascii="Helvetica Neue" w:eastAsia="Helvetica Neue" w:hAnsi="Helvetica Neue" w:cs="Helvetica Neue"/>
              </w:rPr>
            </w:pPr>
          </w:p>
          <w:p w14:paraId="14D42618" w14:textId="23B6ED34" w:rsidR="006013D6" w:rsidRPr="0080403F" w:rsidRDefault="006013D6" w:rsidP="006013D6">
            <w:pPr>
              <w:spacing w:after="0" w:line="240" w:lineRule="auto"/>
              <w:rPr>
                <w:rFonts w:ascii="Helvetica Neue" w:eastAsia="Helvetica Neue" w:hAnsi="Helvetica Neue" w:cs="Helvetica Neue"/>
              </w:rPr>
            </w:pPr>
            <w:r>
              <w:rPr>
                <w:rFonts w:ascii="Helvetica Neue" w:eastAsia="Helvetica Neue" w:hAnsi="Helvetica Neue" w:cs="Helvetica Neue"/>
              </w:rPr>
              <w:t>Ensuring any required action to enable successful delivery by the Supplier in the event such action is controlled or owned by the Buyer.</w:t>
            </w:r>
          </w:p>
          <w:p w14:paraId="69E54E12" w14:textId="4AF82954"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7E278E4" w14:textId="77777777" w:rsidTr="00E91D29">
        <w:tc>
          <w:tcPr>
            <w:tcW w:w="2542"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8088" w:type="dxa"/>
          </w:tcPr>
          <w:p w14:paraId="5A9EC071" w14:textId="69BBC707" w:rsidR="006013D6" w:rsidRPr="0080403F" w:rsidRDefault="006013D6" w:rsidP="006013D6">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7F4B5400" w14:textId="3727D913" w:rsidR="0001459B" w:rsidRPr="0080403F" w:rsidRDefault="0001459B">
            <w:pPr>
              <w:spacing w:after="0" w:line="240" w:lineRule="auto"/>
              <w:rPr>
                <w:rFonts w:ascii="Helvetica Neue" w:eastAsia="Helvetica Neue" w:hAnsi="Helvetica Neue" w:cs="Helvetica Neue"/>
                <w:highlight w:val="green"/>
              </w:rPr>
            </w:pP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4B14206F" w14:textId="61E57B00" w:rsidR="00A8105C" w:rsidRPr="0080403F" w:rsidRDefault="00A8105C" w:rsidP="00A8105C">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5E2D1245" w14:textId="29F113D6" w:rsidR="0001459B" w:rsidRPr="0080403F" w:rsidRDefault="0001459B">
            <w:pPr>
              <w:spacing w:after="0" w:line="240" w:lineRule="auto"/>
              <w:rPr>
                <w:rFonts w:ascii="Helvetica Neue" w:eastAsia="Helvetica Neue" w:hAnsi="Helvetica Neue" w:cs="Helvetica Neue"/>
                <w:highlight w:val="green"/>
              </w:rPr>
            </w:pP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23B5A95F"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payment metho</w:t>
            </w:r>
            <w:r w:rsidR="00A8105C">
              <w:rPr>
                <w:rFonts w:ascii="Helvetica Neue" w:eastAsia="Helvetica Neue" w:hAnsi="Helvetica Neue" w:cs="Helvetica Neue"/>
              </w:rPr>
              <w:t>d for this Call-Off Contract is BACS.</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04EB69E8" w:rsidR="0001459B" w:rsidRPr="00A8105C" w:rsidRDefault="004E0974" w:rsidP="00A8105C">
            <w:pPr>
              <w:spacing w:after="0" w:line="240" w:lineRule="auto"/>
              <w:rPr>
                <w:rFonts w:ascii="Helvetica Neue" w:eastAsia="Helvetica Neue" w:hAnsi="Helvetica Neue" w:cs="Helvetica Neue"/>
                <w:highlight w:val="yellow"/>
              </w:rPr>
            </w:pPr>
            <w:r w:rsidRPr="0080403F">
              <w:rPr>
                <w:rFonts w:ascii="Helvetica Neue" w:eastAsia="Helvetica Neue" w:hAnsi="Helvetica Neue" w:cs="Helvetica Neue"/>
              </w:rPr>
              <w:t>The payment profil</w:t>
            </w:r>
            <w:r w:rsidR="00A8105C">
              <w:rPr>
                <w:rFonts w:ascii="Helvetica Neue" w:eastAsia="Helvetica Neue" w:hAnsi="Helvetica Neue" w:cs="Helvetica Neue"/>
              </w:rPr>
              <w:t>e for this Call-Off Contract will be decided between the Su</w:t>
            </w:r>
            <w:r w:rsidR="00DD19B0">
              <w:rPr>
                <w:rFonts w:ascii="Helvetica Neue" w:eastAsia="Helvetica Neue" w:hAnsi="Helvetica Neue" w:cs="Helvetica Neue"/>
              </w:rPr>
              <w:t>pplier and the Authority.</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details:</w:t>
            </w:r>
          </w:p>
        </w:tc>
        <w:tc>
          <w:tcPr>
            <w:tcW w:w="7973" w:type="dxa"/>
          </w:tcPr>
          <w:p w14:paraId="4852AFA0" w14:textId="10003C6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Supplier</w:t>
            </w:r>
            <w:r w:rsidR="00DD19B0">
              <w:rPr>
                <w:rFonts w:ascii="Helvetica Neue" w:eastAsia="Helvetica Neue" w:hAnsi="Helvetica Neue" w:cs="Helvetica Neue"/>
              </w:rPr>
              <w:t xml:space="preserve"> will issue electronic invoices monthly in arrears</w:t>
            </w:r>
            <w:r w:rsidRPr="0080403F">
              <w:rPr>
                <w:rFonts w:ascii="Helvetica Neue" w:eastAsia="Helvetica Neue" w:hAnsi="Helvetica Neue" w:cs="Helvetica Neue"/>
              </w:rPr>
              <w:t xml:space="preserve">. The Buyer will pay the Supplier within </w:t>
            </w:r>
            <w:r w:rsidR="00DD19B0" w:rsidRPr="00DD19B0">
              <w:rPr>
                <w:rFonts w:ascii="Helvetica Neue" w:eastAsia="Helvetica Neue" w:hAnsi="Helvetica Neue" w:cs="Helvetica Neue"/>
              </w:rPr>
              <w:t>30</w:t>
            </w:r>
            <w:r w:rsidRPr="0080403F">
              <w:rPr>
                <w:rFonts w:ascii="Helvetica Neue" w:eastAsia="Helvetica Neue" w:hAnsi="Helvetica Neue" w:cs="Helvetica Neue"/>
              </w:rPr>
              <w:t xml:space="preserve">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927B67F" w14:textId="0EB7B454" w:rsidR="0001459B" w:rsidRPr="0080403F"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Invoices will be</w:t>
            </w:r>
            <w:r w:rsidR="00C63B0A">
              <w:rPr>
                <w:rFonts w:ascii="Helvetica Neue" w:eastAsia="Helvetica Neue" w:hAnsi="Helvetica Neue" w:cs="Helvetica Neue"/>
              </w:rPr>
              <w:t xml:space="preserve"> sent to REDACTED INFORMATION</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531E972A" w14:textId="77777777"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All invoices </w:t>
            </w:r>
            <w:r w:rsidR="00DD19B0">
              <w:rPr>
                <w:rFonts w:ascii="Helvetica Neue" w:eastAsia="Helvetica Neue" w:hAnsi="Helvetica Neue" w:cs="Helvetica Neue"/>
              </w:rPr>
              <w:t>must include:</w:t>
            </w:r>
          </w:p>
          <w:p w14:paraId="7C2317CF" w14:textId="77777777" w:rsidR="00DD19B0" w:rsidRDefault="00DD19B0">
            <w:pPr>
              <w:spacing w:after="0" w:line="240" w:lineRule="auto"/>
              <w:rPr>
                <w:rFonts w:ascii="Helvetica Neue" w:eastAsia="Helvetica Neue" w:hAnsi="Helvetica Neue" w:cs="Helvetica Neue"/>
              </w:rPr>
            </w:pPr>
          </w:p>
          <w:p w14:paraId="1F916388"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Order Number</w:t>
            </w:r>
          </w:p>
          <w:p w14:paraId="510CA28D"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Contract Reference Number</w:t>
            </w:r>
          </w:p>
          <w:p w14:paraId="6B82CFB3"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Full Detailed Breakdown</w:t>
            </w:r>
          </w:p>
          <w:p w14:paraId="37E0F73D"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Invoice Period</w:t>
            </w:r>
          </w:p>
          <w:p w14:paraId="363DB653"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Date</w:t>
            </w:r>
          </w:p>
          <w:p w14:paraId="7AF6898C"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Suppliers Name</w:t>
            </w:r>
          </w:p>
          <w:p w14:paraId="32E13A63" w14:textId="77777777" w:rsidR="00DD19B0"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Suppliers Address</w:t>
            </w:r>
          </w:p>
          <w:p w14:paraId="610DCE8C" w14:textId="1C363078" w:rsidR="00DD19B0" w:rsidRPr="0080403F" w:rsidRDefault="00DD19B0">
            <w:pPr>
              <w:spacing w:after="0" w:line="240" w:lineRule="auto"/>
              <w:rPr>
                <w:rFonts w:ascii="Helvetica Neue" w:eastAsia="Helvetica Neue" w:hAnsi="Helvetica Neue" w:cs="Helvetica Neue"/>
              </w:rPr>
            </w:pPr>
            <w:r>
              <w:rPr>
                <w:rFonts w:ascii="Helvetica Neue" w:eastAsia="Helvetica Neue" w:hAnsi="Helvetica Neue" w:cs="Helvetica Neue"/>
              </w:rPr>
              <w:t>Buyers Name</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377E3DB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w:t>
            </w:r>
            <w:r w:rsidR="00235FB4">
              <w:rPr>
                <w:rFonts w:ascii="Helvetica Neue" w:eastAsia="Helvetica Neue" w:hAnsi="Helvetica Neue" w:cs="Helvetica Neue"/>
              </w:rPr>
              <w:t>voice will be sent to the Buyer monthly.</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0B07A2A8"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total val</w:t>
            </w:r>
            <w:r w:rsidR="00235FB4">
              <w:rPr>
                <w:rFonts w:ascii="Helvetica Neue" w:eastAsia="Helvetica Neue" w:hAnsi="Helvetica Neue" w:cs="Helvetica Neue"/>
              </w:rPr>
              <w:t>ue of this Call-Off Contract is £113,675.00.</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254F6207" w14:textId="1EE3DEC1" w:rsidR="00235FB4" w:rsidRPr="0080403F" w:rsidRDefault="00235FB4" w:rsidP="00235FB4">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is as per Schedule 2 Contract Charges of this Order Form.</w:t>
            </w:r>
          </w:p>
          <w:p w14:paraId="717078F6" w14:textId="24B19E45" w:rsidR="0001459B" w:rsidRPr="0080403F" w:rsidRDefault="0001459B">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20" w:name="_3j2qqm3" w:colFirst="0" w:colLast="0"/>
      <w:bookmarkEnd w:id="20"/>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a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11"/>
        <w:gridCol w:w="8501"/>
      </w:tblGrid>
      <w:tr w:rsidR="0001459B" w:rsidRPr="0080403F" w14:paraId="33D0351F" w14:textId="77777777" w:rsidTr="0073370E">
        <w:tc>
          <w:tcPr>
            <w:tcW w:w="924" w:type="pct"/>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4076" w:type="pct"/>
          </w:tcPr>
          <w:p w14:paraId="2C995485" w14:textId="77777777" w:rsidR="0001459B" w:rsidRPr="0080403F" w:rsidRDefault="004E0974">
            <w:pPr>
              <w:spacing w:after="0" w:line="240" w:lineRule="auto"/>
              <w:rPr>
                <w:rFonts w:ascii="Helvetica Neue" w:eastAsia="Helvetica Neue" w:hAnsi="Helvetica Neue" w:cs="Helvetica Neue"/>
              </w:rPr>
            </w:pPr>
            <w:bookmarkStart w:id="23" w:name="_2xcytpi" w:colFirst="0" w:colLast="0"/>
            <w:bookmarkEnd w:id="23"/>
            <w:r w:rsidRPr="0080403F">
              <w:rPr>
                <w:rFonts w:ascii="Helvetica Neue" w:eastAsia="Helvetica Neue" w:hAnsi="Helvetica Neue" w:cs="Helvetica Neue"/>
              </w:rPr>
              <w:t>This Call-Off Contract will include the following implementation plan, exit and offboarding plans and milestones:</w:t>
            </w:r>
          </w:p>
          <w:p w14:paraId="2CFA212C" w14:textId="77777777" w:rsidR="0001459B" w:rsidRDefault="0001459B" w:rsidP="0073370E">
            <w:pPr>
              <w:spacing w:after="0" w:line="240" w:lineRule="auto"/>
              <w:rPr>
                <w:rFonts w:ascii="Helvetica Neue" w:eastAsia="Helvetica Neue" w:hAnsi="Helvetica Neue" w:cs="Helvetica Neue"/>
              </w:rPr>
            </w:pPr>
            <w:bookmarkStart w:id="24" w:name="_1ci93xb" w:colFirst="0" w:colLast="0"/>
            <w:bookmarkEnd w:id="24"/>
          </w:p>
          <w:tbl>
            <w:tblPr>
              <w:tblStyle w:val="a1"/>
              <w:tblW w:w="5000" w:type="pct"/>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2685"/>
              <w:gridCol w:w="3457"/>
              <w:gridCol w:w="2069"/>
            </w:tblGrid>
            <w:tr w:rsidR="0073370E" w14:paraId="3961CF78" w14:textId="77777777" w:rsidTr="0073370E">
              <w:tc>
                <w:tcPr>
                  <w:tcW w:w="1508" w:type="pct"/>
                  <w:shd w:val="clear" w:color="auto" w:fill="B8CCE4"/>
                  <w:vAlign w:val="center"/>
                </w:tcPr>
                <w:p w14:paraId="31CDC08A"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Milestone/Deliverable</w:t>
                  </w:r>
                </w:p>
              </w:tc>
              <w:tc>
                <w:tcPr>
                  <w:tcW w:w="2169" w:type="pct"/>
                  <w:shd w:val="clear" w:color="auto" w:fill="B8CCE4"/>
                  <w:vAlign w:val="center"/>
                </w:tcPr>
                <w:p w14:paraId="3D603DA2"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Description</w:t>
                  </w:r>
                </w:p>
              </w:tc>
              <w:tc>
                <w:tcPr>
                  <w:tcW w:w="1323" w:type="pct"/>
                  <w:shd w:val="clear" w:color="auto" w:fill="B8CCE4"/>
                  <w:vAlign w:val="center"/>
                </w:tcPr>
                <w:p w14:paraId="30293EFA"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 xml:space="preserve">Timeframe </w:t>
                  </w:r>
                  <w:proofErr w:type="gramStart"/>
                  <w:r w:rsidRPr="0073370E">
                    <w:rPr>
                      <w:rFonts w:ascii="Arial" w:hAnsi="Arial" w:cs="Arial"/>
                      <w:color w:val="auto"/>
                    </w:rPr>
                    <w:t>or  Delivery</w:t>
                  </w:r>
                  <w:proofErr w:type="gramEnd"/>
                  <w:r w:rsidRPr="0073370E">
                    <w:rPr>
                      <w:rFonts w:ascii="Arial" w:hAnsi="Arial" w:cs="Arial"/>
                      <w:color w:val="auto"/>
                    </w:rPr>
                    <w:t xml:space="preserve"> Date</w:t>
                  </w:r>
                </w:p>
              </w:tc>
            </w:tr>
            <w:tr w:rsidR="0073370E" w14:paraId="5BE4AA1E" w14:textId="77777777" w:rsidTr="0073370E">
              <w:tc>
                <w:tcPr>
                  <w:tcW w:w="1508" w:type="pct"/>
                  <w:vAlign w:val="center"/>
                </w:tcPr>
                <w:p w14:paraId="7860EF7B" w14:textId="77777777" w:rsidR="0073370E" w:rsidRPr="0073370E" w:rsidRDefault="0073370E" w:rsidP="0073370E">
                  <w:pPr>
                    <w:pStyle w:val="Heading3"/>
                    <w:spacing w:after="120"/>
                    <w:jc w:val="center"/>
                    <w:rPr>
                      <w:rFonts w:ascii="Arial" w:hAnsi="Arial" w:cs="Arial"/>
                      <w:color w:val="auto"/>
                    </w:rPr>
                  </w:pPr>
                </w:p>
              </w:tc>
              <w:tc>
                <w:tcPr>
                  <w:tcW w:w="2169" w:type="pct"/>
                  <w:vAlign w:val="center"/>
                </w:tcPr>
                <w:p w14:paraId="39D02710" w14:textId="77777777" w:rsidR="0073370E" w:rsidRPr="0073370E" w:rsidRDefault="0073370E" w:rsidP="0073370E">
                  <w:pPr>
                    <w:pStyle w:val="Heading3"/>
                    <w:spacing w:after="120"/>
                    <w:jc w:val="center"/>
                    <w:rPr>
                      <w:rFonts w:ascii="Arial" w:eastAsia="Verdana" w:hAnsi="Arial" w:cs="Arial"/>
                      <w:color w:val="auto"/>
                      <w:sz w:val="20"/>
                      <w:szCs w:val="20"/>
                    </w:rPr>
                  </w:pPr>
                  <w:bookmarkStart w:id="25" w:name="_5mnq4l1cjley" w:colFirst="0" w:colLast="0"/>
                  <w:bookmarkEnd w:id="25"/>
                  <w:r w:rsidRPr="0073370E">
                    <w:rPr>
                      <w:rFonts w:ascii="Arial" w:hAnsi="Arial" w:cs="Arial"/>
                      <w:color w:val="auto"/>
                    </w:rPr>
                    <w:t>Phase 1</w:t>
                  </w:r>
                </w:p>
              </w:tc>
              <w:tc>
                <w:tcPr>
                  <w:tcW w:w="1323" w:type="pct"/>
                  <w:vAlign w:val="center"/>
                </w:tcPr>
                <w:p w14:paraId="01776184" w14:textId="77777777" w:rsidR="0073370E" w:rsidRPr="0073370E" w:rsidRDefault="0073370E" w:rsidP="0073370E">
                  <w:pPr>
                    <w:pStyle w:val="Heading3"/>
                    <w:spacing w:after="120"/>
                    <w:jc w:val="center"/>
                    <w:rPr>
                      <w:rFonts w:ascii="Arial" w:hAnsi="Arial" w:cs="Arial"/>
                      <w:color w:val="auto"/>
                    </w:rPr>
                  </w:pPr>
                  <w:bookmarkStart w:id="26" w:name="_b2egierkkqpi" w:colFirst="0" w:colLast="0"/>
                  <w:bookmarkEnd w:id="26"/>
                  <w:r w:rsidRPr="0073370E">
                    <w:rPr>
                      <w:rFonts w:ascii="Arial" w:hAnsi="Arial" w:cs="Arial"/>
                      <w:color w:val="auto"/>
                    </w:rPr>
                    <w:t>45 Days</w:t>
                  </w:r>
                </w:p>
              </w:tc>
            </w:tr>
            <w:tr w:rsidR="0073370E" w14:paraId="371A9C2B" w14:textId="77777777" w:rsidTr="0073370E">
              <w:tc>
                <w:tcPr>
                  <w:tcW w:w="1508" w:type="pct"/>
                  <w:vAlign w:val="center"/>
                </w:tcPr>
                <w:p w14:paraId="6E5F1E55"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1</w:t>
                  </w:r>
                </w:p>
              </w:tc>
              <w:tc>
                <w:tcPr>
                  <w:tcW w:w="2169" w:type="pct"/>
                  <w:vAlign w:val="center"/>
                </w:tcPr>
                <w:p w14:paraId="521B9B96" w14:textId="77777777" w:rsidR="0073370E" w:rsidRPr="0073370E" w:rsidRDefault="0073370E" w:rsidP="0073370E">
                  <w:pPr>
                    <w:pStyle w:val="Heading3"/>
                    <w:shd w:val="clear" w:color="auto" w:fill="FFFFFF"/>
                    <w:spacing w:after="200"/>
                    <w:rPr>
                      <w:rFonts w:ascii="Arial" w:hAnsi="Arial" w:cs="Arial"/>
                      <w:color w:val="auto"/>
                    </w:rPr>
                  </w:pPr>
                  <w:bookmarkStart w:id="27" w:name="_aiu084ar2aeh" w:colFirst="0" w:colLast="0"/>
                  <w:bookmarkEnd w:id="27"/>
                  <w:r w:rsidRPr="0073370E">
                    <w:rPr>
                      <w:rFonts w:ascii="Arial" w:hAnsi="Arial" w:cs="Arial"/>
                      <w:color w:val="auto"/>
                    </w:rPr>
                    <w:t>Discovery Phase</w:t>
                  </w:r>
                </w:p>
              </w:tc>
              <w:tc>
                <w:tcPr>
                  <w:tcW w:w="1323" w:type="pct"/>
                  <w:vAlign w:val="center"/>
                </w:tcPr>
                <w:p w14:paraId="082CBB50" w14:textId="77777777" w:rsidR="0073370E" w:rsidRPr="0073370E" w:rsidRDefault="0073370E" w:rsidP="0073370E">
                  <w:pPr>
                    <w:pStyle w:val="Heading3"/>
                    <w:spacing w:after="120"/>
                    <w:jc w:val="center"/>
                    <w:rPr>
                      <w:rFonts w:ascii="Arial" w:hAnsi="Arial" w:cs="Arial"/>
                      <w:color w:val="auto"/>
                    </w:rPr>
                  </w:pPr>
                </w:p>
              </w:tc>
            </w:tr>
            <w:tr w:rsidR="0073370E" w14:paraId="4F3B38C2" w14:textId="77777777" w:rsidTr="0073370E">
              <w:tc>
                <w:tcPr>
                  <w:tcW w:w="1508" w:type="pct"/>
                  <w:vAlign w:val="center"/>
                </w:tcPr>
                <w:p w14:paraId="12E5E8A1" w14:textId="77777777" w:rsidR="0073370E" w:rsidRPr="0073370E" w:rsidRDefault="0073370E" w:rsidP="0073370E">
                  <w:pPr>
                    <w:pStyle w:val="Heading3"/>
                    <w:spacing w:after="120"/>
                    <w:ind w:right="-121"/>
                    <w:jc w:val="center"/>
                    <w:rPr>
                      <w:rFonts w:ascii="Arial" w:hAnsi="Arial" w:cs="Arial"/>
                      <w:color w:val="auto"/>
                    </w:rPr>
                  </w:pPr>
                  <w:r w:rsidRPr="0073370E">
                    <w:rPr>
                      <w:rFonts w:ascii="Arial" w:hAnsi="Arial" w:cs="Arial"/>
                      <w:color w:val="auto"/>
                    </w:rPr>
                    <w:t>2</w:t>
                  </w:r>
                </w:p>
              </w:tc>
              <w:tc>
                <w:tcPr>
                  <w:tcW w:w="2169" w:type="pct"/>
                  <w:vAlign w:val="center"/>
                </w:tcPr>
                <w:p w14:paraId="191A1526" w14:textId="77777777" w:rsidR="0073370E" w:rsidRPr="0073370E" w:rsidRDefault="0073370E" w:rsidP="0073370E">
                  <w:pPr>
                    <w:pStyle w:val="Heading3"/>
                    <w:shd w:val="clear" w:color="auto" w:fill="FFFFFF"/>
                    <w:spacing w:after="200"/>
                    <w:rPr>
                      <w:rFonts w:ascii="Arial" w:hAnsi="Arial" w:cs="Arial"/>
                      <w:color w:val="auto"/>
                    </w:rPr>
                  </w:pPr>
                  <w:bookmarkStart w:id="28" w:name="_r38pqanstrk4" w:colFirst="0" w:colLast="0"/>
                  <w:bookmarkEnd w:id="28"/>
                  <w:r w:rsidRPr="0073370E">
                    <w:rPr>
                      <w:rFonts w:ascii="Arial" w:hAnsi="Arial" w:cs="Arial"/>
                      <w:color w:val="auto"/>
                    </w:rPr>
                    <w:t>API build (schema / RESTful)</w:t>
                  </w:r>
                </w:p>
              </w:tc>
              <w:tc>
                <w:tcPr>
                  <w:tcW w:w="1323" w:type="pct"/>
                  <w:vAlign w:val="center"/>
                </w:tcPr>
                <w:p w14:paraId="18AA102C" w14:textId="77777777" w:rsidR="0073370E" w:rsidRPr="0073370E" w:rsidRDefault="0073370E" w:rsidP="0073370E">
                  <w:pPr>
                    <w:pStyle w:val="Heading3"/>
                    <w:spacing w:after="120"/>
                    <w:jc w:val="center"/>
                    <w:rPr>
                      <w:rFonts w:ascii="Arial" w:hAnsi="Arial" w:cs="Arial"/>
                      <w:color w:val="auto"/>
                    </w:rPr>
                  </w:pPr>
                </w:p>
              </w:tc>
            </w:tr>
            <w:tr w:rsidR="0073370E" w14:paraId="710B254F" w14:textId="77777777" w:rsidTr="0073370E">
              <w:tc>
                <w:tcPr>
                  <w:tcW w:w="1508" w:type="pct"/>
                  <w:vAlign w:val="center"/>
                </w:tcPr>
                <w:p w14:paraId="2DFD3CF9"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3</w:t>
                  </w:r>
                </w:p>
              </w:tc>
              <w:tc>
                <w:tcPr>
                  <w:tcW w:w="2169" w:type="pct"/>
                  <w:vAlign w:val="center"/>
                </w:tcPr>
                <w:p w14:paraId="6718F5C5" w14:textId="77777777" w:rsidR="0073370E" w:rsidRPr="0073370E" w:rsidRDefault="0073370E" w:rsidP="0073370E">
                  <w:pPr>
                    <w:pStyle w:val="Heading3"/>
                    <w:shd w:val="clear" w:color="auto" w:fill="FFFFFF"/>
                    <w:spacing w:after="200"/>
                    <w:rPr>
                      <w:rFonts w:ascii="Arial" w:hAnsi="Arial" w:cs="Arial"/>
                      <w:color w:val="auto"/>
                    </w:rPr>
                  </w:pPr>
                  <w:bookmarkStart w:id="29" w:name="_k2emihbfril7" w:colFirst="0" w:colLast="0"/>
                  <w:bookmarkEnd w:id="29"/>
                  <w:r w:rsidRPr="0073370E">
                    <w:rPr>
                      <w:rFonts w:ascii="Arial" w:hAnsi="Arial" w:cs="Arial"/>
                      <w:color w:val="auto"/>
                    </w:rPr>
                    <w:t>Administrative UI</w:t>
                  </w:r>
                </w:p>
              </w:tc>
              <w:tc>
                <w:tcPr>
                  <w:tcW w:w="1323" w:type="pct"/>
                  <w:vAlign w:val="center"/>
                </w:tcPr>
                <w:p w14:paraId="43997430" w14:textId="77777777" w:rsidR="0073370E" w:rsidRPr="0073370E" w:rsidRDefault="0073370E" w:rsidP="0073370E">
                  <w:pPr>
                    <w:pStyle w:val="Heading3"/>
                    <w:spacing w:after="120"/>
                    <w:jc w:val="center"/>
                    <w:rPr>
                      <w:rFonts w:ascii="Arial" w:hAnsi="Arial" w:cs="Arial"/>
                      <w:color w:val="auto"/>
                    </w:rPr>
                  </w:pPr>
                </w:p>
              </w:tc>
            </w:tr>
            <w:tr w:rsidR="0073370E" w14:paraId="1B91FE7B" w14:textId="77777777" w:rsidTr="0073370E">
              <w:tc>
                <w:tcPr>
                  <w:tcW w:w="1508" w:type="pct"/>
                  <w:vAlign w:val="center"/>
                </w:tcPr>
                <w:p w14:paraId="53A339AA" w14:textId="77777777" w:rsidR="0073370E" w:rsidRPr="0073370E" w:rsidRDefault="0073370E" w:rsidP="0073370E">
                  <w:pPr>
                    <w:pStyle w:val="Heading3"/>
                    <w:spacing w:after="120"/>
                    <w:jc w:val="center"/>
                    <w:rPr>
                      <w:rFonts w:ascii="Arial" w:hAnsi="Arial" w:cs="Arial"/>
                      <w:color w:val="auto"/>
                    </w:rPr>
                  </w:pPr>
                </w:p>
              </w:tc>
              <w:tc>
                <w:tcPr>
                  <w:tcW w:w="2169" w:type="pct"/>
                  <w:vAlign w:val="center"/>
                </w:tcPr>
                <w:p w14:paraId="37E8133D" w14:textId="77777777" w:rsidR="0073370E" w:rsidRPr="0073370E" w:rsidRDefault="0073370E" w:rsidP="0073370E">
                  <w:pPr>
                    <w:pStyle w:val="Heading3"/>
                    <w:shd w:val="clear" w:color="auto" w:fill="FFFFFF"/>
                    <w:spacing w:after="200"/>
                    <w:jc w:val="center"/>
                    <w:rPr>
                      <w:rFonts w:ascii="Arial" w:hAnsi="Arial" w:cs="Arial"/>
                      <w:color w:val="auto"/>
                    </w:rPr>
                  </w:pPr>
                  <w:r w:rsidRPr="0073370E">
                    <w:rPr>
                      <w:rFonts w:ascii="Arial" w:hAnsi="Arial" w:cs="Arial"/>
                      <w:color w:val="auto"/>
                    </w:rPr>
                    <w:t>Phase 2</w:t>
                  </w:r>
                </w:p>
              </w:tc>
              <w:tc>
                <w:tcPr>
                  <w:tcW w:w="1323" w:type="pct"/>
                  <w:vAlign w:val="center"/>
                </w:tcPr>
                <w:p w14:paraId="5D36D4E3" w14:textId="77777777" w:rsidR="0073370E" w:rsidRPr="0073370E" w:rsidRDefault="0073370E" w:rsidP="0073370E">
                  <w:pPr>
                    <w:pStyle w:val="Heading3"/>
                    <w:spacing w:after="120"/>
                    <w:jc w:val="center"/>
                    <w:rPr>
                      <w:rFonts w:ascii="Arial" w:hAnsi="Arial" w:cs="Arial"/>
                      <w:color w:val="auto"/>
                    </w:rPr>
                  </w:pPr>
                </w:p>
              </w:tc>
            </w:tr>
            <w:tr w:rsidR="0073370E" w14:paraId="5177C51E" w14:textId="77777777" w:rsidTr="0073370E">
              <w:tc>
                <w:tcPr>
                  <w:tcW w:w="1508" w:type="pct"/>
                  <w:vAlign w:val="center"/>
                </w:tcPr>
                <w:p w14:paraId="4ADC6B62"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4</w:t>
                  </w:r>
                </w:p>
              </w:tc>
              <w:tc>
                <w:tcPr>
                  <w:tcW w:w="2169" w:type="pct"/>
                  <w:vAlign w:val="center"/>
                </w:tcPr>
                <w:p w14:paraId="05105902" w14:textId="77777777" w:rsidR="0073370E" w:rsidRPr="0073370E" w:rsidRDefault="0073370E" w:rsidP="0073370E">
                  <w:pPr>
                    <w:pStyle w:val="Heading3"/>
                    <w:shd w:val="clear" w:color="auto" w:fill="FFFFFF"/>
                    <w:spacing w:after="200"/>
                    <w:rPr>
                      <w:rFonts w:ascii="Arial" w:hAnsi="Arial" w:cs="Arial"/>
                      <w:color w:val="auto"/>
                    </w:rPr>
                  </w:pPr>
                  <w:r w:rsidRPr="0073370E">
                    <w:rPr>
                      <w:rFonts w:ascii="Arial" w:hAnsi="Arial" w:cs="Arial"/>
                      <w:color w:val="auto"/>
                    </w:rPr>
                    <w:t>User Interface</w:t>
                  </w:r>
                </w:p>
              </w:tc>
              <w:tc>
                <w:tcPr>
                  <w:tcW w:w="1323" w:type="pct"/>
                  <w:vAlign w:val="center"/>
                </w:tcPr>
                <w:p w14:paraId="5F33635D" w14:textId="77777777" w:rsidR="0073370E" w:rsidRPr="0073370E" w:rsidRDefault="0073370E" w:rsidP="0073370E">
                  <w:pPr>
                    <w:pStyle w:val="Heading3"/>
                    <w:spacing w:after="120"/>
                    <w:jc w:val="center"/>
                    <w:rPr>
                      <w:rFonts w:ascii="Arial" w:hAnsi="Arial" w:cs="Arial"/>
                      <w:color w:val="auto"/>
                    </w:rPr>
                  </w:pPr>
                  <w:r w:rsidRPr="0073370E">
                    <w:rPr>
                      <w:rFonts w:ascii="Arial" w:hAnsi="Arial" w:cs="Arial"/>
                      <w:color w:val="auto"/>
                    </w:rPr>
                    <w:t>Deliverable for 14 Mar 2020</w:t>
                  </w:r>
                </w:p>
              </w:tc>
            </w:tr>
          </w:tbl>
          <w:p w14:paraId="2724933C" w14:textId="77777777" w:rsidR="0073370E" w:rsidRDefault="0073370E" w:rsidP="0073370E">
            <w:pPr>
              <w:spacing w:after="0" w:line="240" w:lineRule="auto"/>
              <w:rPr>
                <w:rFonts w:ascii="Helvetica Neue" w:eastAsia="Helvetica Neue" w:hAnsi="Helvetica Neue" w:cs="Helvetica Neue"/>
              </w:rPr>
            </w:pPr>
          </w:p>
          <w:p w14:paraId="6CAC94AA" w14:textId="57C365D4" w:rsidR="00BE3871" w:rsidRPr="00BE3871" w:rsidRDefault="00BE3871" w:rsidP="0073370E">
            <w:pPr>
              <w:spacing w:after="0" w:line="240" w:lineRule="auto"/>
              <w:rPr>
                <w:rFonts w:eastAsia="Helvetica Neue"/>
                <w:highlight w:val="green"/>
              </w:rPr>
            </w:pPr>
            <w:r>
              <w:rPr>
                <w:rFonts w:eastAsia="Helvetica Neue"/>
              </w:rPr>
              <w:t>Any Charges to the milestones will be agreed in writing between the Supplier and the Buyer.</w:t>
            </w:r>
          </w:p>
        </w:tc>
      </w:tr>
      <w:tr w:rsidR="0001459B" w:rsidRPr="0080403F" w14:paraId="752DE944" w14:textId="77777777" w:rsidTr="0073370E">
        <w:tc>
          <w:tcPr>
            <w:tcW w:w="924" w:type="pct"/>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4076" w:type="pct"/>
          </w:tcPr>
          <w:p w14:paraId="762BE1CB" w14:textId="550824D3" w:rsidR="00E43E57" w:rsidRPr="0080403F" w:rsidRDefault="00E43E57" w:rsidP="00E43E57">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0C82135F" w14:textId="2C222AEB"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03D97F1" w14:textId="77777777" w:rsidTr="0073370E">
        <w:tc>
          <w:tcPr>
            <w:tcW w:w="924" w:type="pct"/>
          </w:tcPr>
          <w:p w14:paraId="7D5ADA06" w14:textId="77777777" w:rsidR="0001459B" w:rsidRPr="0080403F" w:rsidRDefault="004E0974">
            <w:pPr>
              <w:spacing w:after="0" w:line="240" w:lineRule="auto"/>
              <w:rPr>
                <w:rFonts w:ascii="Helvetica Neue" w:eastAsia="Helvetica Neue" w:hAnsi="Helvetica Neue" w:cs="Helvetica Neue"/>
                <w:b/>
              </w:rPr>
            </w:pPr>
            <w:bookmarkStart w:id="30" w:name="_2bn6wsx" w:colFirst="0" w:colLast="0"/>
            <w:bookmarkEnd w:id="30"/>
            <w:r w:rsidRPr="0080403F">
              <w:rPr>
                <w:rFonts w:ascii="Helvetica Neue" w:eastAsia="Helvetica Neue" w:hAnsi="Helvetica Neue" w:cs="Helvetica Neue"/>
                <w:b/>
              </w:rPr>
              <w:lastRenderedPageBreak/>
              <w:t xml:space="preserve">Warranties, representations: </w:t>
            </w:r>
          </w:p>
        </w:tc>
        <w:tc>
          <w:tcPr>
            <w:tcW w:w="4076" w:type="pct"/>
          </w:tcPr>
          <w:p w14:paraId="216B0FFE" w14:textId="2858B086" w:rsidR="00E43E57" w:rsidRPr="0080403F" w:rsidRDefault="00E43E57" w:rsidP="00E43E57">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p w14:paraId="235147D6" w14:textId="60262C03" w:rsidR="0001459B" w:rsidRPr="0080403F" w:rsidRDefault="0001459B">
            <w:pPr>
              <w:spacing w:after="0" w:line="240" w:lineRule="auto"/>
              <w:rPr>
                <w:rFonts w:ascii="Helvetica Neue" w:eastAsia="Helvetica Neue" w:hAnsi="Helvetica Neue" w:cs="Helvetica Neue"/>
              </w:rPr>
            </w:pPr>
          </w:p>
        </w:tc>
      </w:tr>
      <w:tr w:rsidR="0001459B" w:rsidRPr="0080403F" w14:paraId="277C2298" w14:textId="77777777" w:rsidTr="0073370E">
        <w:tc>
          <w:tcPr>
            <w:tcW w:w="924" w:type="pct"/>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4076" w:type="pct"/>
          </w:tcPr>
          <w:p w14:paraId="41E91FF7" w14:textId="3681AE4F" w:rsidR="0001459B" w:rsidRPr="0080403F" w:rsidRDefault="00E43E57">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6B3662A4" w14:textId="77777777" w:rsidTr="0073370E">
        <w:tc>
          <w:tcPr>
            <w:tcW w:w="924" w:type="pct"/>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4076" w:type="pct"/>
          </w:tcPr>
          <w:p w14:paraId="0BFC5ADC" w14:textId="7053FA61" w:rsidR="0001459B" w:rsidRPr="0080403F" w:rsidRDefault="00E43E5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r w:rsidR="0001459B" w:rsidRPr="0080403F" w14:paraId="47057CF3" w14:textId="77777777" w:rsidTr="0073370E">
        <w:tc>
          <w:tcPr>
            <w:tcW w:w="924" w:type="pct"/>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4076" w:type="pct"/>
          </w:tcPr>
          <w:p w14:paraId="1124ACCA" w14:textId="2718F926" w:rsidR="0001459B" w:rsidRPr="0080403F" w:rsidRDefault="00E43E57">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1459B" w:rsidRPr="0080403F" w14:paraId="73E6EE92" w14:textId="77777777" w:rsidTr="0073370E">
        <w:tc>
          <w:tcPr>
            <w:tcW w:w="924" w:type="pct"/>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4076" w:type="pct"/>
          </w:tcPr>
          <w:p w14:paraId="43281629" w14:textId="37C2D55A" w:rsidR="0001459B" w:rsidRPr="0080403F" w:rsidRDefault="00E43E57">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Not Applicable.</w:t>
            </w:r>
          </w:p>
        </w:tc>
      </w:tr>
      <w:tr w:rsidR="0001459B" w:rsidRPr="0080403F" w14:paraId="7D30D174" w14:textId="77777777" w:rsidTr="0073370E">
        <w:tc>
          <w:tcPr>
            <w:tcW w:w="924" w:type="pct"/>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4076" w:type="pct"/>
          </w:tcPr>
          <w:p w14:paraId="34821372" w14:textId="2F212C7A" w:rsidR="0001459B" w:rsidRPr="0080403F" w:rsidRDefault="004E0974" w:rsidP="00A4136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Confirm whether either Annex 1 or Annex 2 of Sche</w:t>
            </w:r>
            <w:r w:rsidR="00A41364">
              <w:rPr>
                <w:rFonts w:ascii="Helvetica Neue" w:eastAsia="Helvetica Neue" w:hAnsi="Helvetica Neue" w:cs="Helvetica Neue"/>
                <w:color w:val="353535"/>
              </w:rPr>
              <w:t>dule 7 is being used: Annex 1</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796B61B3" w:rsidR="0001459B" w:rsidRPr="0080403F" w:rsidRDefault="00C63B0A">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REDACTED INFORMATION</w:t>
            </w:r>
          </w:p>
        </w:tc>
        <w:tc>
          <w:tcPr>
            <w:tcW w:w="4170" w:type="dxa"/>
            <w:tcMar>
              <w:top w:w="100" w:type="dxa"/>
              <w:left w:w="100" w:type="dxa"/>
              <w:bottom w:w="100" w:type="dxa"/>
              <w:right w:w="100" w:type="dxa"/>
            </w:tcMar>
          </w:tcPr>
          <w:p w14:paraId="4DE3E778" w14:textId="2E50D64A" w:rsidR="0001459B" w:rsidRPr="0080403F" w:rsidRDefault="00C63B0A">
            <w:pPr>
              <w:spacing w:after="0" w:line="240" w:lineRule="auto"/>
              <w:rPr>
                <w:rFonts w:ascii="Helvetica Neue" w:eastAsia="Helvetica Neue" w:hAnsi="Helvetica Neue" w:cs="Helvetica Neue"/>
              </w:rPr>
            </w:pPr>
            <w:r>
              <w:rPr>
                <w:rFonts w:ascii="Helvetica Neue" w:eastAsia="Helvetica Neue" w:hAnsi="Helvetica Neue" w:cs="Helvetica Neue"/>
              </w:rPr>
              <w:t>REDACTED INFORMATION</w:t>
            </w:r>
          </w:p>
        </w:tc>
      </w:tr>
      <w:tr w:rsidR="00936D77" w:rsidRPr="0080403F" w14:paraId="73E90C03" w14:textId="77777777">
        <w:tc>
          <w:tcPr>
            <w:tcW w:w="2280" w:type="dxa"/>
            <w:tcMar>
              <w:top w:w="100" w:type="dxa"/>
              <w:left w:w="100" w:type="dxa"/>
              <w:bottom w:w="100" w:type="dxa"/>
              <w:right w:w="100" w:type="dxa"/>
            </w:tcMar>
          </w:tcPr>
          <w:p w14:paraId="03A0CAB8" w14:textId="1EDA54B7" w:rsidR="00936D77" w:rsidRPr="0080403F" w:rsidRDefault="00936D77">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4A8DB582" w14:textId="77777777" w:rsidR="00936D77" w:rsidRPr="00A41364" w:rsidRDefault="00936D77">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39790CB3" w14:textId="03E0232A" w:rsidR="00936D77" w:rsidRDefault="000D466F">
            <w:pPr>
              <w:spacing w:after="0" w:line="240" w:lineRule="auto"/>
              <w:rPr>
                <w:rFonts w:ascii="Helvetica Neue" w:eastAsia="Helvetica Neue" w:hAnsi="Helvetica Neue" w:cs="Helvetica Neue"/>
              </w:rPr>
            </w:pPr>
            <w:r>
              <w:rPr>
                <w:rFonts w:ascii="Helvetica Neue" w:eastAsia="Helvetica Neue" w:hAnsi="Helvetica Neue" w:cs="Helvetica Neue"/>
              </w:rPr>
              <w:t>Deputy Director Strategic Delivery, DSD CCS</w:t>
            </w: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6A4A99B2"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33BA768B"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005D0E7A" w14:textId="7A66FE34" w:rsidR="0001459B" w:rsidRDefault="004E0974" w:rsidP="00B629AB">
      <w:pPr>
        <w:pStyle w:val="Heading2"/>
        <w:rPr>
          <w:rFonts w:ascii="Helvetica Neue" w:eastAsia="Helvetica Neue" w:hAnsi="Helvetica Neue" w:cs="Helvetica Neue"/>
          <w:b/>
          <w:sz w:val="32"/>
          <w:szCs w:val="32"/>
        </w:rPr>
      </w:pPr>
      <w:bookmarkStart w:id="31" w:name="_Toc12278070"/>
      <w:r w:rsidRPr="0080403F">
        <w:rPr>
          <w:rFonts w:ascii="Helvetica Neue" w:eastAsia="Helvetica Neue" w:hAnsi="Helvetica Neue" w:cs="Helvetica Neue"/>
          <w:b/>
          <w:sz w:val="32"/>
          <w:szCs w:val="32"/>
        </w:rPr>
        <w:t>Schedule 1 - Services</w:t>
      </w:r>
      <w:bookmarkEnd w:id="31"/>
    </w:p>
    <w:p w14:paraId="0636E588" w14:textId="443798DB" w:rsidR="00B629AB" w:rsidRDefault="00B629AB" w:rsidP="00B629AB">
      <w:r>
        <w:t xml:space="preserve">Project scope includes, but is not limited to the following items: </w:t>
      </w:r>
    </w:p>
    <w:p w14:paraId="03105073" w14:textId="77777777" w:rsidR="00B629AB" w:rsidRDefault="00B629AB" w:rsidP="00B629AB">
      <w:pPr>
        <w:widowControl/>
        <w:numPr>
          <w:ilvl w:val="0"/>
          <w:numId w:val="109"/>
        </w:numPr>
        <w:spacing w:line="240" w:lineRule="auto"/>
        <w:ind w:left="1170" w:hanging="540"/>
      </w:pPr>
      <w:r>
        <w:t>Development and implementation of a system to manage evidential material required to support the procurement process across CCS and wider Government systems (all current and future CCS systems, with additional consideration for wider government services).</w:t>
      </w:r>
    </w:p>
    <w:p w14:paraId="23EB0E8A" w14:textId="77777777" w:rsidR="00B629AB" w:rsidRDefault="00B629AB" w:rsidP="00B629AB">
      <w:pPr>
        <w:widowControl/>
        <w:numPr>
          <w:ilvl w:val="0"/>
          <w:numId w:val="109"/>
        </w:numPr>
        <w:spacing w:line="240" w:lineRule="auto"/>
        <w:ind w:left="1170" w:hanging="540"/>
      </w:pPr>
      <w:r>
        <w:t>Ability to store, link, process and reference documentary and electronic material required to support the evidence process.</w:t>
      </w:r>
    </w:p>
    <w:p w14:paraId="0B9997E9" w14:textId="77777777" w:rsidR="00B629AB" w:rsidRDefault="00B629AB" w:rsidP="00B629AB">
      <w:pPr>
        <w:widowControl/>
        <w:numPr>
          <w:ilvl w:val="0"/>
          <w:numId w:val="109"/>
        </w:numPr>
        <w:spacing w:line="240" w:lineRule="auto"/>
        <w:ind w:left="1170" w:hanging="540"/>
      </w:pPr>
      <w:r>
        <w:t>Designed and implemented to be secure to industry best practice.</w:t>
      </w:r>
    </w:p>
    <w:p w14:paraId="1E656C9C" w14:textId="77777777" w:rsidR="00B629AB" w:rsidRDefault="00B629AB" w:rsidP="00B629AB">
      <w:pPr>
        <w:widowControl/>
        <w:numPr>
          <w:ilvl w:val="0"/>
          <w:numId w:val="109"/>
        </w:numPr>
        <w:spacing w:line="240" w:lineRule="auto"/>
        <w:ind w:left="1170" w:hanging="540"/>
      </w:pPr>
      <w:r>
        <w:t xml:space="preserve">Bulk data upload facility (for internal </w:t>
      </w:r>
      <w:proofErr w:type="gramStart"/>
      <w:r>
        <w:t>IdP</w:t>
      </w:r>
      <w:proofErr w:type="gramEnd"/>
      <w:r>
        <w:t xml:space="preserve"> users).</w:t>
      </w:r>
    </w:p>
    <w:p w14:paraId="34046188" w14:textId="77777777" w:rsidR="00B629AB" w:rsidRDefault="00B629AB" w:rsidP="00B629AB">
      <w:pPr>
        <w:widowControl/>
        <w:numPr>
          <w:ilvl w:val="0"/>
          <w:numId w:val="109"/>
        </w:numPr>
        <w:spacing w:line="240" w:lineRule="auto"/>
        <w:ind w:left="1170" w:hanging="540"/>
      </w:pPr>
      <w:r>
        <w:t>Unlimited API integration capability.</w:t>
      </w:r>
    </w:p>
    <w:p w14:paraId="271E757A" w14:textId="77777777" w:rsidR="00B629AB" w:rsidRDefault="00B629AB" w:rsidP="00B629AB">
      <w:pPr>
        <w:widowControl/>
        <w:numPr>
          <w:ilvl w:val="0"/>
          <w:numId w:val="109"/>
        </w:numPr>
        <w:spacing w:line="240" w:lineRule="auto"/>
        <w:ind w:left="1170" w:hanging="540"/>
      </w:pPr>
      <w:r>
        <w:t>Performing user testing prior to final signoff and product release</w:t>
      </w:r>
      <w:r>
        <w:rPr>
          <w:highlight w:val="yellow"/>
        </w:rPr>
        <w:t xml:space="preserve"> </w:t>
      </w:r>
    </w:p>
    <w:p w14:paraId="568D7F58" w14:textId="77777777" w:rsidR="00B629AB" w:rsidRDefault="00B629AB" w:rsidP="00B629AB">
      <w:pPr>
        <w:widowControl/>
        <w:numPr>
          <w:ilvl w:val="0"/>
          <w:numId w:val="109"/>
        </w:numPr>
        <w:spacing w:line="240" w:lineRule="auto"/>
        <w:ind w:left="1170" w:hanging="540"/>
      </w:pPr>
      <w:r>
        <w:t xml:space="preserve">Integration with Central Identity Index Service (CII) - central index to identify organisations using external registers and indexes </w:t>
      </w:r>
    </w:p>
    <w:p w14:paraId="0D5B2B63" w14:textId="77777777" w:rsidR="00B629AB" w:rsidRDefault="00B629AB" w:rsidP="00B629AB">
      <w:pPr>
        <w:widowControl/>
        <w:numPr>
          <w:ilvl w:val="0"/>
          <w:numId w:val="109"/>
        </w:numPr>
        <w:spacing w:line="240" w:lineRule="auto"/>
        <w:ind w:left="1170" w:hanging="540"/>
      </w:pPr>
      <w:r>
        <w:t>Microservices architecture as detailed below (section 6.1)</w:t>
      </w:r>
    </w:p>
    <w:p w14:paraId="5C32F7EA" w14:textId="4B81F9EA" w:rsidR="00B629AB" w:rsidRDefault="00B629AB" w:rsidP="00B629AB">
      <w:r>
        <w:t>The system shall be capable of internationalisation.  Specifically, all front end and public access elements of the system must at a minimum be available in both English and Welsh languages (in compliance with ‘</w:t>
      </w:r>
      <w:r>
        <w:rPr>
          <w:color w:val="1F1F1F"/>
          <w:highlight w:val="white"/>
        </w:rPr>
        <w:t>Welsh Language (Wales) Measure 2011’)</w:t>
      </w:r>
      <w:r>
        <w:t>.</w:t>
      </w:r>
    </w:p>
    <w:p w14:paraId="545D7068" w14:textId="1F71ADCF" w:rsidR="00B629AB" w:rsidRDefault="00B629AB" w:rsidP="00B629AB"/>
    <w:p w14:paraId="00455A48" w14:textId="77777777" w:rsidR="00B629AB" w:rsidRPr="00B629AB" w:rsidRDefault="00B629AB" w:rsidP="00B629AB">
      <w:pPr>
        <w:pStyle w:val="Heading2"/>
        <w:keepNext w:val="0"/>
        <w:keepLines w:val="0"/>
        <w:widowControl/>
        <w:jc w:val="left"/>
        <w:rPr>
          <w:b/>
          <w:sz w:val="24"/>
          <w:szCs w:val="24"/>
        </w:rPr>
      </w:pPr>
      <w:r w:rsidRPr="00B629AB">
        <w:rPr>
          <w:b/>
          <w:sz w:val="24"/>
          <w:szCs w:val="24"/>
        </w:rPr>
        <w:t>High-Level Requirements</w:t>
      </w:r>
    </w:p>
    <w:p w14:paraId="2C5A50C9" w14:textId="36099428" w:rsidR="00A13742" w:rsidRPr="00B629AB" w:rsidRDefault="00C63B0A" w:rsidP="00C63B0A">
      <w:pPr>
        <w:jc w:val="center"/>
      </w:pPr>
      <w:bookmarkStart w:id="32" w:name="_ihai9vgld1yn" w:colFirst="0" w:colLast="0"/>
      <w:bookmarkEnd w:id="32"/>
      <w:r>
        <w:rPr>
          <w:rFonts w:ascii="Helvetica Neue" w:eastAsia="Helvetica Neue" w:hAnsi="Helvetica Neue" w:cs="Helvetica Neue"/>
        </w:rPr>
        <w:t>REDACTED INFORMATION</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33" w:name="_Toc12278071"/>
      <w:r w:rsidRPr="0080403F">
        <w:rPr>
          <w:rFonts w:ascii="Helvetica Neue" w:eastAsia="Helvetica Neue" w:hAnsi="Helvetica Neue" w:cs="Helvetica Neue"/>
          <w:b/>
          <w:sz w:val="32"/>
          <w:szCs w:val="32"/>
        </w:rPr>
        <w:t>Schedule 2 - Call-Off Contract charges</w:t>
      </w:r>
      <w:bookmarkEnd w:id="33"/>
    </w:p>
    <w:p w14:paraId="11B04885" w14:textId="5212F81B" w:rsidR="00A13742" w:rsidRPr="00A13742" w:rsidRDefault="004E0974" w:rsidP="00A13742">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E6F565A" w14:textId="717A72D1" w:rsidR="0001459B" w:rsidRPr="0080403F" w:rsidRDefault="0001459B">
      <w:pPr>
        <w:spacing w:after="0"/>
        <w:rPr>
          <w:rFonts w:ascii="Helvetica Neue" w:eastAsia="Helvetica Neue" w:hAnsi="Helvetica Neue" w:cs="Helvetica Neue"/>
          <w:b/>
        </w:rPr>
      </w:pPr>
    </w:p>
    <w:p w14:paraId="01939DDC" w14:textId="6C6D4133" w:rsidR="00920596" w:rsidRPr="0080403F" w:rsidRDefault="00C63B0A" w:rsidP="00C63B0A">
      <w:pPr>
        <w:spacing w:after="0"/>
        <w:jc w:val="center"/>
        <w:rPr>
          <w:rFonts w:ascii="Helvetica Neue" w:eastAsia="Helvetica Neue" w:hAnsi="Helvetica Neue" w:cs="Helvetica Neue"/>
          <w:b/>
        </w:rPr>
      </w:pPr>
      <w:r>
        <w:rPr>
          <w:rFonts w:ascii="Helvetica Neue" w:eastAsia="Helvetica Neue" w:hAnsi="Helvetica Neue" w:cs="Helvetica Neue"/>
        </w:rPr>
        <w:t>REDACTED INFORMATION</w:t>
      </w:r>
    </w:p>
    <w:p w14:paraId="25EFB38B" w14:textId="12AEB0E7" w:rsidR="00920596" w:rsidRPr="0080403F" w:rsidRDefault="00920596">
      <w:pPr>
        <w:spacing w:after="0"/>
        <w:rPr>
          <w:rFonts w:ascii="Helvetica Neue" w:eastAsia="Helvetica Neue" w:hAnsi="Helvetica Neue" w:cs="Helvetica Neue"/>
          <w:b/>
        </w:rPr>
      </w:pPr>
    </w:p>
    <w:p w14:paraId="640B4FCC" w14:textId="7EFCEB4D" w:rsidR="00920596" w:rsidRPr="0080403F" w:rsidRDefault="00920596">
      <w:pPr>
        <w:spacing w:after="0"/>
        <w:rPr>
          <w:rFonts w:ascii="Helvetica Neue" w:eastAsia="Helvetica Neue" w:hAnsi="Helvetica Neue" w:cs="Helvetica Neue"/>
          <w:b/>
        </w:rPr>
      </w:pPr>
    </w:p>
    <w:p w14:paraId="143BE789" w14:textId="176373B0" w:rsidR="00920596" w:rsidRPr="0080403F" w:rsidRDefault="00920596">
      <w:pPr>
        <w:spacing w:after="0"/>
        <w:rPr>
          <w:rFonts w:ascii="Helvetica Neue" w:eastAsia="Helvetica Neue" w:hAnsi="Helvetica Neue" w:cs="Helvetica Neue"/>
          <w:b/>
        </w:rPr>
      </w:pPr>
    </w:p>
    <w:p w14:paraId="2C2488D5" w14:textId="1B2AF7BC" w:rsidR="00920596" w:rsidRPr="0080403F" w:rsidRDefault="00920596">
      <w:pPr>
        <w:spacing w:after="0"/>
        <w:rPr>
          <w:rFonts w:ascii="Helvetica Neue" w:eastAsia="Helvetica Neue" w:hAnsi="Helvetica Neue" w:cs="Helvetica Neue"/>
          <w:b/>
        </w:rPr>
      </w:pPr>
    </w:p>
    <w:p w14:paraId="75D7E040" w14:textId="30DDAB55"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34" w:name="_Toc12278072"/>
      <w:r w:rsidRPr="0080403F">
        <w:rPr>
          <w:rFonts w:ascii="Helvetica Neue" w:eastAsia="Helvetica Neue" w:hAnsi="Helvetica Neue" w:cs="Helvetica Neue"/>
          <w:b/>
          <w:sz w:val="32"/>
          <w:szCs w:val="32"/>
        </w:rPr>
        <w:t>Part B - Terms and conditions</w:t>
      </w:r>
      <w:bookmarkEnd w:id="34"/>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5" w:name="_Toc12278073"/>
      <w:r w:rsidRPr="0080403F">
        <w:rPr>
          <w:rFonts w:ascii="Helvetica Neue" w:eastAsia="Helvetica Neue" w:hAnsi="Helvetica Neue" w:cs="Helvetica Neue"/>
          <w:color w:val="000000"/>
          <w:sz w:val="28"/>
          <w:szCs w:val="28"/>
        </w:rPr>
        <w:t>1. Call-Off Contract start date and length</w:t>
      </w:r>
      <w:bookmarkEnd w:id="35"/>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sidRPr="0080403F">
        <w:rPr>
          <w:rFonts w:ascii="Helvetica Neue" w:eastAsia="Helvetica Neue" w:hAnsi="Helvetica Neue" w:cs="Helvetica Neue"/>
        </w:rPr>
        <w:t>Ended</w:t>
      </w:r>
      <w:proofErr w:type="gramEnd"/>
      <w:r w:rsidRPr="0080403F">
        <w:rPr>
          <w:rFonts w:ascii="Helvetica Neue" w:eastAsia="Helvetica Neue" w:hAnsi="Helvetica Neue" w:cs="Helvetica Neue"/>
        </w:rPr>
        <w:t xml:space="preserve">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6" w:name="_Toc12278074"/>
      <w:r w:rsidRPr="0080403F">
        <w:rPr>
          <w:rFonts w:ascii="Helvetica Neue" w:eastAsia="Helvetica Neue" w:hAnsi="Helvetica Neue" w:cs="Helvetica Neue"/>
          <w:color w:val="000000"/>
          <w:sz w:val="28"/>
          <w:szCs w:val="28"/>
        </w:rPr>
        <w:t>2. Incorporation of terms</w:t>
      </w:r>
      <w:bookmarkEnd w:id="36"/>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147n2zr" w:colFirst="0" w:colLast="0"/>
      <w:bookmarkEnd w:id="37"/>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3o7alnk" w:colFirst="0" w:colLast="0"/>
      <w:bookmarkEnd w:id="38"/>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23ckvvd" w:colFirst="0" w:colLast="0"/>
      <w:bookmarkEnd w:id="39"/>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ihv636" w:colFirst="0" w:colLast="0"/>
      <w:bookmarkEnd w:id="40"/>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32hioqz" w:colFirst="0" w:colLast="0"/>
      <w:bookmarkEnd w:id="41"/>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1hmsyys" w:colFirst="0" w:colLast="0"/>
      <w:bookmarkEnd w:id="42"/>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41mghml" w:colFirst="0" w:colLast="0"/>
      <w:bookmarkEnd w:id="43"/>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2grqrue" w:colFirst="0" w:colLast="0"/>
      <w:bookmarkEnd w:id="44"/>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vx1227" w:colFirst="0" w:colLast="0"/>
      <w:bookmarkEnd w:id="45"/>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3fwokq0" w:colFirst="0" w:colLast="0"/>
      <w:bookmarkEnd w:id="46"/>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1v1yuxt" w:colFirst="0" w:colLast="0"/>
      <w:bookmarkEnd w:id="47"/>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4f1mdlm" w:colFirst="0" w:colLast="0"/>
      <w:bookmarkEnd w:id="48"/>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2u6wntf" w:colFirst="0" w:colLast="0"/>
      <w:bookmarkEnd w:id="49"/>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19c6y18" w:colFirst="0" w:colLast="0"/>
      <w:bookmarkEnd w:id="50"/>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3tbugp1" w:colFirst="0" w:colLast="0"/>
      <w:bookmarkEnd w:id="51"/>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28h4qwu" w:colFirst="0" w:colLast="0"/>
      <w:bookmarkEnd w:id="52"/>
      <w:r w:rsidRPr="0080403F">
        <w:rPr>
          <w:rFonts w:ascii="Helvetica Neue" w:eastAsia="Helvetica Neue" w:hAnsi="Helvetica Neue" w:cs="Helvetica Neue"/>
        </w:rPr>
        <w:lastRenderedPageBreak/>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nmf14n" w:colFirst="0" w:colLast="0"/>
      <w:bookmarkEnd w:id="53"/>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37m2jsg" w:colFirst="0" w:colLast="0"/>
      <w:bookmarkEnd w:id="54"/>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55" w:name="_1mrcu09" w:colFirst="0" w:colLast="0"/>
      <w:bookmarkEnd w:id="55"/>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56" w:name="_46r0co2" w:colFirst="0" w:colLast="0"/>
      <w:bookmarkEnd w:id="56"/>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7" w:name="_2lwamvv" w:colFirst="0" w:colLast="0"/>
      <w:bookmarkEnd w:id="57"/>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8" w:name="_111kx3o" w:colFirst="0" w:colLast="0"/>
      <w:bookmarkEnd w:id="58"/>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9" w:name="_3l18frh" w:colFirst="0" w:colLast="0"/>
      <w:bookmarkEnd w:id="59"/>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60" w:name="_206ipza" w:colFirst="0" w:colLast="0"/>
      <w:bookmarkEnd w:id="60"/>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61" w:name="_4k668n3" w:colFirst="0" w:colLast="0"/>
      <w:bookmarkEnd w:id="61"/>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62" w:name="_2zbgiuw" w:colFirst="0" w:colLast="0"/>
      <w:bookmarkEnd w:id="62"/>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63" w:name="_1egqt2p" w:colFirst="0" w:colLast="0"/>
      <w:bookmarkEnd w:id="63"/>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64" w:name="_3ygebqi" w:colFirst="0" w:colLast="0"/>
      <w:bookmarkEnd w:id="64"/>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65" w:name="_2dlolyb" w:colFirst="0" w:colLast="0"/>
      <w:bookmarkEnd w:id="65"/>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66" w:name="_sqyw64" w:colFirst="0" w:colLast="0"/>
      <w:bookmarkEnd w:id="66"/>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7" w:name="_Toc12278075"/>
      <w:r w:rsidRPr="009E4569">
        <w:rPr>
          <w:rFonts w:ascii="Helvetica Neue" w:eastAsia="Helvetica Neue" w:hAnsi="Helvetica Neue" w:cs="Helvetica Neue"/>
          <w:color w:val="000000"/>
          <w:sz w:val="28"/>
          <w:szCs w:val="28"/>
        </w:rPr>
        <w:t>3. Supply of services</w:t>
      </w:r>
      <w:bookmarkEnd w:id="67"/>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8" w:name="_Toc12278076"/>
      <w:r w:rsidRPr="009E4569">
        <w:rPr>
          <w:rFonts w:ascii="Helvetica Neue" w:eastAsia="Helvetica Neue" w:hAnsi="Helvetica Neue" w:cs="Helvetica Neue"/>
          <w:color w:val="000000"/>
          <w:sz w:val="28"/>
          <w:szCs w:val="28"/>
        </w:rPr>
        <w:t>4. Supplier staff</w:t>
      </w:r>
      <w:bookmarkEnd w:id="68"/>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End this Call-Off Contract for Material Breach if the Supplier is delivering the Services </w:t>
      </w:r>
      <w:proofErr w:type="gramStart"/>
      <w:r w:rsidRPr="0080403F">
        <w:rPr>
          <w:rFonts w:ascii="Helvetica Neue" w:eastAsia="Helvetica Neue" w:hAnsi="Helvetica Neue" w:cs="Helvetica Neue"/>
        </w:rPr>
        <w:t>Inside</w:t>
      </w:r>
      <w:proofErr w:type="gramEnd"/>
      <w:r w:rsidRPr="0080403F">
        <w:rPr>
          <w:rFonts w:ascii="Helvetica Neue" w:eastAsia="Helvetica Neue" w:hAnsi="Helvetica Neue" w:cs="Helvetica Neue"/>
        </w:rPr>
        <w:t xml:space="preserv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9" w:name="_Toc12278077"/>
      <w:r w:rsidRPr="0080403F">
        <w:rPr>
          <w:rFonts w:ascii="Helvetica Neue" w:eastAsia="Helvetica Neue" w:hAnsi="Helvetica Neue" w:cs="Helvetica Neue"/>
          <w:color w:val="000000"/>
          <w:sz w:val="28"/>
          <w:szCs w:val="28"/>
        </w:rPr>
        <w:t>5. Due diligence</w:t>
      </w:r>
      <w:bookmarkEnd w:id="69"/>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70" w:name="_Toc12278078"/>
      <w:r w:rsidRPr="0080403F">
        <w:rPr>
          <w:rFonts w:ascii="Helvetica Neue" w:eastAsia="Helvetica Neue" w:hAnsi="Helvetica Neue" w:cs="Helvetica Neue"/>
          <w:color w:val="000000"/>
          <w:sz w:val="28"/>
          <w:szCs w:val="28"/>
        </w:rPr>
        <w:t>6. Business continuity and disaster recovery</w:t>
      </w:r>
      <w:bookmarkEnd w:id="70"/>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71" w:name="_Toc12278079"/>
      <w:r w:rsidRPr="0080403F">
        <w:rPr>
          <w:rFonts w:ascii="Helvetica Neue" w:eastAsia="Helvetica Neue" w:hAnsi="Helvetica Neue" w:cs="Helvetica Neue"/>
          <w:color w:val="000000"/>
          <w:sz w:val="28"/>
          <w:szCs w:val="28"/>
        </w:rPr>
        <w:t>7. Payment, VAT and Call-Off Contract charges</w:t>
      </w:r>
      <w:bookmarkEnd w:id="71"/>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w:t>
      </w:r>
      <w:r w:rsidRPr="0080403F">
        <w:rPr>
          <w:rFonts w:ascii="Helvetica Neue" w:eastAsia="Helvetica Neue" w:hAnsi="Helvetica Neue" w:cs="Helvetica Neue"/>
        </w:rPr>
        <w:lastRenderedPageBreak/>
        <w:t xml:space="preserve">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72" w:name="_Toc12278080"/>
      <w:r w:rsidRPr="009E4569">
        <w:rPr>
          <w:rFonts w:ascii="Helvetica Neue" w:eastAsia="Helvetica Neue" w:hAnsi="Helvetica Neue" w:cs="Helvetica Neue"/>
          <w:color w:val="000000"/>
          <w:sz w:val="28"/>
          <w:szCs w:val="28"/>
        </w:rPr>
        <w:t>8. Recovery of sums due and right of set-off</w:t>
      </w:r>
      <w:bookmarkEnd w:id="72"/>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73" w:name="_Toc12278081"/>
      <w:r w:rsidRPr="0080403F">
        <w:rPr>
          <w:rFonts w:ascii="Helvetica Neue" w:eastAsia="Helvetica Neue" w:hAnsi="Helvetica Neue" w:cs="Helvetica Neue"/>
          <w:color w:val="000000"/>
          <w:sz w:val="28"/>
          <w:szCs w:val="28"/>
        </w:rPr>
        <w:t>9. Insurance</w:t>
      </w:r>
      <w:bookmarkEnd w:id="73"/>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4" w:name="_Toc12278082"/>
      <w:r w:rsidRPr="0080403F">
        <w:rPr>
          <w:rFonts w:ascii="Helvetica Neue" w:eastAsia="Helvetica Neue" w:hAnsi="Helvetica Neue" w:cs="Helvetica Neue"/>
          <w:color w:val="000000"/>
          <w:sz w:val="28"/>
          <w:szCs w:val="28"/>
        </w:rPr>
        <w:t>10. Confidentiality</w:t>
      </w:r>
      <w:bookmarkEnd w:id="74"/>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5" w:name="_Toc12278083"/>
      <w:r w:rsidRPr="0080403F">
        <w:rPr>
          <w:rFonts w:ascii="Helvetica Neue" w:eastAsia="Helvetica Neue" w:hAnsi="Helvetica Neue" w:cs="Helvetica Neue"/>
          <w:color w:val="000000"/>
          <w:sz w:val="28"/>
          <w:szCs w:val="28"/>
        </w:rPr>
        <w:lastRenderedPageBreak/>
        <w:t>11. Intellectual Property Rights</w:t>
      </w:r>
      <w:bookmarkEnd w:id="75"/>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6" w:name="_Toc12278084"/>
      <w:r w:rsidRPr="0080403F">
        <w:rPr>
          <w:rFonts w:ascii="Helvetica Neue" w:eastAsia="Helvetica Neue" w:hAnsi="Helvetica Neue" w:cs="Helvetica Neue"/>
          <w:color w:val="000000"/>
          <w:sz w:val="28"/>
          <w:szCs w:val="28"/>
        </w:rPr>
        <w:lastRenderedPageBreak/>
        <w:t>12. Protection of information</w:t>
      </w:r>
      <w:bookmarkEnd w:id="76"/>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7" w:name="_Toc12278085"/>
      <w:r w:rsidRPr="0080403F">
        <w:rPr>
          <w:rFonts w:ascii="Helvetica Neue" w:eastAsia="Helvetica Neue" w:hAnsi="Helvetica Neue" w:cs="Helvetica Neue"/>
          <w:color w:val="000000"/>
          <w:sz w:val="28"/>
          <w:szCs w:val="28"/>
        </w:rPr>
        <w:t>13. Buyer data</w:t>
      </w:r>
      <w:bookmarkEnd w:id="77"/>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9">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0">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1">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2">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8" w:name="_43ky6rz" w:colFirst="0" w:colLast="0"/>
      <w:bookmarkEnd w:id="78"/>
      <w:r w:rsidRPr="0080403F">
        <w:rPr>
          <w:rFonts w:ascii="Helvetica Neue" w:eastAsia="Helvetica Neue" w:hAnsi="Helvetica Neue" w:cs="Helvetica Neue"/>
        </w:rPr>
        <w:t xml:space="preserve">the National Cyber Security Centre’s (NCSC) information risk management guidance, available at </w:t>
      </w:r>
      <w:hyperlink r:id="rId13">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4">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5">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6">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7">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18">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9" w:name="_Toc12278086"/>
      <w:r w:rsidRPr="0080403F">
        <w:rPr>
          <w:rFonts w:ascii="Helvetica Neue" w:eastAsia="Helvetica Neue" w:hAnsi="Helvetica Neue" w:cs="Helvetica Neue"/>
          <w:color w:val="000000"/>
          <w:sz w:val="28"/>
          <w:szCs w:val="28"/>
        </w:rPr>
        <w:t>14. Standards and quality</w:t>
      </w:r>
      <w:bookmarkEnd w:id="79"/>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5C1008">
      <w:pPr>
        <w:numPr>
          <w:ilvl w:val="0"/>
          <w:numId w:val="66"/>
        </w:numPr>
        <w:ind w:hanging="724"/>
        <w:rPr>
          <w:rFonts w:ascii="Helvetica Neue" w:eastAsia="Helvetica Neue" w:hAnsi="Helvetica Neue" w:cs="Helvetica Neue"/>
        </w:rPr>
      </w:pPr>
      <w:hyperlink r:id="rId19">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0">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any PSN Services are </w:t>
      </w:r>
      <w:proofErr w:type="gramStart"/>
      <w:r w:rsidRPr="0080403F">
        <w:rPr>
          <w:rFonts w:ascii="Helvetica Neue" w:eastAsia="Helvetica Neue" w:hAnsi="Helvetica Neue" w:cs="Helvetica Neue"/>
        </w:rPr>
        <w:t>Subcontracted</w:t>
      </w:r>
      <w:proofErr w:type="gramEnd"/>
      <w:r w:rsidRPr="0080403F">
        <w:rPr>
          <w:rFonts w:ascii="Helvetica Neue" w:eastAsia="Helvetica Neue" w:hAnsi="Helvetica Neue" w:cs="Helvetica Neue"/>
        </w:rPr>
        <w:t xml:space="preserve">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80" w:name="_Toc12278087"/>
      <w:r w:rsidRPr="0080403F">
        <w:rPr>
          <w:rFonts w:ascii="Helvetica Neue" w:eastAsia="Helvetica Neue" w:hAnsi="Helvetica Neue" w:cs="Helvetica Neue"/>
          <w:color w:val="000000"/>
          <w:sz w:val="28"/>
          <w:szCs w:val="28"/>
        </w:rPr>
        <w:t>15. Open source</w:t>
      </w:r>
      <w:bookmarkEnd w:id="80"/>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81" w:name="_Toc12278088"/>
      <w:r w:rsidRPr="0080403F">
        <w:rPr>
          <w:rFonts w:ascii="Helvetica Neue" w:eastAsia="Helvetica Neue" w:hAnsi="Helvetica Neue" w:cs="Helvetica Neue"/>
          <w:color w:val="000000"/>
          <w:sz w:val="28"/>
          <w:szCs w:val="28"/>
        </w:rPr>
        <w:t>16. Security</w:t>
      </w:r>
      <w:bookmarkEnd w:id="81"/>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2">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82" w:name="_Toc12278089"/>
      <w:r w:rsidRPr="0080403F">
        <w:rPr>
          <w:rFonts w:ascii="Helvetica Neue" w:eastAsia="Helvetica Neue" w:hAnsi="Helvetica Neue" w:cs="Helvetica Neue"/>
          <w:color w:val="000000"/>
          <w:sz w:val="28"/>
          <w:szCs w:val="28"/>
        </w:rPr>
        <w:t>17. Guarantee</w:t>
      </w:r>
      <w:bookmarkEnd w:id="82"/>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83" w:name="_Toc12278090"/>
      <w:r w:rsidRPr="0080403F">
        <w:rPr>
          <w:rFonts w:ascii="Helvetica Neue" w:eastAsia="Helvetica Neue" w:hAnsi="Helvetica Neue" w:cs="Helvetica Neue"/>
          <w:color w:val="000000"/>
          <w:sz w:val="28"/>
          <w:szCs w:val="28"/>
        </w:rPr>
        <w:t>18. Ending the Call-Off Contract</w:t>
      </w:r>
      <w:bookmarkEnd w:id="83"/>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w:t>
      </w:r>
      <w:r w:rsidRPr="0080403F">
        <w:rPr>
          <w:rFonts w:ascii="Helvetica Neue" w:eastAsia="Helvetica Neue" w:hAnsi="Helvetica Neue" w:cs="Helvetica Neue"/>
        </w:rPr>
        <w:lastRenderedPageBreak/>
        <w:t xml:space="preserve">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4" w:name="_Toc12278091"/>
      <w:r w:rsidRPr="0080403F">
        <w:rPr>
          <w:rFonts w:ascii="Helvetica Neue" w:eastAsia="Helvetica Neue" w:hAnsi="Helvetica Neue" w:cs="Helvetica Neue"/>
          <w:color w:val="000000"/>
          <w:sz w:val="28"/>
          <w:szCs w:val="28"/>
        </w:rPr>
        <w:t>19. Consequences of suspension, ending and expiry</w:t>
      </w:r>
      <w:bookmarkEnd w:id="84"/>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5" w:name="_Toc12278092"/>
      <w:r w:rsidRPr="0080403F">
        <w:rPr>
          <w:rFonts w:ascii="Helvetica Neue" w:eastAsia="Helvetica Neue" w:hAnsi="Helvetica Neue" w:cs="Helvetica Neue"/>
          <w:color w:val="000000"/>
          <w:sz w:val="28"/>
          <w:szCs w:val="28"/>
        </w:rPr>
        <w:lastRenderedPageBreak/>
        <w:t>20. Notices</w:t>
      </w:r>
      <w:bookmarkEnd w:id="85"/>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6" w:name="_Toc12278093"/>
      <w:r w:rsidRPr="0080403F">
        <w:rPr>
          <w:rFonts w:ascii="Helvetica Neue" w:eastAsia="Helvetica Neue" w:hAnsi="Helvetica Neue" w:cs="Helvetica Neue"/>
          <w:color w:val="000000"/>
          <w:sz w:val="28"/>
          <w:szCs w:val="28"/>
        </w:rPr>
        <w:t>21. Exit plan</w:t>
      </w:r>
      <w:bookmarkEnd w:id="86"/>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80403F">
        <w:rPr>
          <w:rFonts w:ascii="Helvetica Neue" w:eastAsia="Helvetica Neue" w:hAnsi="Helvetica Neue" w:cs="Helvetica Neue"/>
        </w:rPr>
        <w:t>Ends</w:t>
      </w:r>
      <w:proofErr w:type="gramEnd"/>
      <w:r w:rsidRPr="0080403F">
        <w:rPr>
          <w:rFonts w:ascii="Helvetica Neue" w:eastAsia="Helvetica Neue" w:hAnsi="Helvetica Neue" w:cs="Helvetica Neue"/>
        </w:rPr>
        <w:t xml:space="preserve">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7" w:name="_Toc12278094"/>
      <w:r w:rsidRPr="0080403F">
        <w:rPr>
          <w:rFonts w:ascii="Helvetica Neue" w:eastAsia="Helvetica Neue" w:hAnsi="Helvetica Neue" w:cs="Helvetica Neue"/>
          <w:color w:val="000000"/>
          <w:sz w:val="28"/>
          <w:szCs w:val="28"/>
        </w:rPr>
        <w:t>22. Handover to replacement supplier</w:t>
      </w:r>
      <w:bookmarkEnd w:id="87"/>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8" w:name="_Toc12278095"/>
      <w:r w:rsidRPr="0080403F">
        <w:rPr>
          <w:rFonts w:ascii="Helvetica Neue" w:eastAsia="Helvetica Neue" w:hAnsi="Helvetica Neue" w:cs="Helvetica Neue"/>
          <w:color w:val="000000"/>
          <w:sz w:val="28"/>
          <w:szCs w:val="28"/>
        </w:rPr>
        <w:lastRenderedPageBreak/>
        <w:t>23. Force majeure</w:t>
      </w:r>
      <w:bookmarkEnd w:id="88"/>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9" w:name="_Toc12278096"/>
      <w:r w:rsidRPr="0080403F">
        <w:rPr>
          <w:rFonts w:ascii="Helvetica Neue" w:eastAsia="Helvetica Neue" w:hAnsi="Helvetica Neue" w:cs="Helvetica Neue"/>
          <w:color w:val="000000"/>
          <w:sz w:val="28"/>
          <w:szCs w:val="28"/>
        </w:rPr>
        <w:t>24. Liability</w:t>
      </w:r>
      <w:bookmarkEnd w:id="89"/>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90" w:name="_Toc12278097"/>
      <w:r w:rsidRPr="0080403F">
        <w:rPr>
          <w:rFonts w:ascii="Helvetica Neue" w:eastAsia="Helvetica Neue" w:hAnsi="Helvetica Neue" w:cs="Helvetica Neue"/>
          <w:color w:val="000000"/>
          <w:sz w:val="28"/>
          <w:szCs w:val="28"/>
        </w:rPr>
        <w:t>25. Premises</w:t>
      </w:r>
      <w:bookmarkEnd w:id="90"/>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91" w:name="_Toc12278098"/>
      <w:r w:rsidRPr="0080403F">
        <w:rPr>
          <w:rFonts w:ascii="Helvetica Neue" w:eastAsia="Helvetica Neue" w:hAnsi="Helvetica Neue" w:cs="Helvetica Neue"/>
          <w:color w:val="000000"/>
          <w:sz w:val="28"/>
          <w:szCs w:val="28"/>
        </w:rPr>
        <w:t>26. Equipment</w:t>
      </w:r>
      <w:bookmarkEnd w:id="91"/>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92" w:name="_Toc12278099"/>
      <w:r w:rsidRPr="0080403F">
        <w:rPr>
          <w:rFonts w:ascii="Helvetica Neue" w:eastAsia="Helvetica Neue" w:hAnsi="Helvetica Neue" w:cs="Helvetica Neue"/>
          <w:color w:val="000000"/>
          <w:sz w:val="28"/>
          <w:szCs w:val="28"/>
        </w:rPr>
        <w:t>27. The Contracts (Rights of Third Parties) Act 1999</w:t>
      </w:r>
      <w:bookmarkEnd w:id="92"/>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93" w:name="_Toc12278100"/>
      <w:r w:rsidRPr="0080403F">
        <w:rPr>
          <w:rFonts w:ascii="Helvetica Neue" w:eastAsia="Helvetica Neue" w:hAnsi="Helvetica Neue" w:cs="Helvetica Neue"/>
          <w:color w:val="000000"/>
          <w:sz w:val="28"/>
          <w:szCs w:val="28"/>
        </w:rPr>
        <w:t>28. Environmental requirements</w:t>
      </w:r>
      <w:bookmarkEnd w:id="93"/>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4" w:name="_Toc12278101"/>
      <w:r w:rsidRPr="0080403F">
        <w:rPr>
          <w:rFonts w:ascii="Helvetica Neue" w:eastAsia="Helvetica Neue" w:hAnsi="Helvetica Neue" w:cs="Helvetica Neue"/>
          <w:color w:val="000000"/>
          <w:sz w:val="28"/>
          <w:szCs w:val="28"/>
        </w:rPr>
        <w:t>29. The Employment Regulations (TUPE)</w:t>
      </w:r>
      <w:bookmarkEnd w:id="94"/>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w:t>
      </w:r>
      <w:r w:rsidRPr="0080403F">
        <w:rPr>
          <w:rFonts w:ascii="Helvetica Neue" w:eastAsia="Helvetica Neue" w:hAnsi="Helvetica Neue" w:cs="Helvetica Neue"/>
        </w:rPr>
        <w:lastRenderedPageBreak/>
        <w:t>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The provisions of this clause apply during the Term of this Call-Off Contract and indefinitely after it </w:t>
      </w:r>
      <w:proofErr w:type="gramStart"/>
      <w:r w:rsidRPr="0080403F">
        <w:rPr>
          <w:rFonts w:ascii="Helvetica Neue" w:eastAsia="Helvetica Neue" w:hAnsi="Helvetica Neue" w:cs="Helvetica Neue"/>
        </w:rPr>
        <w:t>Ends</w:t>
      </w:r>
      <w:proofErr w:type="gramEnd"/>
      <w:r w:rsidRPr="0080403F">
        <w:rPr>
          <w:rFonts w:ascii="Helvetica Neue" w:eastAsia="Helvetica Neue" w:hAnsi="Helvetica Neue" w:cs="Helvetica Neue"/>
        </w:rPr>
        <w:t xml:space="preserve">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5" w:name="_Toc12278102"/>
      <w:r w:rsidRPr="0080403F">
        <w:rPr>
          <w:rFonts w:ascii="Helvetica Neue" w:eastAsia="Helvetica Neue" w:hAnsi="Helvetica Neue" w:cs="Helvetica Neue"/>
          <w:color w:val="000000"/>
          <w:sz w:val="28"/>
          <w:szCs w:val="28"/>
        </w:rPr>
        <w:t>30. Additional G-Cloud services</w:t>
      </w:r>
      <w:bookmarkEnd w:id="95"/>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6" w:name="_Toc12278103"/>
      <w:r w:rsidRPr="0080403F">
        <w:rPr>
          <w:rFonts w:ascii="Helvetica Neue" w:eastAsia="Helvetica Neue" w:hAnsi="Helvetica Neue" w:cs="Helvetica Neue"/>
          <w:color w:val="000000"/>
          <w:sz w:val="28"/>
          <w:szCs w:val="28"/>
        </w:rPr>
        <w:t>31. Collaboration</w:t>
      </w:r>
      <w:bookmarkEnd w:id="96"/>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7" w:name="_Toc12278104"/>
      <w:r w:rsidRPr="0080403F">
        <w:rPr>
          <w:rFonts w:ascii="Helvetica Neue" w:eastAsia="Helvetica Neue" w:hAnsi="Helvetica Neue" w:cs="Helvetica Neue"/>
          <w:color w:val="000000"/>
          <w:sz w:val="28"/>
          <w:szCs w:val="28"/>
        </w:rPr>
        <w:t>32. Variation process</w:t>
      </w:r>
      <w:bookmarkEnd w:id="97"/>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notify the Buyer immediately in writing of any proposed changes to their </w:t>
      </w:r>
      <w:r w:rsidRPr="0080403F">
        <w:rPr>
          <w:rFonts w:ascii="Helvetica Neue" w:eastAsia="Helvetica Neue" w:hAnsi="Helvetica Neue" w:cs="Helvetica Neue"/>
        </w:rPr>
        <w:lastRenderedPageBreak/>
        <w:t>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8" w:name="_Toc12278105"/>
      <w:r w:rsidRPr="0080403F">
        <w:rPr>
          <w:rFonts w:ascii="Helvetica Neue" w:eastAsia="Helvetica Neue" w:hAnsi="Helvetica Neue" w:cs="Helvetica Neue"/>
          <w:color w:val="000000"/>
          <w:sz w:val="28"/>
          <w:szCs w:val="28"/>
        </w:rPr>
        <w:t>33. Data Protection Legislation (GDPR)</w:t>
      </w:r>
      <w:bookmarkEnd w:id="98"/>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9" w:name="_Toc12278106"/>
      <w:r w:rsidRPr="0080403F">
        <w:rPr>
          <w:rFonts w:ascii="Helvetica Neue" w:eastAsia="Helvetica Neue" w:hAnsi="Helvetica Neue" w:cs="Helvetica Neue"/>
          <w:b/>
          <w:sz w:val="32"/>
          <w:szCs w:val="32"/>
        </w:rPr>
        <w:lastRenderedPageBreak/>
        <w:t>Schedule 3 - Collaboration agreement</w:t>
      </w:r>
      <w:bookmarkEnd w:id="99"/>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00" w:name="_2fk6b3p" w:colFirst="0" w:colLast="0"/>
      <w:bookmarkEnd w:id="100"/>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proofErr w:type="gramStart"/>
      <w:r w:rsidRPr="0080403F">
        <w:rPr>
          <w:rFonts w:ascii="Helvetica Neue" w:eastAsia="Helvetica Neue" w:hAnsi="Helvetica Neue" w:cs="Helvetica Neue"/>
          <w:color w:val="000000"/>
          <w:sz w:val="20"/>
          <w:szCs w:val="20"/>
        </w:rPr>
        <w:t>between</w:t>
      </w:r>
      <w:proofErr w:type="gramEnd"/>
      <w:r w:rsidRPr="0080403F">
        <w:rPr>
          <w:rFonts w:ascii="Helvetica Neue" w:eastAsia="Helvetica Neue" w:hAnsi="Helvetica Neue" w:cs="Helvetica Neue"/>
          <w:color w:val="000000"/>
          <w:sz w:val="20"/>
          <w:szCs w:val="20"/>
        </w:rPr>
        <w:t>:</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proofErr w:type="gramStart"/>
      <w:r w:rsidRPr="0080403F">
        <w:rPr>
          <w:rFonts w:ascii="Helvetica Neue" w:eastAsia="Helvetica Neue" w:hAnsi="Helvetica Neue" w:cs="Helvetica Neue"/>
          <w:color w:val="000000"/>
          <w:sz w:val="20"/>
          <w:szCs w:val="20"/>
        </w:rPr>
        <w:t>together</w:t>
      </w:r>
      <w:proofErr w:type="gramEnd"/>
      <w:r w:rsidRPr="0080403F">
        <w:rPr>
          <w:rFonts w:ascii="Helvetica Neue" w:eastAsia="Helvetica Neue" w:hAnsi="Helvetica Neue" w:cs="Helvetica Neue"/>
          <w:color w:val="000000"/>
          <w:sz w:val="20"/>
          <w:szCs w:val="20"/>
        </w:rPr>
        <w:t xml:space="preserve">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101" w:name="_Toc12278107"/>
      <w:r w:rsidRPr="0080403F">
        <w:rPr>
          <w:rFonts w:ascii="Helvetica Neue" w:eastAsia="Helvetica Neue" w:hAnsi="Helvetica Neue" w:cs="Helvetica Neue"/>
          <w:b/>
        </w:rPr>
        <w:t>1. Definitions and interpretation</w:t>
      </w:r>
      <w:bookmarkEnd w:id="101"/>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326D966D" w:rsidR="0001459B" w:rsidRPr="0080403F" w:rsidRDefault="00FE5D21">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“Effective Date” means 18</w:t>
      </w:r>
      <w:r w:rsidRPr="00FE5D21">
        <w:rPr>
          <w:rFonts w:ascii="Helvetica Neue" w:eastAsia="Helvetica Neue" w:hAnsi="Helvetica Neue" w:cs="Helvetica Neue"/>
          <w:color w:val="000000"/>
          <w:sz w:val="20"/>
          <w:szCs w:val="20"/>
          <w:vertAlign w:val="superscript"/>
        </w:rPr>
        <w:t>th</w:t>
      </w:r>
      <w:r>
        <w:rPr>
          <w:rFonts w:ascii="Helvetica Neue" w:eastAsia="Helvetica Neue" w:hAnsi="Helvetica Neue" w:cs="Helvetica Neue"/>
          <w:color w:val="000000"/>
          <w:sz w:val="20"/>
          <w:szCs w:val="20"/>
        </w:rPr>
        <w:t xml:space="preserve"> February 2020</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102" w:name="_Toc12278108"/>
      <w:r w:rsidRPr="0080403F">
        <w:rPr>
          <w:rFonts w:ascii="Helvetica Neue" w:eastAsia="Helvetica Neue" w:hAnsi="Helvetica Neue" w:cs="Helvetica Neue"/>
          <w:b/>
        </w:rPr>
        <w:t>2. Term of the agreement</w:t>
      </w:r>
      <w:bookmarkEnd w:id="102"/>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103" w:name="_Toc12278109"/>
      <w:r w:rsidRPr="0080403F">
        <w:rPr>
          <w:rFonts w:ascii="Helvetica Neue" w:eastAsia="Helvetica Neue" w:hAnsi="Helvetica Neue" w:cs="Helvetica Neue"/>
          <w:b/>
        </w:rPr>
        <w:t>3. Provision of the collaboration plan</w:t>
      </w:r>
      <w:bookmarkEnd w:id="103"/>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w:t>
      </w:r>
      <w:r w:rsidRPr="0080403F">
        <w:rPr>
          <w:rFonts w:ascii="Helvetica Neue" w:eastAsia="Helvetica Neue" w:hAnsi="Helvetica Neue" w:cs="Helvetica Neue"/>
          <w:color w:val="000000"/>
          <w:sz w:val="20"/>
          <w:szCs w:val="20"/>
        </w:rPr>
        <w:lastRenderedPageBreak/>
        <w:t>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4" w:name="_Toc12278110"/>
      <w:r w:rsidRPr="0080403F">
        <w:rPr>
          <w:rFonts w:ascii="Helvetica Neue" w:eastAsia="Helvetica Neue" w:hAnsi="Helvetica Neue" w:cs="Helvetica Neue"/>
          <w:b/>
        </w:rPr>
        <w:t>4. Collaboration activities</w:t>
      </w:r>
      <w:bookmarkEnd w:id="104"/>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5" w:name="_Toc12278111"/>
      <w:r w:rsidRPr="0080403F">
        <w:rPr>
          <w:rFonts w:ascii="Helvetica Neue" w:eastAsia="Helvetica Neue" w:hAnsi="Helvetica Neue" w:cs="Helvetica Neue"/>
          <w:b/>
        </w:rPr>
        <w:t>5. Invoicing</w:t>
      </w:r>
      <w:bookmarkEnd w:id="105"/>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6" w:name="_Toc12278112"/>
      <w:r w:rsidRPr="0080403F">
        <w:rPr>
          <w:rFonts w:ascii="Helvetica Neue" w:eastAsia="Helvetica Neue" w:hAnsi="Helvetica Neue" w:cs="Helvetica Neue"/>
          <w:b/>
        </w:rPr>
        <w:t>6. Confidentiality</w:t>
      </w:r>
      <w:bookmarkEnd w:id="106"/>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7" w:name="_Toc12278113"/>
      <w:r w:rsidRPr="0080403F">
        <w:rPr>
          <w:rFonts w:ascii="Helvetica Neue" w:eastAsia="Helvetica Neue" w:hAnsi="Helvetica Neue" w:cs="Helvetica Neue"/>
          <w:b/>
        </w:rPr>
        <w:t>7. Warranties</w:t>
      </w:r>
      <w:bookmarkEnd w:id="107"/>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8" w:name="_Toc12278114"/>
      <w:r w:rsidRPr="0080403F">
        <w:rPr>
          <w:rFonts w:ascii="Helvetica Neue" w:eastAsia="Helvetica Neue" w:hAnsi="Helvetica Neue" w:cs="Helvetica Neue"/>
          <w:b/>
        </w:rPr>
        <w:t>8. Limitation of liability</w:t>
      </w:r>
      <w:bookmarkEnd w:id="108"/>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3E82DF30" w:rsidR="0001459B" w:rsidRPr="00FE5D21" w:rsidRDefault="004E0974" w:rsidP="00FE5D21">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w:t>
      </w:r>
      <w:r w:rsidR="00FE5D21">
        <w:rPr>
          <w:rFonts w:ascii="Helvetica Neue" w:eastAsia="Helvetica Neue" w:hAnsi="Helvetica Neue" w:cs="Helvetica Neue"/>
          <w:color w:val="000000"/>
          <w:sz w:val="20"/>
          <w:szCs w:val="20"/>
        </w:rPr>
        <w:t>nt Contract) will be limited to £113,975.00.</w:t>
      </w:r>
      <w:r w:rsidR="00FE5D21" w:rsidRPr="00FE5D21">
        <w:rPr>
          <w:rFonts w:ascii="Helvetica Neue" w:eastAsia="Helvetica Neue" w:hAnsi="Helvetica Neue" w:cs="Helvetica Neue"/>
          <w:color w:val="000000"/>
          <w:sz w:val="20"/>
          <w:szCs w:val="20"/>
        </w:rPr>
        <w:t xml:space="preserve"> </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9" w:name="_Toc12278115"/>
      <w:r w:rsidRPr="0080403F">
        <w:rPr>
          <w:rFonts w:ascii="Helvetica Neue" w:eastAsia="Helvetica Neue" w:hAnsi="Helvetica Neue" w:cs="Helvetica Neue"/>
          <w:b/>
        </w:rPr>
        <w:t>9. Dispute resolution process</w:t>
      </w:r>
      <w:bookmarkEnd w:id="109"/>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proofErr w:type="gramStart"/>
      <w:r w:rsidRPr="0080403F">
        <w:rPr>
          <w:rFonts w:ascii="Helvetica Neue" w:eastAsia="Helvetica Neue" w:hAnsi="Helvetica Neue" w:cs="Helvetica Neue"/>
          <w:color w:val="000000"/>
          <w:sz w:val="20"/>
          <w:szCs w:val="20"/>
        </w:rPr>
        <w:t>failing</w:t>
      </w:r>
      <w:proofErr w:type="gramEnd"/>
      <w:r w:rsidRPr="0080403F">
        <w:rPr>
          <w:rFonts w:ascii="Helvetica Neue" w:eastAsia="Helvetica Neue" w:hAnsi="Helvetica Neue" w:cs="Helvetica Neue"/>
          <w:color w:val="000000"/>
          <w:sz w:val="20"/>
          <w:szCs w:val="20"/>
        </w:rPr>
        <w:t xml:space="preserve">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10" w:name="_Toc12278116"/>
      <w:r w:rsidRPr="0080403F">
        <w:rPr>
          <w:rFonts w:ascii="Helvetica Neue" w:eastAsia="Helvetica Neue" w:hAnsi="Helvetica Neue" w:cs="Helvetica Neue"/>
          <w:b/>
        </w:rPr>
        <w:t>10. Termination and consequences of termination</w:t>
      </w:r>
      <w:bookmarkEnd w:id="110"/>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17"/>
      <w:r w:rsidRPr="0080403F">
        <w:rPr>
          <w:rFonts w:ascii="Helvetica Neue" w:eastAsia="Helvetica Neue" w:hAnsi="Helvetica Neue" w:cs="Helvetica Neue"/>
          <w:color w:val="000000"/>
        </w:rPr>
        <w:t>Termination</w:t>
      </w:r>
      <w:bookmarkEnd w:id="111"/>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18"/>
      <w:r w:rsidRPr="0080403F">
        <w:rPr>
          <w:rFonts w:ascii="Helvetica Neue" w:eastAsia="Helvetica Neue" w:hAnsi="Helvetica Neue" w:cs="Helvetica Neue"/>
          <w:color w:val="000000"/>
        </w:rPr>
        <w:t>Consequences of termination</w:t>
      </w:r>
      <w:bookmarkEnd w:id="112"/>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13" w:name="_Toc12278119"/>
      <w:r w:rsidRPr="0080403F">
        <w:rPr>
          <w:rFonts w:ascii="Helvetica Neue" w:eastAsia="Helvetica Neue" w:hAnsi="Helvetica Neue" w:cs="Helvetica Neue"/>
          <w:b/>
        </w:rPr>
        <w:t>11. General provisions</w:t>
      </w:r>
      <w:bookmarkEnd w:id="113"/>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0"/>
      <w:r w:rsidRPr="0080403F">
        <w:rPr>
          <w:rFonts w:ascii="Helvetica Neue" w:eastAsia="Helvetica Neue" w:hAnsi="Helvetica Neue" w:cs="Helvetica Neue"/>
          <w:color w:val="000000"/>
        </w:rPr>
        <w:t>Force majeure</w:t>
      </w:r>
      <w:bookmarkEnd w:id="114"/>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1"/>
      <w:r w:rsidRPr="0080403F">
        <w:rPr>
          <w:rFonts w:ascii="Helvetica Neue" w:eastAsia="Helvetica Neue" w:hAnsi="Helvetica Neue" w:cs="Helvetica Neue"/>
          <w:color w:val="000000"/>
        </w:rPr>
        <w:t>Assignment and subcontracting</w:t>
      </w:r>
      <w:bookmarkEnd w:id="115"/>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2"/>
      <w:r w:rsidRPr="0080403F">
        <w:rPr>
          <w:rFonts w:ascii="Helvetica Neue" w:eastAsia="Helvetica Neue" w:hAnsi="Helvetica Neue" w:cs="Helvetica Neue"/>
          <w:color w:val="000000"/>
        </w:rPr>
        <w:t>Notices</w:t>
      </w:r>
      <w:bookmarkEnd w:id="116"/>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3"/>
      <w:r w:rsidRPr="0080403F">
        <w:rPr>
          <w:rFonts w:ascii="Helvetica Neue" w:eastAsia="Helvetica Neue" w:hAnsi="Helvetica Neue" w:cs="Helvetica Neue"/>
          <w:color w:val="000000"/>
        </w:rPr>
        <w:t>Entire agreement</w:t>
      </w:r>
      <w:bookmarkEnd w:id="117"/>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4"/>
      <w:r w:rsidRPr="0080403F">
        <w:rPr>
          <w:rFonts w:ascii="Helvetica Neue" w:eastAsia="Helvetica Neue" w:hAnsi="Helvetica Neue" w:cs="Helvetica Neue"/>
          <w:color w:val="000000"/>
        </w:rPr>
        <w:t>Rights of third parties</w:t>
      </w:r>
      <w:bookmarkEnd w:id="118"/>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5"/>
      <w:r w:rsidRPr="0080403F">
        <w:rPr>
          <w:rFonts w:ascii="Helvetica Neue" w:eastAsia="Helvetica Neue" w:hAnsi="Helvetica Neue" w:cs="Helvetica Neue"/>
          <w:color w:val="000000"/>
        </w:rPr>
        <w:t>Severability</w:t>
      </w:r>
      <w:bookmarkEnd w:id="119"/>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0" w:name="_Toc12278126"/>
      <w:r w:rsidRPr="0080403F">
        <w:rPr>
          <w:rFonts w:ascii="Helvetica Neue" w:eastAsia="Helvetica Neue" w:hAnsi="Helvetica Neue" w:cs="Helvetica Neue"/>
          <w:color w:val="000000"/>
        </w:rPr>
        <w:lastRenderedPageBreak/>
        <w:t>Variations</w:t>
      </w:r>
      <w:bookmarkEnd w:id="120"/>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1" w:name="_Toc12278127"/>
      <w:r w:rsidRPr="0080403F">
        <w:rPr>
          <w:rFonts w:ascii="Helvetica Neue" w:eastAsia="Helvetica Neue" w:hAnsi="Helvetica Neue" w:cs="Helvetica Neue"/>
          <w:color w:val="000000"/>
        </w:rPr>
        <w:t>No waiver</w:t>
      </w:r>
      <w:bookmarkEnd w:id="121"/>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22" w:name="_Toc12278128"/>
      <w:r w:rsidRPr="0080403F">
        <w:rPr>
          <w:rFonts w:ascii="Helvetica Neue" w:eastAsia="Helvetica Neue" w:hAnsi="Helvetica Neue" w:cs="Helvetica Neue"/>
          <w:color w:val="000000"/>
        </w:rPr>
        <w:t>Governing law and jurisdiction</w:t>
      </w:r>
      <w:bookmarkEnd w:id="122"/>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lastRenderedPageBreak/>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23" w:name="_1qoc8b1" w:colFirst="0" w:colLast="0"/>
      <w:bookmarkStart w:id="124" w:name="_Toc12278129"/>
      <w:bookmarkEnd w:id="123"/>
      <w:r w:rsidRPr="0080403F">
        <w:rPr>
          <w:rFonts w:ascii="Helvetica Neue" w:eastAsia="Helvetica Neue" w:hAnsi="Helvetica Neue" w:cs="Helvetica Neue"/>
          <w:sz w:val="20"/>
          <w:szCs w:val="20"/>
        </w:rPr>
        <w:t>Collaboration Agreement Schedule 1 - List of contracts</w:t>
      </w:r>
      <w:bookmarkEnd w:id="124"/>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5" w:name="_4anzqyu" w:colFirst="0" w:colLast="0"/>
      <w:bookmarkStart w:id="126" w:name="_Toc12278130"/>
      <w:bookmarkEnd w:id="125"/>
      <w:r w:rsidRPr="0080403F">
        <w:rPr>
          <w:rFonts w:ascii="Helvetica Neue" w:eastAsia="Helvetica Neue" w:hAnsi="Helvetica Neue" w:cs="Helvetica Neue"/>
          <w:sz w:val="20"/>
          <w:szCs w:val="20"/>
        </w:rPr>
        <w:lastRenderedPageBreak/>
        <w:t>[Collaboration Agreement Schedule 2 - Outline collaboration plan]</w:t>
      </w:r>
      <w:bookmarkEnd w:id="126"/>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7" w:name="_Toc12278131"/>
      <w:r w:rsidRPr="0080403F">
        <w:rPr>
          <w:rFonts w:ascii="Helvetica Neue" w:eastAsia="Helvetica Neue" w:hAnsi="Helvetica Neue" w:cs="Helvetica Neue"/>
          <w:b/>
          <w:sz w:val="32"/>
          <w:szCs w:val="32"/>
        </w:rPr>
        <w:t>Schedule 4 - Alternative clauses</w:t>
      </w:r>
      <w:bookmarkEnd w:id="127"/>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8" w:name="_Toc12278132"/>
      <w:r w:rsidRPr="002E454A">
        <w:rPr>
          <w:rFonts w:ascii="Helvetica Neue" w:eastAsia="Helvetica Neue" w:hAnsi="Helvetica Neue" w:cs="Helvetica Neue"/>
          <w:b/>
          <w:sz w:val="24"/>
          <w:szCs w:val="24"/>
        </w:rPr>
        <w:t>1. Introduction</w:t>
      </w:r>
      <w:bookmarkEnd w:id="128"/>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9"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9"/>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0" w:name="_Toc12278134"/>
      <w:r w:rsidRPr="0080403F">
        <w:rPr>
          <w:rFonts w:ascii="Helvetica Neue" w:eastAsia="Helvetica Neue" w:hAnsi="Helvetica Neue" w:cs="Helvetica Neue"/>
          <w:color w:val="000000"/>
        </w:rPr>
        <w:t>Discrimination</w:t>
      </w:r>
      <w:bookmarkEnd w:id="130"/>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1" w:name="_Toc12278135"/>
      <w:r w:rsidRPr="0080403F">
        <w:rPr>
          <w:rFonts w:ascii="Helvetica Neue" w:eastAsia="Helvetica Neue" w:hAnsi="Helvetica Neue" w:cs="Helvetica Neue"/>
          <w:color w:val="000000"/>
        </w:rPr>
        <w:t>Equality policies and practices</w:t>
      </w:r>
      <w:bookmarkEnd w:id="131"/>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32" w:name="_Toc12278136"/>
      <w:r w:rsidRPr="0080403F">
        <w:rPr>
          <w:rFonts w:ascii="Helvetica Neue" w:eastAsia="Helvetica Neue" w:hAnsi="Helvetica Neue" w:cs="Helvetica Neue"/>
          <w:color w:val="000000"/>
        </w:rPr>
        <w:t>Equality</w:t>
      </w:r>
      <w:bookmarkEnd w:id="132"/>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3" w:name="_Toc12278137"/>
      <w:r w:rsidRPr="0080403F">
        <w:rPr>
          <w:rFonts w:ascii="Helvetica Neue" w:eastAsia="Helvetica Neue" w:hAnsi="Helvetica Neue" w:cs="Helvetica Neue"/>
          <w:color w:val="000000"/>
        </w:rPr>
        <w:t>Health and safety</w:t>
      </w:r>
      <w:bookmarkEnd w:id="133"/>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4" w:name="_Toc12278138"/>
      <w:r w:rsidRPr="0080403F">
        <w:rPr>
          <w:rFonts w:ascii="Helvetica Neue" w:eastAsia="Helvetica Neue" w:hAnsi="Helvetica Neue" w:cs="Helvetica Neue"/>
          <w:color w:val="000000"/>
        </w:rPr>
        <w:t>Criminal damage</w:t>
      </w:r>
      <w:bookmarkEnd w:id="134"/>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35" w:name="_Toc12278139"/>
      <w:r w:rsidRPr="0080403F">
        <w:rPr>
          <w:rFonts w:ascii="Helvetica Neue" w:eastAsia="Helvetica Neue" w:hAnsi="Helvetica Neue" w:cs="Helvetica Neue"/>
          <w:b/>
          <w:sz w:val="32"/>
          <w:szCs w:val="32"/>
        </w:rPr>
        <w:t>Schedule 5 - Guarantee</w:t>
      </w:r>
      <w:bookmarkEnd w:id="135"/>
    </w:p>
    <w:p w14:paraId="56D6D85B" w14:textId="76B9A1A5" w:rsidR="0080403F" w:rsidRDefault="00261C6B" w:rsidP="00261C6B">
      <w:pPr>
        <w:pBdr>
          <w:top w:val="nil"/>
          <w:left w:val="nil"/>
          <w:bottom w:val="nil"/>
          <w:right w:val="nil"/>
          <w:between w:val="nil"/>
        </w:pBdr>
        <w:jc w:val="center"/>
        <w:rPr>
          <w:rFonts w:ascii="Helvetica Neue" w:eastAsia="Helvetica Neue" w:hAnsi="Helvetica Neue" w:cs="Helvetica Neue"/>
          <w:color w:val="000000"/>
          <w:sz w:val="20"/>
          <w:szCs w:val="20"/>
        </w:rPr>
      </w:pPr>
      <w:bookmarkStart w:id="136" w:name="_wnyagw" w:colFirst="0" w:colLast="0"/>
      <w:bookmarkEnd w:id="136"/>
      <w:r>
        <w:rPr>
          <w:rFonts w:ascii="Helvetica Neue" w:eastAsia="Helvetica Neue" w:hAnsi="Helvetica Neue" w:cs="Helvetica Neue"/>
          <w:color w:val="000000"/>
          <w:sz w:val="20"/>
          <w:szCs w:val="20"/>
        </w:rPr>
        <w:t>Not Applicable</w:t>
      </w: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37" w:name="_Toc12278152"/>
      <w:r w:rsidRPr="0080403F">
        <w:rPr>
          <w:rFonts w:ascii="Helvetica Neue" w:eastAsia="Helvetica Neue" w:hAnsi="Helvetica Neue" w:cs="Helvetica Neue"/>
          <w:b/>
          <w:sz w:val="32"/>
          <w:szCs w:val="32"/>
        </w:rPr>
        <w:t>Schedule 6 - Glossary and interpretations</w:t>
      </w:r>
      <w:bookmarkEnd w:id="137"/>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audit carried out under the incorporated Framework Agreement clauses </w:t>
            </w:r>
            <w:r w:rsidRPr="009E4569">
              <w:rPr>
                <w:rFonts w:ascii="Helvetica Neue" w:eastAsia="Helvetica Neue" w:hAnsi="Helvetica Neue" w:cs="Helvetica Neue"/>
                <w:sz w:val="20"/>
                <w:szCs w:val="20"/>
              </w:rPr>
              <w:lastRenderedPageBreak/>
              <w:t>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proofErr w:type="gramStart"/>
            <w:r w:rsidRPr="009E4569">
              <w:rPr>
                <w:rFonts w:ascii="Helvetica Neue" w:eastAsia="Helvetica Neue" w:hAnsi="Helvetica Neue" w:cs="Helvetica Neue"/>
                <w:sz w:val="20"/>
                <w:szCs w:val="20"/>
              </w:rPr>
              <w:t>other</w:t>
            </w:r>
            <w:proofErr w:type="gramEnd"/>
            <w:r w:rsidRPr="009E4569">
              <w:rPr>
                <w:rFonts w:ascii="Helvetica Neue" w:eastAsia="Helvetica Neue" w:hAnsi="Helvetica Neue" w:cs="Helvetica Neue"/>
                <w:sz w:val="20"/>
                <w:szCs w:val="20"/>
              </w:rPr>
              <w:t xml:space="preserve">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w:t>
            </w:r>
            <w:r w:rsidRPr="009E4569">
              <w:rPr>
                <w:rFonts w:ascii="Helvetica Neue" w:eastAsia="Helvetica Neue" w:hAnsi="Helvetica Neue" w:cs="Helvetica Neue"/>
                <w:sz w:val="20"/>
                <w:szCs w:val="20"/>
              </w:rPr>
              <w:lastRenderedPageBreak/>
              <w:t>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w:t>
            </w:r>
            <w:proofErr w:type="gramStart"/>
            <w:r w:rsidRPr="009E4569">
              <w:rPr>
                <w:rFonts w:ascii="Helvetica Neue" w:eastAsia="Helvetica Neue" w:hAnsi="Helvetica Neue" w:cs="Helvetica Neue"/>
                <w:color w:val="000000"/>
                <w:sz w:val="20"/>
                <w:szCs w:val="20"/>
              </w:rPr>
              <w:t>all</w:t>
            </w:r>
            <w:proofErr w:type="gramEnd"/>
            <w:r w:rsidRPr="009E4569">
              <w:rPr>
                <w:rFonts w:ascii="Helvetica Neue" w:eastAsia="Helvetica Neue" w:hAnsi="Helvetica Neue" w:cs="Helvetica Neue"/>
                <w:color w:val="000000"/>
                <w:sz w:val="20"/>
                <w:szCs w:val="20"/>
              </w:rPr>
              <w:t xml:space="preserve">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3">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5C1008">
            <w:pPr>
              <w:widowControl/>
              <w:spacing w:after="0" w:line="240" w:lineRule="auto"/>
              <w:rPr>
                <w:rFonts w:ascii="Helvetica Neue" w:eastAsia="Helvetica Neue" w:hAnsi="Helvetica Neue" w:cs="Helvetica Neue"/>
                <w:sz w:val="20"/>
                <w:szCs w:val="20"/>
              </w:rPr>
            </w:pPr>
            <w:hyperlink r:id="rId24">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w:t>
            </w:r>
            <w:proofErr w:type="gramStart"/>
            <w:r w:rsidRPr="009E4569">
              <w:rPr>
                <w:rFonts w:ascii="Helvetica Neue" w:eastAsia="Helvetica Neue" w:hAnsi="Helvetica Neue" w:cs="Helvetica Neue"/>
                <w:sz w:val="20"/>
                <w:szCs w:val="20"/>
              </w:rPr>
              <w:t>2000.</w:t>
            </w:r>
            <w:proofErr w:type="gramEnd"/>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proofErr w:type="gramStart"/>
            <w:r w:rsidRPr="009E4569">
              <w:rPr>
                <w:rFonts w:ascii="Helvetica Neue" w:eastAsia="Helvetica Neue" w:hAnsi="Helvetica Neue" w:cs="Helvetica Neue"/>
                <w:sz w:val="20"/>
                <w:szCs w:val="20"/>
              </w:rPr>
              <w:t>a</w:t>
            </w:r>
            <w:proofErr w:type="gramEnd"/>
            <w:r w:rsidRPr="009E4569">
              <w:rPr>
                <w:rFonts w:ascii="Helvetica Neue" w:eastAsia="Helvetica Neue" w:hAnsi="Helvetica Neue" w:cs="Helvetica Neue"/>
                <w:sz w:val="20"/>
                <w:szCs w:val="20"/>
              </w:rPr>
              <w:t xml:space="preserve">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All ideas, concepts, schemes, information, knowledge, techniques, methodology, and anything else in the nature of know-how relating to the G-Cloud Services but excluding know-how already in the Supplier’s or CCS’s </w:t>
            </w:r>
            <w:r w:rsidRPr="009E4569">
              <w:rPr>
                <w:rFonts w:ascii="Helvetica Neue" w:eastAsia="Helvetica Neue" w:hAnsi="Helvetica Neue" w:cs="Helvetica Neue"/>
                <w:sz w:val="20"/>
                <w:szCs w:val="20"/>
              </w:rPr>
              <w:lastRenderedPageBreak/>
              <w:t>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services which </w:t>
            </w:r>
            <w:proofErr w:type="gramStart"/>
            <w:r w:rsidRPr="009E4569">
              <w:rPr>
                <w:rFonts w:ascii="Helvetica Neue" w:eastAsia="Helvetica Neue" w:hAnsi="Helvetica Neue" w:cs="Helvetica Neue"/>
                <w:sz w:val="20"/>
                <w:szCs w:val="20"/>
              </w:rPr>
              <w:t>are the same</w:t>
            </w:r>
            <w:proofErr w:type="gramEnd"/>
            <w:r w:rsidRPr="009E4569">
              <w:rPr>
                <w:rFonts w:ascii="Helvetica Neue" w:eastAsia="Helvetica Neue" w:hAnsi="Helvetica Neue" w:cs="Helvetica Neue"/>
                <w:sz w:val="20"/>
                <w:szCs w:val="20"/>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w:t>
            </w:r>
            <w:proofErr w:type="gramStart"/>
            <w:r w:rsidRPr="009E4569">
              <w:rPr>
                <w:rFonts w:ascii="Helvetica Neue" w:eastAsia="Helvetica Neue" w:hAnsi="Helvetica Neue" w:cs="Helvetica Neue"/>
                <w:sz w:val="20"/>
                <w:szCs w:val="20"/>
              </w:rPr>
              <w:t>  provided</w:t>
            </w:r>
            <w:proofErr w:type="gramEnd"/>
            <w:r w:rsidRPr="009E4569">
              <w:rPr>
                <w:rFonts w:ascii="Helvetica Neue" w:eastAsia="Helvetica Neue" w:hAnsi="Helvetica Neue" w:cs="Helvetica Neue"/>
                <w:sz w:val="20"/>
                <w:szCs w:val="20"/>
              </w:rPr>
              <w:t xml:space="preserve">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description of the Supplier service offering as published on the Digital </w:t>
            </w:r>
            <w:r w:rsidRPr="009E4569">
              <w:rPr>
                <w:rFonts w:ascii="Helvetica Neue" w:eastAsia="Helvetica Neue" w:hAnsi="Helvetica Neue" w:cs="Helvetica Neue"/>
                <w:sz w:val="20"/>
                <w:szCs w:val="20"/>
              </w:rPr>
              <w:lastRenderedPageBreak/>
              <w:t>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5">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B9691AB" w14:textId="77777777" w:rsidR="00956F56" w:rsidRPr="00956F56" w:rsidRDefault="004E0974" w:rsidP="00956F56">
      <w:pPr>
        <w:pStyle w:val="Heading2"/>
        <w:rPr>
          <w:b/>
        </w:rPr>
      </w:pPr>
      <w:r w:rsidRPr="009E4569">
        <w:rPr>
          <w:rFonts w:ascii="Helvetica Neue" w:hAnsi="Helvetica Neue"/>
        </w:rPr>
        <w:br w:type="page"/>
      </w:r>
      <w:r w:rsidR="00956F56" w:rsidRPr="00956F56">
        <w:rPr>
          <w:rFonts w:ascii="Helvetica Neue" w:hAnsi="Helvetica Neue"/>
          <w:b/>
          <w:color w:val="000000"/>
          <w:sz w:val="32"/>
          <w:szCs w:val="32"/>
        </w:rPr>
        <w:lastRenderedPageBreak/>
        <w:t>Schedule 7 - GDPR Information  </w:t>
      </w:r>
    </w:p>
    <w:p w14:paraId="3A5F3B31" w14:textId="77777777" w:rsidR="00956F56" w:rsidRDefault="00956F56" w:rsidP="00956F56">
      <w:pPr>
        <w:pStyle w:val="NormalWeb"/>
        <w:spacing w:before="0" w:beforeAutospacing="0" w:after="200" w:afterAutospacing="0"/>
      </w:pPr>
      <w:r>
        <w:rPr>
          <w:rFonts w:ascii="Helvetica Neue" w:hAnsi="Helvetica Neue"/>
          <w:color w:val="000000"/>
        </w:rPr>
        <w:t>This schedule reproduces the annexes to the GDPR schedule contained within the Framework Agreement and incorporated into this Call-off Contract.  </w:t>
      </w:r>
    </w:p>
    <w:p w14:paraId="726E9A1E" w14:textId="77777777" w:rsidR="00956F56" w:rsidRDefault="00956F56" w:rsidP="00941ED2">
      <w:pPr>
        <w:pStyle w:val="Heading2"/>
      </w:pPr>
      <w:r>
        <w:rPr>
          <w:rFonts w:ascii="Helvetica Neue" w:hAnsi="Helvetica Neue"/>
          <w:color w:val="000000"/>
          <w:sz w:val="24"/>
          <w:szCs w:val="24"/>
        </w:rPr>
        <w:t>Annex 1 - Processing Personal Data</w:t>
      </w:r>
    </w:p>
    <w:p w14:paraId="181B7081" w14:textId="77777777" w:rsidR="00956F56" w:rsidRDefault="00956F56" w:rsidP="00956F56">
      <w:pPr>
        <w:pStyle w:val="NormalWeb"/>
        <w:spacing w:before="0" w:beforeAutospacing="0" w:after="200" w:afterAutospacing="0"/>
      </w:pPr>
      <w:r>
        <w:rPr>
          <w:rFonts w:ascii="Helvetica Neue" w:hAnsi="Helvetica Neue"/>
          <w:color w:val="000000"/>
        </w:rPr>
        <w:t>This Annex shall be completed by the Controller, who may take account of the view of the Processors, however the final decision as to the content of this Annex shall be with the Buyer at its absolute discretion.  </w:t>
      </w:r>
    </w:p>
    <w:p w14:paraId="6FB7C539" w14:textId="04C0D6C3" w:rsidR="00956F56" w:rsidRDefault="00956F56" w:rsidP="00956F56">
      <w:pPr>
        <w:pStyle w:val="NormalWeb"/>
        <w:numPr>
          <w:ilvl w:val="3"/>
          <w:numId w:val="112"/>
        </w:numPr>
        <w:spacing w:before="0" w:beforeAutospacing="0" w:after="0" w:afterAutospacing="0"/>
        <w:ind w:left="360"/>
        <w:jc w:val="both"/>
        <w:textAlignment w:val="baseline"/>
        <w:rPr>
          <w:rFonts w:ascii="Helvetica Neue" w:hAnsi="Helvetica Neue"/>
          <w:color w:val="000000"/>
        </w:rPr>
      </w:pPr>
      <w:r>
        <w:rPr>
          <w:rFonts w:ascii="Helvetica Neue" w:hAnsi="Helvetica Neue"/>
          <w:color w:val="000000"/>
        </w:rPr>
        <w:t xml:space="preserve">The contact details of the Buyer’s Data Protection Manager are: </w:t>
      </w:r>
      <w:r w:rsidR="00C63B0A">
        <w:rPr>
          <w:rFonts w:ascii="Helvetica Neue" w:eastAsia="Helvetica Neue" w:hAnsi="Helvetica Neue" w:cs="Helvetica Neue"/>
        </w:rPr>
        <w:t>REDACTED INFORMATION</w:t>
      </w:r>
    </w:p>
    <w:p w14:paraId="78161D08" w14:textId="24FE6A3B" w:rsidR="00956F56" w:rsidRDefault="00956F56" w:rsidP="00956F56">
      <w:pPr>
        <w:pStyle w:val="NormalWeb"/>
        <w:numPr>
          <w:ilvl w:val="3"/>
          <w:numId w:val="112"/>
        </w:numPr>
        <w:spacing w:before="0" w:beforeAutospacing="0" w:after="0" w:afterAutospacing="0"/>
        <w:ind w:left="360"/>
        <w:jc w:val="both"/>
        <w:textAlignment w:val="baseline"/>
        <w:rPr>
          <w:rFonts w:ascii="Helvetica Neue" w:hAnsi="Helvetica Neue"/>
          <w:color w:val="000000"/>
        </w:rPr>
      </w:pPr>
      <w:r>
        <w:rPr>
          <w:rFonts w:ascii="Helvetica Neue" w:hAnsi="Helvetica Neue"/>
          <w:color w:val="000000"/>
        </w:rPr>
        <w:t xml:space="preserve">The contact details of the Supplier’s Data Protection Officer are: </w:t>
      </w:r>
      <w:r w:rsidR="00C63B0A">
        <w:rPr>
          <w:rFonts w:ascii="Helvetica Neue" w:eastAsia="Helvetica Neue" w:hAnsi="Helvetica Neue" w:cs="Helvetica Neue"/>
        </w:rPr>
        <w:t>REDACTED INFORMATION</w:t>
      </w:r>
    </w:p>
    <w:p w14:paraId="0364A988" w14:textId="77777777" w:rsidR="00956F56" w:rsidRDefault="00956F56" w:rsidP="00956F56">
      <w:pPr>
        <w:pStyle w:val="NormalWeb"/>
        <w:numPr>
          <w:ilvl w:val="3"/>
          <w:numId w:val="112"/>
        </w:numPr>
        <w:spacing w:before="0" w:beforeAutospacing="0" w:after="0" w:afterAutospacing="0"/>
        <w:ind w:left="360"/>
        <w:jc w:val="both"/>
        <w:textAlignment w:val="baseline"/>
        <w:rPr>
          <w:rFonts w:ascii="Helvetica Neue" w:hAnsi="Helvetica Neue"/>
          <w:color w:val="000000"/>
        </w:rPr>
      </w:pPr>
      <w:r>
        <w:rPr>
          <w:rFonts w:ascii="Helvetica Neue" w:hAnsi="Helvetica Neue"/>
          <w:color w:val="000000"/>
        </w:rPr>
        <w:t>The Processor shall comply with any further written instructions with respect to Processing by the Controller.</w:t>
      </w:r>
    </w:p>
    <w:p w14:paraId="47C86FFE" w14:textId="77777777" w:rsidR="00956F56" w:rsidRDefault="00956F56" w:rsidP="00956F56">
      <w:pPr>
        <w:pStyle w:val="NormalWeb"/>
        <w:numPr>
          <w:ilvl w:val="3"/>
          <w:numId w:val="112"/>
        </w:numPr>
        <w:spacing w:before="0" w:beforeAutospacing="0" w:after="0" w:afterAutospacing="0"/>
        <w:ind w:left="360"/>
        <w:jc w:val="both"/>
        <w:textAlignment w:val="baseline"/>
        <w:rPr>
          <w:rFonts w:ascii="Helvetica Neue" w:hAnsi="Helvetica Neue"/>
          <w:color w:val="000000"/>
        </w:rPr>
      </w:pPr>
      <w:r>
        <w:rPr>
          <w:rFonts w:ascii="Helvetica Neue" w:hAnsi="Helvetica Neue"/>
          <w:color w:val="000000"/>
        </w:rPr>
        <w:t>Any such further instructions shall be incorporated into this Annex.</w:t>
      </w:r>
    </w:p>
    <w:p w14:paraId="6F7D35D8" w14:textId="77777777" w:rsidR="00956F56" w:rsidRDefault="00956F56" w:rsidP="00956F56">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957"/>
        <w:gridCol w:w="7665"/>
      </w:tblGrid>
      <w:tr w:rsidR="00956F56" w14:paraId="565D915E" w14:textId="77777777" w:rsidTr="00956F56">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1877FC1" w14:textId="77777777" w:rsidR="00956F56" w:rsidRDefault="00956F56">
            <w:pPr>
              <w:pStyle w:val="NormalWeb"/>
              <w:spacing w:before="0" w:beforeAutospacing="0" w:after="200" w:afterAutospacing="0"/>
            </w:pPr>
            <w:r>
              <w:rPr>
                <w:rFonts w:ascii="Helvetica Neue" w:hAnsi="Helvetica Neue"/>
                <w:b/>
                <w:bCs/>
                <w:color w:val="000000"/>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363CD253" w14:textId="77777777" w:rsidR="00956F56" w:rsidRDefault="00956F56">
            <w:pPr>
              <w:pStyle w:val="NormalWeb"/>
              <w:spacing w:before="0" w:beforeAutospacing="0" w:after="200" w:afterAutospacing="0"/>
              <w:jc w:val="center"/>
            </w:pPr>
            <w:r>
              <w:rPr>
                <w:rFonts w:ascii="Helvetica Neue" w:hAnsi="Helvetica Neue"/>
                <w:b/>
                <w:bCs/>
                <w:color w:val="000000"/>
              </w:rPr>
              <w:t>Details</w:t>
            </w:r>
          </w:p>
        </w:tc>
      </w:tr>
      <w:tr w:rsidR="00956F56" w14:paraId="7FE765A2" w14:textId="77777777" w:rsidTr="00956F56">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EAD78" w14:textId="77777777" w:rsidR="00956F56" w:rsidRDefault="00956F56">
            <w:pPr>
              <w:pStyle w:val="NormalWeb"/>
              <w:spacing w:before="0" w:beforeAutospacing="0" w:after="200" w:afterAutospacing="0"/>
            </w:pPr>
            <w:r>
              <w:rPr>
                <w:rFonts w:ascii="Helvetica Neue" w:hAnsi="Helvetica Neue"/>
                <w:color w:val="000000"/>
              </w:rPr>
              <w:t>Identity of Controller for each Category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71CB22" w14:textId="77777777" w:rsidR="00956F56" w:rsidRDefault="00956F56">
            <w:pPr>
              <w:pStyle w:val="NormalWeb"/>
              <w:spacing w:before="0" w:beforeAutospacing="0" w:after="200" w:afterAutospacing="0"/>
            </w:pPr>
            <w:r>
              <w:rPr>
                <w:rFonts w:ascii="Helvetica Neue" w:hAnsi="Helvetica Neue"/>
                <w:b/>
                <w:bCs/>
                <w:color w:val="000000"/>
              </w:rPr>
              <w:t>The CCS  is Controller and NQC  is Processor</w:t>
            </w:r>
          </w:p>
          <w:p w14:paraId="108A9878" w14:textId="77777777" w:rsidR="00956F56" w:rsidRDefault="00956F56">
            <w:pPr>
              <w:pStyle w:val="NormalWeb"/>
              <w:spacing w:before="0" w:beforeAutospacing="0" w:after="200" w:afterAutospacing="0"/>
            </w:pPr>
            <w:r>
              <w:rPr>
                <w:rFonts w:ascii="Helvetica Neue" w:hAnsi="Helvetica Neue"/>
                <w:color w:val="000000"/>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007E127" w14:textId="77777777" w:rsidR="00956F56" w:rsidRDefault="00956F56" w:rsidP="00956F56">
            <w:pPr>
              <w:pStyle w:val="NormalWeb"/>
              <w:numPr>
                <w:ilvl w:val="0"/>
                <w:numId w:val="113"/>
              </w:numPr>
              <w:spacing w:before="0" w:beforeAutospacing="0" w:after="0" w:afterAutospacing="0"/>
              <w:jc w:val="both"/>
              <w:textAlignment w:val="baseline"/>
              <w:rPr>
                <w:rFonts w:ascii="Helvetica Neue" w:hAnsi="Helvetica Neue"/>
                <w:i/>
                <w:iCs/>
                <w:color w:val="000000"/>
              </w:rPr>
            </w:pPr>
            <w:r>
              <w:rPr>
                <w:rFonts w:ascii="Helvetica Neue" w:hAnsi="Helvetica Neue"/>
                <w:i/>
                <w:iCs/>
                <w:color w:val="000000"/>
                <w:shd w:val="clear" w:color="auto" w:fill="FFFFFF"/>
              </w:rPr>
              <w:t>Simple identification personal information (name; official email address; business address; telephone number of birth buyer the supplier.  </w:t>
            </w:r>
          </w:p>
          <w:p w14:paraId="3955596E" w14:textId="77777777" w:rsidR="00956F56" w:rsidRDefault="00956F56">
            <w:pPr>
              <w:rPr>
                <w:rFonts w:ascii="Times New Roman" w:hAnsi="Times New Roman"/>
              </w:rPr>
            </w:pPr>
          </w:p>
          <w:p w14:paraId="1A5496A6" w14:textId="77777777" w:rsidR="00956F56" w:rsidRDefault="00956F56">
            <w:pPr>
              <w:pStyle w:val="NormalWeb"/>
              <w:spacing w:before="0" w:beforeAutospacing="0" w:after="0" w:afterAutospacing="0"/>
              <w:jc w:val="both"/>
            </w:pPr>
            <w:r>
              <w:rPr>
                <w:rFonts w:ascii="Helvetica Neue" w:hAnsi="Helvetica Neue"/>
                <w:b/>
                <w:bCs/>
                <w:color w:val="000000"/>
                <w:shd w:val="clear" w:color="auto" w:fill="FFFFFF"/>
              </w:rPr>
              <w:t>The Supplier is Controller and the Buyer is Processor</w:t>
            </w:r>
          </w:p>
          <w:p w14:paraId="3A240EEF" w14:textId="77777777" w:rsidR="00956F56" w:rsidRDefault="00956F56"/>
          <w:p w14:paraId="145DBC3F" w14:textId="77777777" w:rsidR="00956F56" w:rsidRDefault="00956F56">
            <w:pPr>
              <w:pStyle w:val="NormalWeb"/>
              <w:spacing w:before="0" w:beforeAutospacing="0" w:after="0" w:afterAutospacing="0"/>
              <w:jc w:val="both"/>
            </w:pPr>
            <w:r>
              <w:rPr>
                <w:rFonts w:ascii="Helvetica Neue" w:hAnsi="Helvetica Neue"/>
                <w:color w:val="000000"/>
                <w:shd w:val="clear" w:color="auto" w:fill="FFFFFF"/>
              </w:rPr>
              <w:t>The Parties acknowledge that for the purposes of the Data</w:t>
            </w:r>
          </w:p>
          <w:p w14:paraId="6B0B730F" w14:textId="77777777" w:rsidR="00956F56" w:rsidRDefault="00956F56">
            <w:pPr>
              <w:pStyle w:val="NormalWeb"/>
              <w:spacing w:before="0" w:beforeAutospacing="0" w:after="0" w:afterAutospacing="0"/>
              <w:jc w:val="both"/>
            </w:pPr>
            <w:r>
              <w:rPr>
                <w:rFonts w:ascii="Helvetica Neue" w:hAnsi="Helvetica Neue"/>
                <w:color w:val="000000"/>
                <w:shd w:val="clear" w:color="auto" w:fill="FFFFFF"/>
              </w:rPr>
              <w:t>Protection Legislation, the Supplier is the Controller and the Buyer</w:t>
            </w:r>
          </w:p>
          <w:p w14:paraId="3149ECCD" w14:textId="77777777" w:rsidR="00956F56" w:rsidRDefault="00956F56">
            <w:pPr>
              <w:pStyle w:val="NormalWeb"/>
              <w:spacing w:before="0" w:beforeAutospacing="0" w:after="0" w:afterAutospacing="0"/>
              <w:jc w:val="both"/>
            </w:pPr>
            <w:r>
              <w:rPr>
                <w:rFonts w:ascii="Helvetica Neue" w:hAnsi="Helvetica Neue"/>
                <w:color w:val="000000"/>
                <w:shd w:val="clear" w:color="auto" w:fill="FFFFFF"/>
              </w:rPr>
              <w:t>is the Processor in accordance with paragraph 2 to paragraph 15 of</w:t>
            </w:r>
          </w:p>
          <w:p w14:paraId="7C0E531B" w14:textId="77777777" w:rsidR="00956F56" w:rsidRDefault="00956F56">
            <w:pPr>
              <w:pStyle w:val="NormalWeb"/>
              <w:spacing w:before="0" w:beforeAutospacing="0" w:after="0" w:afterAutospacing="0"/>
              <w:jc w:val="both"/>
            </w:pPr>
            <w:r>
              <w:rPr>
                <w:rFonts w:ascii="Helvetica Neue" w:hAnsi="Helvetica Neue"/>
                <w:color w:val="000000"/>
                <w:shd w:val="clear" w:color="auto" w:fill="FFFFFF"/>
              </w:rPr>
              <w:t>the following Personal Data:</w:t>
            </w:r>
          </w:p>
          <w:p w14:paraId="4C971C75" w14:textId="77777777" w:rsidR="00956F56" w:rsidRDefault="00956F56"/>
          <w:p w14:paraId="5C2B92D6" w14:textId="77777777" w:rsidR="00956F56" w:rsidRDefault="00956F56">
            <w:pPr>
              <w:pStyle w:val="NormalWeb"/>
              <w:spacing w:before="0" w:beforeAutospacing="0" w:after="0" w:afterAutospacing="0"/>
              <w:jc w:val="both"/>
            </w:pPr>
            <w:r>
              <w:rPr>
                <w:rFonts w:ascii="Helvetica Neue" w:hAnsi="Helvetica Neue"/>
                <w:i/>
                <w:iCs/>
                <w:color w:val="000000"/>
                <w:shd w:val="clear" w:color="auto" w:fill="FFFFFF"/>
              </w:rPr>
              <w:t>● Simple identification personal information (name; official email address; business address; telephone number of birth buyer the supplier. </w:t>
            </w:r>
          </w:p>
          <w:p w14:paraId="0EAD0FE2" w14:textId="77777777" w:rsidR="00956F56" w:rsidRDefault="00956F56"/>
          <w:p w14:paraId="20471969" w14:textId="77777777" w:rsidR="00956F56" w:rsidRDefault="00956F56">
            <w:pPr>
              <w:pStyle w:val="NormalWeb"/>
              <w:spacing w:before="0" w:beforeAutospacing="0" w:after="200" w:afterAutospacing="0"/>
            </w:pPr>
            <w:r>
              <w:rPr>
                <w:rFonts w:ascii="Helvetica Neue" w:hAnsi="Helvetica Neue"/>
                <w:b/>
                <w:bCs/>
                <w:color w:val="000000"/>
              </w:rPr>
              <w:t>The Parties are Independent Controllers of Personal Data</w:t>
            </w:r>
          </w:p>
          <w:p w14:paraId="62A68F7C" w14:textId="77777777" w:rsidR="00956F56" w:rsidRDefault="00956F56">
            <w:pPr>
              <w:pStyle w:val="NormalWeb"/>
              <w:spacing w:before="0" w:beforeAutospacing="0" w:after="200" w:afterAutospacing="0"/>
            </w:pPr>
            <w:r>
              <w:rPr>
                <w:rFonts w:ascii="Helvetica Neue" w:hAnsi="Helvetica Neue"/>
                <w:i/>
                <w:iCs/>
                <w:color w:val="000000"/>
              </w:rPr>
              <w:t>The Parties acknowledge that they are Independent Controllers for the purposes of the Data Protection Legislation in respect of:</w:t>
            </w:r>
          </w:p>
          <w:p w14:paraId="2ADB66AF" w14:textId="77777777" w:rsidR="00956F56" w:rsidRDefault="00956F56" w:rsidP="00956F56">
            <w:pPr>
              <w:pStyle w:val="NormalWeb"/>
              <w:numPr>
                <w:ilvl w:val="0"/>
                <w:numId w:val="114"/>
              </w:numPr>
              <w:spacing w:before="0" w:beforeAutospacing="0" w:after="0" w:afterAutospacing="0"/>
              <w:jc w:val="both"/>
              <w:textAlignment w:val="baseline"/>
              <w:rPr>
                <w:rFonts w:ascii="Helvetica Neue" w:hAnsi="Helvetica Neue"/>
                <w:i/>
                <w:iCs/>
                <w:color w:val="000000"/>
              </w:rPr>
            </w:pPr>
            <w:r>
              <w:rPr>
                <w:rFonts w:ascii="Helvetica Neue" w:hAnsi="Helvetica Neue"/>
                <w:i/>
                <w:iCs/>
                <w:color w:val="000000"/>
              </w:rPr>
              <w:t>Business contact details of Supplier Personnel for which the Supplier is the Controller,</w:t>
            </w:r>
          </w:p>
          <w:p w14:paraId="3DFF0ADC" w14:textId="77777777" w:rsidR="00956F56" w:rsidRDefault="00956F56" w:rsidP="00956F56">
            <w:pPr>
              <w:pStyle w:val="NormalWeb"/>
              <w:numPr>
                <w:ilvl w:val="0"/>
                <w:numId w:val="114"/>
              </w:numPr>
              <w:spacing w:before="0" w:beforeAutospacing="0" w:after="0" w:afterAutospacing="0"/>
              <w:jc w:val="both"/>
              <w:textAlignment w:val="baseline"/>
              <w:rPr>
                <w:rFonts w:ascii="Helvetica Neue" w:hAnsi="Helvetica Neue"/>
                <w:i/>
                <w:iCs/>
                <w:color w:val="000000"/>
              </w:rPr>
            </w:pPr>
            <w:r>
              <w:rPr>
                <w:rFonts w:ascii="Helvetica Neue" w:hAnsi="Helvetica Neue"/>
                <w:i/>
                <w:iCs/>
                <w:color w:val="000000"/>
              </w:rPr>
              <w:lastRenderedPageBreak/>
              <w:t>Business contact details of any</w:t>
            </w:r>
            <w:r>
              <w:rPr>
                <w:rFonts w:ascii="Helvetica Neue" w:hAnsi="Helvetica Neue"/>
                <w:color w:val="000000"/>
              </w:rPr>
              <w:t xml:space="preserve"> </w:t>
            </w:r>
            <w:r>
              <w:rPr>
                <w:rFonts w:ascii="Helvetica Neue" w:hAnsi="Helvetica Neue"/>
                <w:i/>
                <w:iCs/>
                <w:color w:val="000000"/>
              </w:rPr>
              <w:t>directors, officers, employees, agents, consultants and contractors of Buyer (excluding the Supplier Personnel) engaged in the performance of the Buyer’s duties under the Contract) for which the Buyer is the Controller,</w:t>
            </w:r>
          </w:p>
          <w:p w14:paraId="7C50781A" w14:textId="77777777" w:rsidR="00956F56" w:rsidRDefault="00956F56" w:rsidP="00956F56">
            <w:pPr>
              <w:pStyle w:val="NormalWeb"/>
              <w:numPr>
                <w:ilvl w:val="0"/>
                <w:numId w:val="114"/>
              </w:numPr>
              <w:spacing w:before="0" w:beforeAutospacing="0" w:after="0" w:afterAutospacing="0"/>
              <w:jc w:val="both"/>
              <w:textAlignment w:val="baseline"/>
              <w:rPr>
                <w:rFonts w:ascii="Helvetica Neue" w:hAnsi="Helvetica Neue"/>
                <w:i/>
                <w:iCs/>
                <w:color w:val="000000"/>
              </w:rPr>
            </w:pPr>
            <w:r>
              <w:rPr>
                <w:rFonts w:ascii="Helvetica Neue" w:hAnsi="Helvetica Neue"/>
                <w:i/>
                <w:iCs/>
                <w:color w:val="000000"/>
              </w:rPr>
              <w:t>SRS data where the  Supplier comes to the transaction with Personal Data for which it is already Controller for use by the Buyer] </w:t>
            </w:r>
          </w:p>
          <w:p w14:paraId="361C8A03" w14:textId="77777777" w:rsidR="00956F56" w:rsidRDefault="00956F56">
            <w:pPr>
              <w:pStyle w:val="NormalWeb"/>
              <w:spacing w:before="0" w:beforeAutospacing="0" w:after="200" w:afterAutospacing="0"/>
            </w:pPr>
            <w:r>
              <w:rPr>
                <w:rFonts w:ascii="Helvetica Neue" w:hAnsi="Helvetica Neue"/>
                <w:i/>
                <w:iCs/>
                <w:color w:val="000000"/>
              </w:rPr>
              <w:t> </w:t>
            </w:r>
          </w:p>
        </w:tc>
      </w:tr>
      <w:tr w:rsidR="00956F56" w14:paraId="754F02E5" w14:textId="77777777" w:rsidTr="00956F56">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33022B" w14:textId="77777777" w:rsidR="00956F56" w:rsidRDefault="00956F56">
            <w:pPr>
              <w:pStyle w:val="NormalWeb"/>
              <w:spacing w:before="0" w:beforeAutospacing="0" w:after="200" w:afterAutospacing="0"/>
            </w:pPr>
            <w:r>
              <w:rPr>
                <w:rFonts w:ascii="Helvetica Neue" w:hAnsi="Helvetica Neue"/>
                <w:color w:val="000000"/>
              </w:rPr>
              <w:lastRenderedPageBreak/>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71173" w14:textId="77777777" w:rsidR="00956F56" w:rsidRDefault="00956F56">
            <w:pPr>
              <w:pStyle w:val="NormalWeb"/>
              <w:spacing w:before="0" w:beforeAutospacing="0" w:after="200" w:afterAutospacing="0"/>
            </w:pPr>
            <w:r>
              <w:rPr>
                <w:rFonts w:ascii="Helvetica Neue" w:hAnsi="Helvetica Neue"/>
                <w:i/>
                <w:iCs/>
                <w:color w:val="000000"/>
              </w:rPr>
              <w:t>13 Feb 2020 to 14 Mar 2020 for initial delivery.</w:t>
            </w:r>
          </w:p>
          <w:p w14:paraId="21953CED" w14:textId="77777777" w:rsidR="00956F56" w:rsidRDefault="00956F56">
            <w:pPr>
              <w:pStyle w:val="NormalWeb"/>
              <w:spacing w:before="0" w:beforeAutospacing="0" w:after="200" w:afterAutospacing="0"/>
            </w:pPr>
            <w:r>
              <w:rPr>
                <w:rFonts w:ascii="Helvetica Neue" w:hAnsi="Helvetica Neue"/>
                <w:i/>
                <w:iCs/>
                <w:color w:val="000000"/>
              </w:rPr>
              <w:t>15 Mar 2020 – 15 Apr 2020 to polish delivered product(s) should it be required.</w:t>
            </w:r>
          </w:p>
        </w:tc>
      </w:tr>
      <w:tr w:rsidR="00956F56" w14:paraId="14003398" w14:textId="77777777" w:rsidTr="00956F56">
        <w:trPr>
          <w:trHeight w:val="1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F113C" w14:textId="77777777" w:rsidR="00956F56" w:rsidRDefault="00956F56">
            <w:pPr>
              <w:pStyle w:val="NormalWeb"/>
              <w:spacing w:before="0" w:beforeAutospacing="0" w:after="200" w:afterAutospacing="0"/>
            </w:pPr>
            <w:r>
              <w:rPr>
                <w:rFonts w:ascii="Helvetica Neue" w:hAnsi="Helvetica Neue"/>
                <w:color w:val="000000"/>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52959" w14:textId="77777777" w:rsidR="00956F56" w:rsidRDefault="00956F56">
            <w:pPr>
              <w:pStyle w:val="NormalWeb"/>
              <w:spacing w:before="0" w:beforeAutospacing="0" w:after="200" w:afterAutospacing="0"/>
            </w:pPr>
            <w:r>
              <w:rPr>
                <w:rFonts w:ascii="Helvetica Neue" w:hAnsi="Helvetica Neue"/>
                <w:i/>
                <w:iCs/>
                <w:color w:val="000000"/>
              </w:rPr>
              <w:t>The nature of this procurement is to provide high level design for a future CCS Evidence handling system/service.  As this element of work relates to design rather than physical data processing it is not anticipated that any data processing will actually be required / occur in regard to this work phase, other than that outlined above </w:t>
            </w:r>
          </w:p>
        </w:tc>
      </w:tr>
      <w:tr w:rsidR="00956F56" w14:paraId="7749A1AC" w14:textId="77777777" w:rsidTr="00956F56">
        <w:trPr>
          <w:trHeight w:val="1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C81639" w14:textId="77777777" w:rsidR="00956F56" w:rsidRDefault="00956F56">
            <w:pPr>
              <w:pStyle w:val="NormalWeb"/>
              <w:spacing w:before="0" w:beforeAutospacing="0" w:after="200" w:afterAutospacing="0"/>
            </w:pPr>
            <w:r>
              <w:rPr>
                <w:rFonts w:ascii="Helvetica Neue" w:hAnsi="Helvetica Neue"/>
                <w:color w:val="000000"/>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977E7" w14:textId="77777777" w:rsidR="00956F56" w:rsidRDefault="00956F56">
            <w:pPr>
              <w:pStyle w:val="NormalWeb"/>
              <w:spacing w:before="0" w:beforeAutospacing="0" w:after="200" w:afterAutospacing="0"/>
            </w:pPr>
            <w:r>
              <w:rPr>
                <w:rFonts w:ascii="Helvetica Neue" w:hAnsi="Helvetica Neue"/>
                <w:i/>
                <w:iCs/>
                <w:color w:val="000000"/>
              </w:rPr>
              <w:t>Nil</w:t>
            </w:r>
          </w:p>
        </w:tc>
      </w:tr>
      <w:tr w:rsidR="00956F56" w14:paraId="0AFC38AB" w14:textId="77777777" w:rsidTr="00956F56">
        <w:trPr>
          <w:trHeight w:val="1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C2BA2" w14:textId="77777777" w:rsidR="00956F56" w:rsidRDefault="00956F56">
            <w:pPr>
              <w:pStyle w:val="NormalWeb"/>
              <w:spacing w:before="0" w:beforeAutospacing="0" w:after="200" w:afterAutospacing="0"/>
            </w:pPr>
            <w:r>
              <w:rPr>
                <w:rFonts w:ascii="Helvetica Neue" w:hAnsi="Helvetica Neue"/>
                <w:color w:val="000000"/>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2D246" w14:textId="77777777" w:rsidR="00956F56" w:rsidRDefault="00956F56">
            <w:pPr>
              <w:pStyle w:val="NormalWeb"/>
              <w:spacing w:before="0" w:beforeAutospacing="0" w:after="200" w:afterAutospacing="0"/>
            </w:pPr>
            <w:r>
              <w:rPr>
                <w:rFonts w:ascii="Helvetica Neue" w:hAnsi="Helvetica Neue"/>
                <w:i/>
                <w:iCs/>
                <w:color w:val="000000"/>
              </w:rPr>
              <w:t>If required some elements of  anonymised customers / clients, supplier’s data to be used as historic information to be used to empower design of Conclave Evidence Locker </w:t>
            </w:r>
          </w:p>
          <w:p w14:paraId="3C399AE6" w14:textId="77777777" w:rsidR="00956F56" w:rsidRDefault="00956F56">
            <w:pPr>
              <w:pStyle w:val="NormalWeb"/>
              <w:spacing w:before="0" w:beforeAutospacing="0" w:after="200" w:afterAutospacing="0"/>
            </w:pPr>
            <w:r>
              <w:rPr>
                <w:rFonts w:ascii="Helvetica Neue" w:hAnsi="Helvetica Neue"/>
                <w:i/>
                <w:iCs/>
                <w:color w:val="000000"/>
              </w:rPr>
              <w:t xml:space="preserve"> i) </w:t>
            </w:r>
            <w:proofErr w:type="gramStart"/>
            <w:r>
              <w:rPr>
                <w:rFonts w:ascii="Helvetica Neue" w:hAnsi="Helvetica Neue"/>
                <w:i/>
                <w:iCs/>
                <w:color w:val="000000"/>
              </w:rPr>
              <w:t>type</w:t>
            </w:r>
            <w:proofErr w:type="gramEnd"/>
            <w:r>
              <w:rPr>
                <w:rFonts w:ascii="Helvetica Neue" w:hAnsi="Helvetica Neue"/>
                <w:i/>
                <w:iCs/>
                <w:color w:val="000000"/>
              </w:rPr>
              <w:t xml:space="preserve"> of questions to asked. </w:t>
            </w:r>
          </w:p>
          <w:p w14:paraId="08F850BC" w14:textId="77777777" w:rsidR="00956F56" w:rsidRDefault="00956F56">
            <w:pPr>
              <w:pStyle w:val="NormalWeb"/>
              <w:spacing w:before="0" w:beforeAutospacing="0" w:after="200" w:afterAutospacing="0"/>
            </w:pPr>
            <w:r>
              <w:rPr>
                <w:rFonts w:ascii="Helvetica Neue" w:hAnsi="Helvetica Neue"/>
                <w:i/>
                <w:iCs/>
                <w:color w:val="000000"/>
              </w:rPr>
              <w:t> ii) Type and form of answers. </w:t>
            </w:r>
          </w:p>
          <w:p w14:paraId="393DF458" w14:textId="77777777" w:rsidR="00956F56" w:rsidRDefault="00956F56">
            <w:pPr>
              <w:pStyle w:val="NormalWeb"/>
              <w:spacing w:before="0" w:beforeAutospacing="0" w:after="200" w:afterAutospacing="0"/>
            </w:pPr>
            <w:r>
              <w:rPr>
                <w:rFonts w:ascii="Helvetica Neue" w:hAnsi="Helvetica Neue"/>
                <w:i/>
                <w:iCs/>
                <w:color w:val="000000"/>
              </w:rPr>
              <w:t> iii) Evidential material provided to support any evidential assertions made. </w:t>
            </w:r>
          </w:p>
          <w:p w14:paraId="18D3A8B7" w14:textId="180A4A94" w:rsidR="00956F56" w:rsidRDefault="00956F56">
            <w:pPr>
              <w:pStyle w:val="NormalWeb"/>
              <w:spacing w:before="0" w:beforeAutospacing="0" w:after="200" w:afterAutospacing="0"/>
            </w:pPr>
          </w:p>
        </w:tc>
      </w:tr>
      <w:tr w:rsidR="00956F56" w14:paraId="43801C01" w14:textId="77777777" w:rsidTr="00956F56">
        <w:trPr>
          <w:trHeight w:val="1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6B6D7" w14:textId="77777777" w:rsidR="00956F56" w:rsidRDefault="00956F56">
            <w:pPr>
              <w:pStyle w:val="NormalWeb"/>
              <w:spacing w:before="0" w:beforeAutospacing="0" w:after="200" w:afterAutospacing="0"/>
            </w:pPr>
            <w:r>
              <w:rPr>
                <w:rFonts w:ascii="Helvetica Neue" w:hAnsi="Helvetica Neue"/>
                <w:color w:val="000000"/>
              </w:rPr>
              <w:t>Plan for return and destruction of the data once the Processing is complete</w:t>
            </w:r>
          </w:p>
          <w:p w14:paraId="47710ADB" w14:textId="77777777" w:rsidR="00956F56" w:rsidRDefault="00956F56">
            <w:pPr>
              <w:pStyle w:val="NormalWeb"/>
              <w:spacing w:before="0" w:beforeAutospacing="0" w:after="200" w:afterAutospacing="0"/>
            </w:pPr>
            <w:r>
              <w:rPr>
                <w:rFonts w:ascii="Helvetica Neue" w:hAnsi="Helvetica Neue"/>
                <w:color w:val="000000"/>
              </w:rPr>
              <w:t>UNLESS requirement under Union or Member State law to preserve that type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A489A" w14:textId="77777777" w:rsidR="00956F56" w:rsidRDefault="00956F56">
            <w:pPr>
              <w:pStyle w:val="NormalWeb"/>
              <w:spacing w:before="0" w:beforeAutospacing="0" w:after="200" w:afterAutospacing="0"/>
            </w:pPr>
            <w:r>
              <w:rPr>
                <w:rFonts w:ascii="Helvetica Neue" w:hAnsi="Helvetica Neue"/>
                <w:i/>
                <w:iCs/>
                <w:color w:val="000000"/>
              </w:rPr>
              <w:t>Only data to be used is data already held by CCS.  Any data used will be returned to the originating source or will be permanently housed within the Evidence Locker as the new CCS permanent home for the data.</w:t>
            </w:r>
          </w:p>
        </w:tc>
      </w:tr>
    </w:tbl>
    <w:p w14:paraId="692F2552" w14:textId="03EAA3B2" w:rsidR="0001459B" w:rsidRPr="009E4569" w:rsidRDefault="0001459B" w:rsidP="00956F56">
      <w:pPr>
        <w:pStyle w:val="Heading2"/>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[Supplier/Buyer]: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r>
      <w:proofErr w:type="gramStart"/>
      <w:r w:rsidRPr="009E4569">
        <w:rPr>
          <w:rFonts w:ascii="Helvetica Neue" w:eastAsia="Tahoma" w:hAnsi="Helvetica Neue" w:cs="Tahoma"/>
          <w:highlight w:val="white"/>
        </w:rPr>
        <w:t>is</w:t>
      </w:r>
      <w:proofErr w:type="gramEnd"/>
      <w:r w:rsidRPr="009E4569">
        <w:rPr>
          <w:rFonts w:ascii="Helvetica Neue" w:eastAsia="Tahoma" w:hAnsi="Helvetica Neue" w:cs="Tahoma"/>
          <w:highlight w:val="white"/>
        </w:rPr>
        <w:t xml:space="preserve">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r>
      <w:proofErr w:type="gramStart"/>
      <w:r w:rsidRPr="009E4569">
        <w:rPr>
          <w:rFonts w:ascii="Helvetica Neue" w:eastAsia="Tahoma" w:hAnsi="Helvetica Neue" w:cs="Tahoma"/>
          <w:highlight w:val="white"/>
        </w:rPr>
        <w:t>shall</w:t>
      </w:r>
      <w:proofErr w:type="gramEnd"/>
      <w:r w:rsidRPr="009E4569">
        <w:rPr>
          <w:rFonts w:ascii="Helvetica Neue" w:eastAsia="Tahoma" w:hAnsi="Helvetica Neue" w:cs="Tahoma"/>
          <w:highlight w:val="white"/>
        </w:rPr>
        <w:t xml:space="preserve">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w:t>
      </w:r>
      <w:proofErr w:type="gramStart"/>
      <w:r w:rsidRPr="009E4569">
        <w:rPr>
          <w:rFonts w:ascii="Helvetica Neue" w:eastAsia="Tahoma" w:hAnsi="Helvetica Neue" w:cs="Tahoma"/>
          <w:highlight w:val="white"/>
        </w:rPr>
        <w:t>c</w:t>
      </w:r>
      <w:proofErr w:type="gramEnd"/>
      <w:r w:rsidRPr="009E4569">
        <w:rPr>
          <w:rFonts w:ascii="Helvetica Neue" w:eastAsia="Tahoma" w:hAnsi="Helvetica Neue" w:cs="Tahoma"/>
          <w:highlight w:val="white"/>
        </w:rPr>
        <w:t>)</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Supplier’s/Buyer’s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r>
      <w:proofErr w:type="gramStart"/>
      <w:r w:rsidRPr="009E4569">
        <w:rPr>
          <w:rFonts w:ascii="Helvetica Neue" w:eastAsia="Tahoma" w:hAnsi="Helvetica Neue" w:cs="Tahoma"/>
        </w:rPr>
        <w:t>report</w:t>
      </w:r>
      <w:proofErr w:type="gramEnd"/>
      <w:r w:rsidRPr="009E4569">
        <w:rPr>
          <w:rFonts w:ascii="Helvetica Neue" w:eastAsia="Tahoma" w:hAnsi="Helvetica Neue" w:cs="Tahoma"/>
        </w:rPr>
        <w:t xml:space="preserve"> to the other Party every </w:t>
      </w:r>
      <w:r w:rsidRPr="009E4569">
        <w:rPr>
          <w:rFonts w:ascii="Helvetica Neue" w:eastAsia="Tahoma" w:hAnsi="Helvetica Neue" w:cs="Tahoma"/>
          <w:highlight w:val="yellow"/>
        </w:rPr>
        <w:t>[x]</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r>
      <w:proofErr w:type="gramStart"/>
      <w:r w:rsidRPr="009E4569">
        <w:rPr>
          <w:rFonts w:ascii="Helvetica Neue" w:eastAsia="Tahoma" w:hAnsi="Helvetica Neue" w:cs="Tahoma"/>
        </w:rPr>
        <w:t>any</w:t>
      </w:r>
      <w:proofErr w:type="gramEnd"/>
      <w:r w:rsidRPr="009E4569">
        <w:rPr>
          <w:rFonts w:ascii="Helvetica Neue" w:eastAsia="Tahoma" w:hAnsi="Helvetica Neue" w:cs="Tahoma"/>
        </w:rPr>
        <w:t xml:space="preserve">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r>
      <w:proofErr w:type="gramStart"/>
      <w:r w:rsidRPr="009E4569">
        <w:rPr>
          <w:rFonts w:ascii="Helvetica Neue" w:eastAsia="Tahoma" w:hAnsi="Helvetica Neue" w:cs="Tahoma"/>
        </w:rPr>
        <w:t>any</w:t>
      </w:r>
      <w:proofErr w:type="gramEnd"/>
      <w:r w:rsidRPr="009E4569">
        <w:rPr>
          <w:rFonts w:ascii="Helvetica Neue" w:eastAsia="Tahoma" w:hAnsi="Helvetica Neue" w:cs="Tahoma"/>
        </w:rPr>
        <w:t xml:space="preserve">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r>
      <w:proofErr w:type="gramStart"/>
      <w:r w:rsidRPr="009E4569">
        <w:rPr>
          <w:rFonts w:ascii="Helvetica Neue" w:eastAsia="Tahoma" w:hAnsi="Helvetica Neue" w:cs="Tahoma"/>
        </w:rPr>
        <w:t>any</w:t>
      </w:r>
      <w:proofErr w:type="gramEnd"/>
      <w:r w:rsidRPr="009E4569">
        <w:rPr>
          <w:rFonts w:ascii="Helvetica Neue" w:eastAsia="Tahoma" w:hAnsi="Helvetica Neue" w:cs="Tahoma"/>
        </w:rPr>
        <w:t xml:space="preserve">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proofErr w:type="gramStart"/>
      <w:r w:rsidRPr="009E4569">
        <w:rPr>
          <w:rFonts w:ascii="Helvetica Neue" w:eastAsia="Tahoma" w:hAnsi="Helvetica Neue" w:cs="Tahoma"/>
        </w:rPr>
        <w:t>that</w:t>
      </w:r>
      <w:proofErr w:type="gramEnd"/>
      <w:r w:rsidRPr="009E4569">
        <w:rPr>
          <w:rFonts w:ascii="Helvetica Neue" w:eastAsia="Tahoma" w:hAnsi="Helvetica Neue" w:cs="Tahoma"/>
        </w:rPr>
        <w:t xml:space="preserve">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r>
      <w:proofErr w:type="gramStart"/>
      <w:r w:rsidRPr="009E4569">
        <w:rPr>
          <w:rFonts w:ascii="Helvetica Neue" w:eastAsia="Tahoma" w:hAnsi="Helvetica Neue" w:cs="Tahoma"/>
        </w:rPr>
        <w:t>request</w:t>
      </w:r>
      <w:proofErr w:type="gramEnd"/>
      <w:r w:rsidRPr="009E4569">
        <w:rPr>
          <w:rFonts w:ascii="Helvetica Neue" w:eastAsia="Tahoma" w:hAnsi="Helvetica Neue" w:cs="Tahoma"/>
        </w:rPr>
        <w:t xml:space="preserve">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r>
      <w:proofErr w:type="gramStart"/>
      <w:r w:rsidRPr="009E4569">
        <w:rPr>
          <w:rFonts w:ascii="Helvetica Neue" w:eastAsia="Tahoma" w:hAnsi="Helvetica Neue" w:cs="Tahoma"/>
        </w:rPr>
        <w:t>take</w:t>
      </w:r>
      <w:proofErr w:type="gramEnd"/>
      <w:r w:rsidRPr="009E4569">
        <w:rPr>
          <w:rFonts w:ascii="Helvetica Neue" w:eastAsia="Tahoma" w:hAnsi="Helvetica Neue" w:cs="Tahoma"/>
        </w:rPr>
        <w:t xml:space="preserv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gramStart"/>
      <w:r w:rsidRPr="009E4569">
        <w:rPr>
          <w:rFonts w:ascii="Helvetica Neue" w:eastAsia="Tahoma" w:hAnsi="Helvetica Neue" w:cs="Tahoma"/>
        </w:rPr>
        <w:t>i</w:t>
      </w:r>
      <w:proofErr w:type="gramEnd"/>
      <w:r w:rsidRPr="009E4569">
        <w:rPr>
          <w:rFonts w:ascii="Helvetica Neue" w:eastAsia="Tahoma" w:hAnsi="Helvetica Neue" w:cs="Tahoma"/>
        </w:rPr>
        <w:t>)</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r>
      <w:proofErr w:type="gramStart"/>
      <w:r w:rsidRPr="009E4569">
        <w:rPr>
          <w:rFonts w:ascii="Helvetica Neue" w:eastAsia="Tahoma" w:hAnsi="Helvetica Neue" w:cs="Tahoma"/>
        </w:rPr>
        <w:t>have</w:t>
      </w:r>
      <w:proofErr w:type="gramEnd"/>
      <w:r w:rsidRPr="009E4569">
        <w:rPr>
          <w:rFonts w:ascii="Helvetica Neue" w:eastAsia="Tahoma" w:hAnsi="Helvetica Neue" w:cs="Tahoma"/>
        </w:rPr>
        <w:t xml:space="preser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proofErr w:type="gramStart"/>
      <w:r w:rsidRPr="009E4569">
        <w:rPr>
          <w:rFonts w:ascii="Helvetica Neue" w:eastAsia="Tahoma" w:hAnsi="Helvetica Neue" w:cs="Tahoma"/>
        </w:rPr>
        <w:t>nature</w:t>
      </w:r>
      <w:proofErr w:type="gramEnd"/>
      <w:r w:rsidRPr="009E4569">
        <w:rPr>
          <w:rFonts w:ascii="Helvetica Neue" w:eastAsia="Tahoma" w:hAnsi="Helvetica Neue" w:cs="Tahoma"/>
        </w:rPr>
        <w:t xml:space="preserv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proofErr w:type="gramStart"/>
      <w:r w:rsidRPr="009E4569">
        <w:rPr>
          <w:rFonts w:ascii="Helvetica Neue" w:eastAsia="Tahoma" w:hAnsi="Helvetica Neue" w:cs="Tahoma"/>
        </w:rPr>
        <w:t>harm</w:t>
      </w:r>
      <w:proofErr w:type="gramEnd"/>
      <w:r w:rsidRPr="009E4569">
        <w:rPr>
          <w:rFonts w:ascii="Helvetica Neue" w:eastAsia="Tahoma" w:hAnsi="Helvetica Neue" w:cs="Tahoma"/>
        </w:rPr>
        <w:t xml:space="preserve">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(iii)   </w:t>
      </w:r>
      <w:proofErr w:type="gramStart"/>
      <w:r w:rsidRPr="009E4569">
        <w:rPr>
          <w:rFonts w:ascii="Helvetica Neue" w:eastAsia="Tahoma" w:hAnsi="Helvetica Neue" w:cs="Tahoma"/>
        </w:rPr>
        <w:t>state</w:t>
      </w:r>
      <w:proofErr w:type="gramEnd"/>
      <w:r w:rsidRPr="009E4569">
        <w:rPr>
          <w:rFonts w:ascii="Helvetica Neue" w:eastAsia="Tahoma" w:hAnsi="Helvetica Neue" w:cs="Tahoma"/>
        </w:rPr>
        <w:t xml:space="preserv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gramStart"/>
      <w:r w:rsidRPr="009E4569">
        <w:rPr>
          <w:rFonts w:ascii="Helvetica Neue" w:eastAsia="Tahoma" w:hAnsi="Helvetica Neue" w:cs="Tahoma"/>
        </w:rPr>
        <w:t>iv</w:t>
      </w:r>
      <w:proofErr w:type="gramEnd"/>
      <w:r w:rsidRPr="009E4569">
        <w:rPr>
          <w:rFonts w:ascii="Helvetica Neue" w:eastAsia="Tahoma" w:hAnsi="Helvetica Neue" w:cs="Tahoma"/>
        </w:rPr>
        <w:t>)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r>
      <w:proofErr w:type="gramStart"/>
      <w:r w:rsidRPr="009E4569">
        <w:rPr>
          <w:rFonts w:ascii="Helvetica Neue" w:eastAsia="Tahoma" w:hAnsi="Helvetica Neue" w:cs="Tahoma"/>
        </w:rPr>
        <w:t>ensure</w:t>
      </w:r>
      <w:proofErr w:type="gramEnd"/>
      <w:r w:rsidRPr="009E4569">
        <w:rPr>
          <w:rFonts w:ascii="Helvetica Neue" w:eastAsia="Tahoma" w:hAnsi="Helvetica Neue" w:cs="Tahoma"/>
        </w:rPr>
        <w:t xml:space="preserv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 xml:space="preserve">(a) </w:t>
      </w:r>
      <w:proofErr w:type="gramStart"/>
      <w:r w:rsidRPr="009E4569">
        <w:rPr>
          <w:rFonts w:ascii="Helvetica Neue" w:eastAsia="Tahoma" w:hAnsi="Helvetica Neue" w:cs="Tahoma"/>
        </w:rPr>
        <w:t>sufficient</w:t>
      </w:r>
      <w:proofErr w:type="gramEnd"/>
      <w:r w:rsidRPr="009E4569">
        <w:rPr>
          <w:rFonts w:ascii="Helvetica Neue" w:eastAsia="Tahoma" w:hAnsi="Helvetica Neue" w:cs="Tahoma"/>
        </w:rPr>
        <w:t xml:space="preserve">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(b) </w:t>
      </w:r>
      <w:proofErr w:type="gramStart"/>
      <w:r w:rsidRPr="009E4569">
        <w:rPr>
          <w:rFonts w:ascii="Helvetica Neue" w:eastAsia="Tahoma" w:hAnsi="Helvetica Neue" w:cs="Tahoma"/>
        </w:rPr>
        <w:t>all</w:t>
      </w:r>
      <w:proofErr w:type="gramEnd"/>
      <w:r w:rsidRPr="009E4569">
        <w:rPr>
          <w:rFonts w:ascii="Helvetica Neue" w:eastAsia="Tahoma" w:hAnsi="Helvetica Neue" w:cs="Tahoma"/>
        </w:rPr>
        <w:t xml:space="preserve"> reasonable assistance, including:</w:t>
      </w:r>
    </w:p>
    <w:p w14:paraId="752CD6F0"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proofErr w:type="gramStart"/>
      <w:r w:rsidRPr="009E4569">
        <w:rPr>
          <w:rFonts w:ascii="Helvetica Neue" w:eastAsia="Tahoma" w:hAnsi="Helvetica Neue" w:cs="Tahoma"/>
          <w:color w:val="000000"/>
        </w:rPr>
        <w:t>providing</w:t>
      </w:r>
      <w:proofErr w:type="gramEnd"/>
      <w:r w:rsidRPr="009E4569">
        <w:rPr>
          <w:rFonts w:ascii="Helvetica Neue" w:eastAsia="Tahoma" w:hAnsi="Helvetica Neue" w:cs="Tahoma"/>
          <w:color w:val="000000"/>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w:t>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(b) </w:t>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(c) </w:t>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(d) </w:t>
      </w:r>
      <w:proofErr w:type="gramStart"/>
      <w:r w:rsidRPr="009E4569">
        <w:rPr>
          <w:rFonts w:ascii="Helvetica Neue" w:eastAsia="Tahoma" w:hAnsi="Helvetica Neue" w:cs="Tahoma"/>
        </w:rPr>
        <w:t>the</w:t>
      </w:r>
      <w:proofErr w:type="gramEnd"/>
      <w:r w:rsidRPr="009E4569">
        <w:rPr>
          <w:rFonts w:ascii="Helvetica Neue" w:eastAsia="Tahoma" w:hAnsi="Helvetica Neue" w:cs="Tahoma"/>
        </w:rPr>
        <w:t xml:space="preserv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(e) </w:t>
      </w:r>
      <w:proofErr w:type="gramStart"/>
      <w:r w:rsidRPr="009E4569">
        <w:rPr>
          <w:rFonts w:ascii="Helvetica Neue" w:eastAsia="Tahoma" w:hAnsi="Helvetica Neue" w:cs="Tahoma"/>
        </w:rPr>
        <w:t>measures</w:t>
      </w:r>
      <w:proofErr w:type="gramEnd"/>
      <w:r w:rsidRPr="009E4569">
        <w:rPr>
          <w:rFonts w:ascii="Helvetica Neue" w:eastAsia="Tahoma" w:hAnsi="Helvetica Neue" w:cs="Tahoma"/>
        </w:rPr>
        <w:t xml:space="preserve">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 xml:space="preserve">(f) </w:t>
      </w:r>
      <w:proofErr w:type="gramStart"/>
      <w:r w:rsidRPr="009E4569">
        <w:rPr>
          <w:rFonts w:ascii="Helvetica Neue" w:eastAsia="Tahoma" w:hAnsi="Helvetica Neue" w:cs="Tahoma"/>
        </w:rPr>
        <w:t>describe</w:t>
      </w:r>
      <w:proofErr w:type="gramEnd"/>
      <w:r w:rsidRPr="009E4569">
        <w:rPr>
          <w:rFonts w:ascii="Helvetica Neue" w:eastAsia="Tahoma" w:hAnsi="Helvetica Neue" w:cs="Tahoma"/>
        </w:rPr>
        <w:t xml:space="preserv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proofErr w:type="gramStart"/>
      <w:r w:rsidRPr="009E4569">
        <w:rPr>
          <w:rFonts w:ascii="Helvetica Neue" w:eastAsia="Tahoma" w:hAnsi="Helvetica Neue" w:cs="Tahoma"/>
        </w:rPr>
        <w:t>4.1  The</w:t>
      </w:r>
      <w:proofErr w:type="gramEnd"/>
      <w:r w:rsidRPr="009E4569">
        <w:rPr>
          <w:rFonts w:ascii="Helvetica Neue" w:eastAsia="Tahoma" w:hAnsi="Helvetica Neue" w:cs="Tahoma"/>
        </w:rPr>
        <w:t xml:space="preserve"> Supplier shall permit:</w:t>
      </w:r>
      <w:r w:rsidRPr="009E4569">
        <w:rPr>
          <w:rFonts w:ascii="Helvetica Neue" w:eastAsia="Tahoma" w:hAnsi="Helvetica Neue" w:cs="Tahoma"/>
        </w:rPr>
        <w:tab/>
      </w:r>
    </w:p>
    <w:p w14:paraId="75A79078" w14:textId="3A32CA69"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proofErr w:type="gramStart"/>
      <w:r w:rsidRPr="009E4569">
        <w:rPr>
          <w:rFonts w:ascii="Helvetica Neue" w:eastAsia="Tahoma" w:hAnsi="Helvetica Neue" w:cs="Tahoma"/>
        </w:rPr>
        <w:t>maintain</w:t>
      </w:r>
      <w:proofErr w:type="gramEnd"/>
      <w:r w:rsidRPr="009E4569">
        <w:rPr>
          <w:rFonts w:ascii="Helvetica Neue" w:eastAsia="Tahoma" w:hAnsi="Helvetica Neue" w:cs="Tahoma"/>
        </w:rPr>
        <w:t xml:space="preserve">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proofErr w:type="gramStart"/>
      <w:r w:rsidRPr="009E4569">
        <w:rPr>
          <w:rFonts w:ascii="Helvetica Neue" w:eastAsia="Tahoma" w:hAnsi="Helvetica Neue" w:cs="Tahoma"/>
        </w:rPr>
        <w:t>if</w:t>
      </w:r>
      <w:proofErr w:type="gramEnd"/>
      <w:r w:rsidRPr="009E4569">
        <w:rPr>
          <w:rFonts w:ascii="Helvetica Neue" w:eastAsia="Tahoma" w:hAnsi="Helvetica Neue" w:cs="Tahoma"/>
        </w:rPr>
        <w:t xml:space="preserve">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rsidRPr="009E4569">
        <w:rPr>
          <w:rFonts w:ascii="Helvetica Neue" w:eastAsia="Tahoma" w:hAnsi="Helvetica Neue" w:cs="Tahoma"/>
        </w:rPr>
        <w:lastRenderedPageBreak/>
        <w:t>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8" w:name="_302dr9l" w:colFirst="0" w:colLast="0"/>
      <w:bookmarkEnd w:id="138"/>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9" w:name="_1f7o1he" w:colFirst="0" w:colLast="0"/>
      <w:bookmarkEnd w:id="139"/>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proofErr w:type="gramStart"/>
      <w:r w:rsidRPr="009E4569">
        <w:rPr>
          <w:rFonts w:ascii="Helvetica Neue" w:eastAsia="Tahoma" w:hAnsi="Helvetica Neue" w:cs="Tahoma"/>
        </w:rPr>
        <w:t>if</w:t>
      </w:r>
      <w:proofErr w:type="gramEnd"/>
      <w:r w:rsidRPr="009E4569">
        <w:rPr>
          <w:rFonts w:ascii="Helvetica Neue" w:eastAsia="Tahoma" w:hAnsi="Helvetica Neue" w:cs="Tahoma"/>
        </w:rPr>
        <w:t xml:space="preserve">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 xml:space="preserve">10.1 In respect of any Processing of Personal Data performed by a third party on behalf of a </w:t>
      </w:r>
      <w:proofErr w:type="gramStart"/>
      <w:r w:rsidRPr="009E4569">
        <w:rPr>
          <w:rFonts w:ascii="Helvetica Neue" w:eastAsia="Tahoma" w:hAnsi="Helvetica Neue" w:cs="Tahoma"/>
        </w:rPr>
        <w:t>Party,</w:t>
      </w:r>
      <w:r w:rsidR="00322843">
        <w:rPr>
          <w:rFonts w:ascii="Helvetica Neue" w:eastAsia="Tahoma" w:hAnsi="Helvetica Neue" w:cs="Tahoma"/>
        </w:rPr>
        <w:t xml:space="preserve"> </w:t>
      </w:r>
      <w:r w:rsidRPr="009E4569">
        <w:rPr>
          <w:rFonts w:ascii="Helvetica Neue" w:eastAsia="Tahoma" w:hAnsi="Helvetica Neue" w:cs="Tahoma"/>
        </w:rPr>
        <w:t>that</w:t>
      </w:r>
      <w:proofErr w:type="gramEnd"/>
      <w:r w:rsidRPr="009E4569">
        <w:rPr>
          <w:rFonts w:ascii="Helvetica Neue" w:eastAsia="Tahoma" w:hAnsi="Helvetica Neue" w:cs="Tahoma"/>
        </w:rPr>
        <w:t xml:space="preserve">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 xml:space="preserve">(b) </w:t>
      </w:r>
      <w:proofErr w:type="gramStart"/>
      <w:r w:rsidRPr="009E4569">
        <w:rPr>
          <w:rFonts w:ascii="Helvetica Neue" w:eastAsia="Tahoma" w:hAnsi="Helvetica Neue" w:cs="Tahoma"/>
        </w:rPr>
        <w:t>ensure</w:t>
      </w:r>
      <w:proofErr w:type="gramEnd"/>
      <w:r w:rsidRPr="009E4569">
        <w:rPr>
          <w:rFonts w:ascii="Helvetica Neue" w:eastAsia="Tahoma" w:hAnsi="Helvetica Neue" w:cs="Tahoma"/>
        </w:rPr>
        <w:t xml:space="preserv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2804E9BE" w:rsidR="00F500F8"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p w14:paraId="5F87EB6C" w14:textId="77777777" w:rsidR="00F500F8" w:rsidRDefault="00F500F8">
      <w:pPr>
        <w:rPr>
          <w:rFonts w:ascii="Helvetica Neue" w:eastAsia="Helvetica Neue" w:hAnsi="Helvetica Neue" w:cs="Helvetica Neue"/>
        </w:rPr>
      </w:pPr>
      <w:r>
        <w:rPr>
          <w:rFonts w:ascii="Helvetica Neue" w:eastAsia="Helvetica Neue" w:hAnsi="Helvetica Neue" w:cs="Helvetica Neue"/>
        </w:rPr>
        <w:br w:type="page"/>
      </w:r>
    </w:p>
    <w:p w14:paraId="0DE3F493" w14:textId="77777777" w:rsidR="00F500F8" w:rsidRDefault="00F500F8">
      <w:pPr>
        <w:tabs>
          <w:tab w:val="left" w:pos="3621"/>
        </w:tabs>
        <w:rPr>
          <w:rFonts w:ascii="Helvetica Neue" w:eastAsia="Helvetica Neue" w:hAnsi="Helvetica Neue" w:cs="Helvetica Neue"/>
          <w:b/>
          <w:sz w:val="32"/>
          <w:szCs w:val="32"/>
        </w:rPr>
      </w:pPr>
      <w:r>
        <w:rPr>
          <w:rFonts w:ascii="Helvetica Neue" w:eastAsia="Helvetica Neue" w:hAnsi="Helvetica Neue" w:cs="Helvetica Neue"/>
          <w:b/>
          <w:sz w:val="32"/>
          <w:szCs w:val="32"/>
        </w:rPr>
        <w:lastRenderedPageBreak/>
        <w:t>Schedule 8 – Assumptions</w:t>
      </w:r>
    </w:p>
    <w:p w14:paraId="7D3CAB0D" w14:textId="77777777" w:rsidR="00F500F8" w:rsidRDefault="00F500F8">
      <w:pPr>
        <w:tabs>
          <w:tab w:val="left" w:pos="3621"/>
        </w:tabs>
        <w:rPr>
          <w:rFonts w:ascii="Helvetica Neue" w:eastAsia="Helvetica Neue" w:hAnsi="Helvetica Neue" w:cs="Helvetica Neue"/>
          <w:b/>
          <w:sz w:val="32"/>
          <w:szCs w:val="32"/>
        </w:rPr>
      </w:pPr>
    </w:p>
    <w:p w14:paraId="3A0C3266" w14:textId="4D6689B9" w:rsidR="00F500F8" w:rsidRDefault="00F500F8" w:rsidP="00F500F8">
      <w:pPr>
        <w:pBdr>
          <w:top w:val="nil"/>
          <w:left w:val="nil"/>
          <w:bottom w:val="nil"/>
          <w:right w:val="nil"/>
          <w:between w:val="nil"/>
        </w:pBdr>
        <w:spacing w:before="772"/>
        <w:ind w:left="340" w:right="4492"/>
        <w:rPr>
          <w:color w:val="333333"/>
          <w:sz w:val="20"/>
          <w:szCs w:val="20"/>
        </w:rPr>
      </w:pPr>
      <w:r>
        <w:rPr>
          <w:b/>
          <w:color w:val="333333"/>
          <w:sz w:val="20"/>
          <w:szCs w:val="20"/>
        </w:rPr>
        <w:t xml:space="preserve">1. </w:t>
      </w:r>
      <w:r>
        <w:rPr>
          <w:color w:val="333333"/>
          <w:sz w:val="20"/>
          <w:szCs w:val="20"/>
        </w:rPr>
        <w:t xml:space="preserve">Schema to be built in a relational database. </w:t>
      </w:r>
    </w:p>
    <w:p w14:paraId="00F63765" w14:textId="77777777" w:rsidR="00F500F8" w:rsidRDefault="00F500F8" w:rsidP="00F500F8">
      <w:pPr>
        <w:pBdr>
          <w:top w:val="nil"/>
          <w:left w:val="nil"/>
          <w:bottom w:val="nil"/>
          <w:right w:val="nil"/>
          <w:between w:val="nil"/>
        </w:pBdr>
        <w:spacing w:before="374"/>
        <w:ind w:left="340" w:right="6513"/>
        <w:rPr>
          <w:color w:val="333333"/>
          <w:sz w:val="20"/>
          <w:szCs w:val="20"/>
        </w:rPr>
      </w:pPr>
      <w:r>
        <w:rPr>
          <w:b/>
          <w:color w:val="333333"/>
          <w:sz w:val="20"/>
          <w:szCs w:val="20"/>
        </w:rPr>
        <w:t xml:space="preserve">2. </w:t>
      </w:r>
      <w:r>
        <w:rPr>
          <w:color w:val="333333"/>
          <w:sz w:val="20"/>
          <w:szCs w:val="20"/>
        </w:rPr>
        <w:t xml:space="preserve">REST-ful JSON API. </w:t>
      </w:r>
    </w:p>
    <w:p w14:paraId="00B7C3FC" w14:textId="77777777" w:rsidR="00F500F8" w:rsidRDefault="00F500F8" w:rsidP="00F500F8">
      <w:pPr>
        <w:pBdr>
          <w:top w:val="nil"/>
          <w:left w:val="nil"/>
          <w:bottom w:val="nil"/>
          <w:right w:val="nil"/>
          <w:between w:val="nil"/>
        </w:pBdr>
        <w:spacing w:before="369"/>
        <w:ind w:left="340" w:right="4156"/>
        <w:rPr>
          <w:color w:val="333333"/>
          <w:sz w:val="20"/>
          <w:szCs w:val="20"/>
        </w:rPr>
      </w:pPr>
      <w:r>
        <w:rPr>
          <w:b/>
          <w:color w:val="333333"/>
          <w:sz w:val="20"/>
          <w:szCs w:val="20"/>
        </w:rPr>
        <w:t xml:space="preserve">3. </w:t>
      </w:r>
      <w:r>
        <w:rPr>
          <w:color w:val="333333"/>
          <w:sz w:val="20"/>
          <w:szCs w:val="20"/>
        </w:rPr>
        <w:t xml:space="preserve">Token based authentication system for the API. </w:t>
      </w:r>
    </w:p>
    <w:p w14:paraId="24E6470F" w14:textId="77777777" w:rsidR="00F500F8" w:rsidRDefault="00F500F8" w:rsidP="00F500F8">
      <w:pPr>
        <w:pBdr>
          <w:top w:val="nil"/>
          <w:left w:val="nil"/>
          <w:bottom w:val="nil"/>
          <w:right w:val="nil"/>
          <w:between w:val="nil"/>
        </w:pBdr>
        <w:spacing w:before="369"/>
        <w:ind w:left="340" w:right="2049"/>
        <w:rPr>
          <w:color w:val="333333"/>
          <w:sz w:val="20"/>
          <w:szCs w:val="20"/>
        </w:rPr>
      </w:pPr>
      <w:r>
        <w:rPr>
          <w:b/>
          <w:color w:val="333333"/>
          <w:sz w:val="20"/>
          <w:szCs w:val="20"/>
        </w:rPr>
        <w:t xml:space="preserve">4. </w:t>
      </w:r>
      <w:r>
        <w:rPr>
          <w:color w:val="333333"/>
          <w:sz w:val="20"/>
          <w:szCs w:val="20"/>
        </w:rPr>
        <w:t xml:space="preserve">Capability to connect to a SAML / Open Authentication and OIDC SSO. </w:t>
      </w:r>
    </w:p>
    <w:p w14:paraId="3140C561" w14:textId="77777777" w:rsidR="00F500F8" w:rsidRDefault="00F500F8" w:rsidP="00F500F8">
      <w:pPr>
        <w:pBdr>
          <w:top w:val="nil"/>
          <w:left w:val="nil"/>
          <w:bottom w:val="nil"/>
          <w:right w:val="nil"/>
          <w:between w:val="nil"/>
        </w:pBdr>
        <w:spacing w:before="369"/>
        <w:ind w:left="340" w:right="772"/>
        <w:rPr>
          <w:color w:val="333333"/>
          <w:sz w:val="20"/>
          <w:szCs w:val="20"/>
        </w:rPr>
      </w:pPr>
      <w:r>
        <w:rPr>
          <w:b/>
          <w:color w:val="333333"/>
          <w:sz w:val="20"/>
          <w:szCs w:val="20"/>
        </w:rPr>
        <w:t xml:space="preserve">5. </w:t>
      </w:r>
      <w:r>
        <w:rPr>
          <w:color w:val="333333"/>
          <w:sz w:val="20"/>
          <w:szCs w:val="20"/>
        </w:rPr>
        <w:t xml:space="preserve">Roles and related permissions will be managed by the identity provider micro-service. </w:t>
      </w:r>
    </w:p>
    <w:p w14:paraId="1CE0EAE7" w14:textId="77777777" w:rsidR="00F500F8" w:rsidRDefault="00F500F8" w:rsidP="00F500F8">
      <w:pPr>
        <w:pBdr>
          <w:top w:val="nil"/>
          <w:left w:val="nil"/>
          <w:bottom w:val="nil"/>
          <w:right w:val="nil"/>
          <w:between w:val="nil"/>
        </w:pBdr>
        <w:spacing w:before="369"/>
        <w:ind w:left="340" w:right="-9"/>
        <w:rPr>
          <w:color w:val="333333"/>
          <w:sz w:val="20"/>
          <w:szCs w:val="20"/>
        </w:rPr>
      </w:pPr>
      <w:r>
        <w:rPr>
          <w:b/>
          <w:color w:val="333333"/>
          <w:sz w:val="20"/>
          <w:szCs w:val="20"/>
        </w:rPr>
        <w:t xml:space="preserve">6. </w:t>
      </w:r>
      <w:r>
        <w:rPr>
          <w:sz w:val="20"/>
          <w:szCs w:val="20"/>
        </w:rPr>
        <w:t xml:space="preserve">There is no requirement to build an API in support of a bulk data upload facility (for internal </w:t>
      </w:r>
      <w:proofErr w:type="gramStart"/>
      <w:r>
        <w:rPr>
          <w:sz w:val="20"/>
          <w:szCs w:val="20"/>
        </w:rPr>
        <w:t>IdP  users</w:t>
      </w:r>
      <w:proofErr w:type="gramEnd"/>
      <w:r>
        <w:rPr>
          <w:sz w:val="20"/>
          <w:szCs w:val="20"/>
        </w:rPr>
        <w:t>), or in support of wider document management requirements as part of this work element.  Bulk upload will be required and should be planned for as part of design, however, the physical API bulk upload build has not been included with the scope of this quote.</w:t>
      </w:r>
      <w:r>
        <w:rPr>
          <w:color w:val="333333"/>
          <w:sz w:val="20"/>
          <w:szCs w:val="20"/>
        </w:rPr>
        <w:t xml:space="preserve"> </w:t>
      </w:r>
    </w:p>
    <w:p w14:paraId="7BA054C7" w14:textId="77777777" w:rsidR="00F500F8" w:rsidRDefault="00F500F8" w:rsidP="00F500F8">
      <w:pPr>
        <w:pBdr>
          <w:top w:val="nil"/>
          <w:left w:val="nil"/>
          <w:bottom w:val="nil"/>
          <w:right w:val="nil"/>
          <w:between w:val="nil"/>
        </w:pBdr>
        <w:spacing w:before="369"/>
        <w:ind w:left="340" w:right="14"/>
        <w:rPr>
          <w:color w:val="333333"/>
          <w:sz w:val="20"/>
          <w:szCs w:val="20"/>
        </w:rPr>
      </w:pPr>
      <w:r>
        <w:rPr>
          <w:b/>
          <w:color w:val="333333"/>
          <w:sz w:val="20"/>
          <w:szCs w:val="20"/>
        </w:rPr>
        <w:t xml:space="preserve">7. </w:t>
      </w:r>
      <w:r>
        <w:rPr>
          <w:color w:val="333333"/>
          <w:sz w:val="20"/>
          <w:szCs w:val="20"/>
        </w:rPr>
        <w:t xml:space="preserve">There will be an administrative web interface allowing administration of the data with the same capabilities as the API. </w:t>
      </w:r>
    </w:p>
    <w:p w14:paraId="50E148F8" w14:textId="77777777" w:rsidR="00F500F8" w:rsidRDefault="00F500F8" w:rsidP="00F500F8">
      <w:pPr>
        <w:pBdr>
          <w:top w:val="nil"/>
          <w:left w:val="nil"/>
          <w:bottom w:val="nil"/>
          <w:right w:val="nil"/>
          <w:between w:val="nil"/>
        </w:pBdr>
        <w:spacing w:before="369"/>
        <w:ind w:left="700" w:right="3441"/>
        <w:rPr>
          <w:color w:val="333333"/>
          <w:sz w:val="20"/>
          <w:szCs w:val="20"/>
        </w:rPr>
      </w:pPr>
      <w:r>
        <w:rPr>
          <w:color w:val="333333"/>
          <w:sz w:val="20"/>
          <w:szCs w:val="20"/>
        </w:rPr>
        <w:t xml:space="preserve">◦ The User interface will support multilingual content. </w:t>
      </w:r>
    </w:p>
    <w:p w14:paraId="6DB93F43" w14:textId="77777777" w:rsidR="00F500F8" w:rsidRDefault="00F500F8" w:rsidP="00F500F8">
      <w:pPr>
        <w:pBdr>
          <w:top w:val="nil"/>
          <w:left w:val="nil"/>
          <w:bottom w:val="nil"/>
          <w:right w:val="nil"/>
          <w:between w:val="nil"/>
        </w:pBdr>
        <w:spacing w:before="369"/>
        <w:ind w:left="340" w:right="739"/>
        <w:rPr>
          <w:color w:val="333333"/>
          <w:sz w:val="20"/>
          <w:szCs w:val="20"/>
        </w:rPr>
      </w:pPr>
      <w:r>
        <w:rPr>
          <w:b/>
          <w:color w:val="333333"/>
          <w:sz w:val="20"/>
          <w:szCs w:val="20"/>
        </w:rPr>
        <w:t xml:space="preserve">8. </w:t>
      </w:r>
      <w:r>
        <w:rPr>
          <w:color w:val="333333"/>
          <w:sz w:val="20"/>
          <w:szCs w:val="20"/>
        </w:rPr>
        <w:t xml:space="preserve">There will be a Customer / Supplier interface supporting the desired User journeys i.e. </w:t>
      </w:r>
    </w:p>
    <w:p w14:paraId="76BCE021" w14:textId="77777777" w:rsidR="00F500F8" w:rsidRDefault="00F500F8" w:rsidP="00F500F8">
      <w:pPr>
        <w:pBdr>
          <w:top w:val="nil"/>
          <w:left w:val="nil"/>
          <w:bottom w:val="nil"/>
          <w:right w:val="nil"/>
          <w:between w:val="nil"/>
        </w:pBdr>
        <w:spacing w:before="148"/>
        <w:ind w:left="700" w:right="2928"/>
        <w:rPr>
          <w:color w:val="333333"/>
          <w:sz w:val="20"/>
          <w:szCs w:val="20"/>
        </w:rPr>
      </w:pPr>
      <w:proofErr w:type="gramStart"/>
      <w:r>
        <w:rPr>
          <w:color w:val="333333"/>
          <w:sz w:val="20"/>
          <w:szCs w:val="20"/>
        </w:rPr>
        <w:t>allowing</w:t>
      </w:r>
      <w:proofErr w:type="gramEnd"/>
      <w:r>
        <w:rPr>
          <w:color w:val="333333"/>
          <w:sz w:val="20"/>
          <w:szCs w:val="20"/>
        </w:rPr>
        <w:t xml:space="preserve"> a Supplier to answer published questions from a list. </w:t>
      </w:r>
    </w:p>
    <w:p w14:paraId="46EF3651" w14:textId="77777777" w:rsidR="00F500F8" w:rsidRDefault="00F500F8" w:rsidP="00F500F8">
      <w:pPr>
        <w:pBdr>
          <w:top w:val="nil"/>
          <w:left w:val="nil"/>
          <w:bottom w:val="nil"/>
          <w:right w:val="nil"/>
          <w:between w:val="nil"/>
        </w:pBdr>
        <w:spacing w:before="369"/>
        <w:ind w:left="340" w:right="417"/>
        <w:rPr>
          <w:color w:val="333333"/>
          <w:sz w:val="20"/>
          <w:szCs w:val="20"/>
        </w:rPr>
      </w:pPr>
      <w:r>
        <w:rPr>
          <w:b/>
          <w:color w:val="333333"/>
          <w:sz w:val="20"/>
          <w:szCs w:val="20"/>
        </w:rPr>
        <w:t xml:space="preserve">9. </w:t>
      </w:r>
      <w:r>
        <w:rPr>
          <w:color w:val="333333"/>
          <w:sz w:val="20"/>
          <w:szCs w:val="20"/>
        </w:rPr>
        <w:t xml:space="preserve">Web interfaces will use GDS design patterns and style sheets / Web Content Accessibility </w:t>
      </w:r>
    </w:p>
    <w:p w14:paraId="6203A3A8" w14:textId="77777777" w:rsidR="00F500F8" w:rsidRDefault="00F500F8" w:rsidP="00F500F8">
      <w:pPr>
        <w:pBdr>
          <w:top w:val="nil"/>
          <w:left w:val="nil"/>
          <w:bottom w:val="nil"/>
          <w:right w:val="nil"/>
          <w:between w:val="nil"/>
        </w:pBdr>
        <w:spacing w:before="139"/>
        <w:ind w:left="700" w:right="7324"/>
        <w:rPr>
          <w:color w:val="333333"/>
          <w:sz w:val="20"/>
          <w:szCs w:val="20"/>
        </w:rPr>
      </w:pPr>
      <w:r>
        <w:rPr>
          <w:color w:val="333333"/>
          <w:sz w:val="20"/>
          <w:szCs w:val="20"/>
        </w:rPr>
        <w:t xml:space="preserve">Guidelines. </w:t>
      </w:r>
    </w:p>
    <w:p w14:paraId="40AA42E4" w14:textId="77777777" w:rsidR="00F500F8" w:rsidRDefault="00F500F8" w:rsidP="00F500F8">
      <w:pPr>
        <w:pBdr>
          <w:top w:val="nil"/>
          <w:left w:val="nil"/>
          <w:bottom w:val="nil"/>
          <w:right w:val="nil"/>
          <w:between w:val="nil"/>
        </w:pBdr>
        <w:spacing w:before="374"/>
        <w:ind w:left="340" w:right="3326"/>
        <w:rPr>
          <w:color w:val="333333"/>
          <w:sz w:val="20"/>
          <w:szCs w:val="20"/>
        </w:rPr>
      </w:pPr>
      <w:r>
        <w:rPr>
          <w:b/>
          <w:color w:val="333333"/>
          <w:sz w:val="20"/>
          <w:szCs w:val="20"/>
        </w:rPr>
        <w:t xml:space="preserve">10. </w:t>
      </w:r>
      <w:r>
        <w:rPr>
          <w:color w:val="333333"/>
          <w:sz w:val="20"/>
          <w:szCs w:val="20"/>
        </w:rPr>
        <w:t xml:space="preserve">The deliverables will include the following User journeys: </w:t>
      </w:r>
    </w:p>
    <w:p w14:paraId="5ED4FD04" w14:textId="77777777" w:rsidR="00F500F8" w:rsidRDefault="00F500F8" w:rsidP="00F500F8">
      <w:pPr>
        <w:pBdr>
          <w:top w:val="nil"/>
          <w:left w:val="nil"/>
          <w:bottom w:val="nil"/>
          <w:right w:val="nil"/>
          <w:between w:val="nil"/>
        </w:pBdr>
        <w:spacing w:before="369"/>
        <w:ind w:left="700" w:right="1723"/>
        <w:rPr>
          <w:color w:val="333333"/>
          <w:sz w:val="20"/>
          <w:szCs w:val="20"/>
        </w:rPr>
      </w:pPr>
      <w:r>
        <w:rPr>
          <w:color w:val="333333"/>
          <w:sz w:val="20"/>
          <w:szCs w:val="20"/>
        </w:rPr>
        <w:t xml:space="preserve">◦ A Buyer can draft and publish a question set from published questions. </w:t>
      </w:r>
    </w:p>
    <w:p w14:paraId="2BFB7AA4" w14:textId="77777777" w:rsidR="00F500F8" w:rsidRDefault="00F500F8" w:rsidP="00F500F8">
      <w:pPr>
        <w:pBdr>
          <w:top w:val="nil"/>
          <w:left w:val="nil"/>
          <w:bottom w:val="nil"/>
          <w:right w:val="nil"/>
          <w:between w:val="nil"/>
        </w:pBdr>
        <w:spacing w:before="369"/>
        <w:ind w:left="700" w:right="124"/>
        <w:rPr>
          <w:color w:val="333333"/>
          <w:sz w:val="20"/>
          <w:szCs w:val="20"/>
        </w:rPr>
      </w:pPr>
      <w:r>
        <w:rPr>
          <w:color w:val="333333"/>
          <w:sz w:val="20"/>
          <w:szCs w:val="20"/>
        </w:rPr>
        <w:t xml:space="preserve">◦ A Buyer can draft and publish a bespoke specialist question set and define who can view </w:t>
      </w:r>
    </w:p>
    <w:p w14:paraId="699CA68A" w14:textId="77777777" w:rsidR="00F500F8" w:rsidRDefault="00F500F8" w:rsidP="00F500F8">
      <w:pPr>
        <w:pBdr>
          <w:top w:val="nil"/>
          <w:left w:val="nil"/>
          <w:bottom w:val="nil"/>
          <w:right w:val="nil"/>
          <w:between w:val="nil"/>
        </w:pBdr>
        <w:spacing w:before="144"/>
        <w:ind w:left="1060" w:right="7593"/>
        <w:rPr>
          <w:color w:val="333333"/>
          <w:sz w:val="20"/>
          <w:szCs w:val="20"/>
        </w:rPr>
      </w:pPr>
      <w:proofErr w:type="gramStart"/>
      <w:r>
        <w:rPr>
          <w:color w:val="333333"/>
          <w:sz w:val="20"/>
          <w:szCs w:val="20"/>
        </w:rPr>
        <w:t>this</w:t>
      </w:r>
      <w:proofErr w:type="gramEnd"/>
      <w:r>
        <w:rPr>
          <w:color w:val="333333"/>
          <w:sz w:val="20"/>
          <w:szCs w:val="20"/>
        </w:rPr>
        <w:t xml:space="preserve">. </w:t>
      </w:r>
    </w:p>
    <w:p w14:paraId="39ADE87B" w14:textId="77777777" w:rsidR="00F500F8" w:rsidRDefault="00F500F8" w:rsidP="00F500F8">
      <w:pPr>
        <w:pBdr>
          <w:top w:val="nil"/>
          <w:left w:val="nil"/>
          <w:bottom w:val="nil"/>
          <w:right w:val="nil"/>
          <w:between w:val="nil"/>
        </w:pBdr>
        <w:spacing w:before="374"/>
        <w:ind w:left="700" w:right="4944"/>
        <w:rPr>
          <w:color w:val="333333"/>
          <w:sz w:val="20"/>
          <w:szCs w:val="20"/>
        </w:rPr>
      </w:pPr>
      <w:r>
        <w:rPr>
          <w:color w:val="333333"/>
          <w:sz w:val="20"/>
          <w:szCs w:val="20"/>
        </w:rPr>
        <w:t xml:space="preserve">◦ A Buyer can close question set(s). </w:t>
      </w:r>
    </w:p>
    <w:p w14:paraId="5FBC832F" w14:textId="77777777" w:rsidR="00F500F8" w:rsidRDefault="00F500F8" w:rsidP="00F500F8">
      <w:pPr>
        <w:pBdr>
          <w:top w:val="nil"/>
          <w:left w:val="nil"/>
          <w:bottom w:val="nil"/>
          <w:right w:val="nil"/>
          <w:between w:val="nil"/>
        </w:pBdr>
        <w:spacing w:before="369"/>
        <w:ind w:left="700" w:right="1080"/>
        <w:rPr>
          <w:color w:val="333333"/>
          <w:sz w:val="20"/>
          <w:szCs w:val="20"/>
        </w:rPr>
      </w:pPr>
      <w:r>
        <w:rPr>
          <w:color w:val="333333"/>
          <w:sz w:val="20"/>
          <w:szCs w:val="20"/>
        </w:rPr>
        <w:t xml:space="preserve">◦ A Buyer can update questions, and link them to the previous question version. </w:t>
      </w:r>
    </w:p>
    <w:p w14:paraId="5E018D5F" w14:textId="77777777" w:rsidR="00F500F8" w:rsidRDefault="00F500F8" w:rsidP="00F500F8">
      <w:pPr>
        <w:pBdr>
          <w:top w:val="nil"/>
          <w:left w:val="nil"/>
          <w:bottom w:val="nil"/>
          <w:right w:val="nil"/>
          <w:between w:val="nil"/>
        </w:pBdr>
        <w:spacing w:before="369"/>
        <w:ind w:left="700" w:right="4099"/>
        <w:rPr>
          <w:color w:val="333333"/>
          <w:sz w:val="20"/>
          <w:szCs w:val="20"/>
        </w:rPr>
      </w:pPr>
      <w:r>
        <w:rPr>
          <w:color w:val="333333"/>
          <w:sz w:val="20"/>
          <w:szCs w:val="20"/>
        </w:rPr>
        <w:t xml:space="preserve">◦ A Supplier can answer published questions. </w:t>
      </w:r>
    </w:p>
    <w:p w14:paraId="7C99538B" w14:textId="77777777" w:rsidR="00F500F8" w:rsidRDefault="00F500F8" w:rsidP="00F500F8">
      <w:pPr>
        <w:pBdr>
          <w:top w:val="nil"/>
          <w:left w:val="nil"/>
          <w:bottom w:val="nil"/>
          <w:right w:val="nil"/>
          <w:between w:val="nil"/>
        </w:pBdr>
        <w:spacing w:before="369"/>
        <w:ind w:left="700" w:right="4598"/>
        <w:rPr>
          <w:color w:val="333333"/>
          <w:sz w:val="20"/>
          <w:szCs w:val="20"/>
        </w:rPr>
      </w:pPr>
      <w:r>
        <w:rPr>
          <w:color w:val="333333"/>
          <w:sz w:val="20"/>
          <w:szCs w:val="20"/>
        </w:rPr>
        <w:lastRenderedPageBreak/>
        <w:t xml:space="preserve">◦ A Supplier can view their completions. </w:t>
      </w:r>
    </w:p>
    <w:p w14:paraId="2126FA21" w14:textId="77777777" w:rsidR="00F500F8" w:rsidRDefault="00F500F8" w:rsidP="00F500F8">
      <w:pPr>
        <w:pBdr>
          <w:top w:val="nil"/>
          <w:left w:val="nil"/>
          <w:bottom w:val="nil"/>
          <w:right w:val="nil"/>
          <w:between w:val="nil"/>
        </w:pBdr>
        <w:spacing w:before="739"/>
        <w:ind w:left="-19" w:right="-28"/>
        <w:rPr>
          <w:color w:val="666666"/>
          <w:sz w:val="20"/>
          <w:szCs w:val="20"/>
        </w:rPr>
      </w:pPr>
      <w:r>
        <w:rPr>
          <w:color w:val="666666"/>
          <w:sz w:val="20"/>
          <w:szCs w:val="20"/>
        </w:rPr>
        <w:t xml:space="preserve">5 February 2020 3/5 Version 1 </w:t>
      </w:r>
    </w:p>
    <w:p w14:paraId="6F567690" w14:textId="77777777" w:rsidR="00F500F8" w:rsidRDefault="00F500F8" w:rsidP="00F500F8">
      <w:pPr>
        <w:pBdr>
          <w:top w:val="nil"/>
          <w:left w:val="nil"/>
          <w:bottom w:val="nil"/>
          <w:right w:val="nil"/>
          <w:between w:val="nil"/>
        </w:pBdr>
        <w:spacing w:before="763"/>
        <w:ind w:left="700" w:right="1704"/>
        <w:rPr>
          <w:color w:val="333333"/>
          <w:sz w:val="20"/>
          <w:szCs w:val="20"/>
        </w:rPr>
      </w:pPr>
      <w:r>
        <w:rPr>
          <w:color w:val="333333"/>
          <w:sz w:val="20"/>
          <w:szCs w:val="20"/>
        </w:rPr>
        <w:t xml:space="preserve">◦ A Supplier can approve question sets to allow (Users / Buyers) to view. </w:t>
      </w:r>
    </w:p>
    <w:p w14:paraId="630F6374" w14:textId="77777777" w:rsidR="00F500F8" w:rsidRDefault="00F500F8" w:rsidP="00F500F8">
      <w:pPr>
        <w:pBdr>
          <w:top w:val="nil"/>
          <w:left w:val="nil"/>
          <w:bottom w:val="nil"/>
          <w:right w:val="nil"/>
          <w:between w:val="nil"/>
        </w:pBdr>
        <w:spacing w:before="369"/>
        <w:ind w:left="700" w:right="3844"/>
        <w:rPr>
          <w:color w:val="333333"/>
          <w:sz w:val="20"/>
          <w:szCs w:val="20"/>
        </w:rPr>
      </w:pPr>
      <w:r>
        <w:rPr>
          <w:color w:val="333333"/>
          <w:sz w:val="20"/>
          <w:szCs w:val="20"/>
        </w:rPr>
        <w:t xml:space="preserve">◦ A Supplier can update responses to questions. </w:t>
      </w:r>
    </w:p>
    <w:p w14:paraId="60673DC5" w14:textId="77777777" w:rsidR="00F500F8" w:rsidRDefault="00F500F8" w:rsidP="00F500F8">
      <w:pPr>
        <w:pBdr>
          <w:top w:val="nil"/>
          <w:left w:val="nil"/>
          <w:bottom w:val="nil"/>
          <w:right w:val="nil"/>
          <w:between w:val="nil"/>
        </w:pBdr>
        <w:spacing w:before="374"/>
        <w:ind w:left="340" w:right="729"/>
        <w:rPr>
          <w:color w:val="333333"/>
          <w:sz w:val="20"/>
          <w:szCs w:val="20"/>
        </w:rPr>
      </w:pPr>
      <w:r>
        <w:rPr>
          <w:b/>
          <w:color w:val="333333"/>
          <w:sz w:val="20"/>
          <w:szCs w:val="20"/>
        </w:rPr>
        <w:t xml:space="preserve">11. </w:t>
      </w:r>
      <w:r>
        <w:rPr>
          <w:color w:val="333333"/>
          <w:sz w:val="20"/>
          <w:szCs w:val="20"/>
        </w:rPr>
        <w:t xml:space="preserve">Question types of integer, radio, and text field – to align with standard set of html (text, </w:t>
      </w:r>
    </w:p>
    <w:p w14:paraId="73B9863B" w14:textId="77777777" w:rsidR="00F500F8" w:rsidRDefault="00F500F8" w:rsidP="00F500F8">
      <w:pPr>
        <w:pBdr>
          <w:top w:val="nil"/>
          <w:left w:val="nil"/>
          <w:bottom w:val="nil"/>
          <w:right w:val="nil"/>
          <w:between w:val="nil"/>
        </w:pBdr>
        <w:spacing w:before="144"/>
        <w:ind w:left="700" w:right="2040"/>
        <w:rPr>
          <w:color w:val="333333"/>
          <w:sz w:val="20"/>
          <w:szCs w:val="20"/>
        </w:rPr>
      </w:pPr>
      <w:proofErr w:type="gramStart"/>
      <w:r>
        <w:rPr>
          <w:color w:val="333333"/>
          <w:sz w:val="20"/>
          <w:szCs w:val="20"/>
        </w:rPr>
        <w:t>textarea</w:t>
      </w:r>
      <w:proofErr w:type="gramEnd"/>
      <w:r>
        <w:rPr>
          <w:color w:val="333333"/>
          <w:sz w:val="20"/>
          <w:szCs w:val="20"/>
        </w:rPr>
        <w:t xml:space="preserve">, number, date, radio, select, multiselect, file, email, url, check). </w:t>
      </w:r>
    </w:p>
    <w:p w14:paraId="2F5F7334" w14:textId="77777777" w:rsidR="00F500F8" w:rsidRDefault="00F500F8" w:rsidP="00F500F8">
      <w:pPr>
        <w:pBdr>
          <w:top w:val="nil"/>
          <w:left w:val="nil"/>
          <w:bottom w:val="nil"/>
          <w:right w:val="nil"/>
          <w:between w:val="nil"/>
        </w:pBdr>
        <w:spacing w:before="369"/>
        <w:ind w:left="340" w:right="3216"/>
        <w:rPr>
          <w:color w:val="333333"/>
          <w:sz w:val="20"/>
          <w:szCs w:val="20"/>
        </w:rPr>
      </w:pPr>
      <w:r>
        <w:rPr>
          <w:b/>
          <w:color w:val="333333"/>
          <w:sz w:val="20"/>
          <w:szCs w:val="20"/>
        </w:rPr>
        <w:t xml:space="preserve">12. </w:t>
      </w:r>
      <w:r>
        <w:rPr>
          <w:color w:val="333333"/>
          <w:sz w:val="20"/>
          <w:szCs w:val="20"/>
        </w:rPr>
        <w:t xml:space="preserve">The schema will support multilingual question set content. </w:t>
      </w:r>
    </w:p>
    <w:p w14:paraId="7BD36FC6" w14:textId="77777777" w:rsidR="00F500F8" w:rsidRDefault="00F500F8" w:rsidP="00F500F8">
      <w:pPr>
        <w:pBdr>
          <w:top w:val="nil"/>
          <w:left w:val="nil"/>
          <w:bottom w:val="nil"/>
          <w:right w:val="nil"/>
          <w:between w:val="nil"/>
        </w:pBdr>
        <w:spacing w:before="369"/>
        <w:ind w:left="340" w:right="96"/>
        <w:rPr>
          <w:color w:val="333333"/>
          <w:sz w:val="20"/>
          <w:szCs w:val="20"/>
        </w:rPr>
      </w:pPr>
      <w:r>
        <w:rPr>
          <w:b/>
          <w:color w:val="333333"/>
          <w:sz w:val="20"/>
          <w:szCs w:val="20"/>
        </w:rPr>
        <w:t xml:space="preserve">13. </w:t>
      </w:r>
      <w:r>
        <w:rPr>
          <w:color w:val="333333"/>
          <w:sz w:val="20"/>
          <w:szCs w:val="20"/>
        </w:rPr>
        <w:t xml:space="preserve">A requirement for question level validation incorporating the following rule set for each type of </w:t>
      </w:r>
    </w:p>
    <w:p w14:paraId="7973EF9E" w14:textId="77777777" w:rsidR="00F500F8" w:rsidRDefault="00F500F8" w:rsidP="00F500F8">
      <w:pPr>
        <w:pBdr>
          <w:top w:val="nil"/>
          <w:left w:val="nil"/>
          <w:bottom w:val="nil"/>
          <w:right w:val="nil"/>
          <w:between w:val="nil"/>
        </w:pBdr>
        <w:spacing w:before="144"/>
        <w:ind w:left="700" w:right="139"/>
        <w:rPr>
          <w:color w:val="333333"/>
          <w:sz w:val="20"/>
          <w:szCs w:val="20"/>
        </w:rPr>
      </w:pPr>
      <w:proofErr w:type="gramStart"/>
      <w:r>
        <w:rPr>
          <w:color w:val="333333"/>
          <w:sz w:val="20"/>
          <w:szCs w:val="20"/>
        </w:rPr>
        <w:t>question</w:t>
      </w:r>
      <w:proofErr w:type="gramEnd"/>
      <w:r>
        <w:rPr>
          <w:color w:val="333333"/>
          <w:sz w:val="20"/>
          <w:szCs w:val="20"/>
        </w:rPr>
        <w:t xml:space="preserve"> - based on the following types of questions the enforced type of validation will be as </w:t>
      </w:r>
    </w:p>
    <w:p w14:paraId="6FBC87CB" w14:textId="77777777" w:rsidR="00F500F8" w:rsidRDefault="00F500F8" w:rsidP="00F500F8">
      <w:pPr>
        <w:pBdr>
          <w:top w:val="nil"/>
          <w:left w:val="nil"/>
          <w:bottom w:val="nil"/>
          <w:right w:val="nil"/>
          <w:between w:val="nil"/>
        </w:pBdr>
        <w:spacing w:before="144"/>
        <w:ind w:left="700" w:right="7656"/>
        <w:rPr>
          <w:color w:val="333333"/>
          <w:sz w:val="20"/>
          <w:szCs w:val="20"/>
        </w:rPr>
      </w:pPr>
      <w:proofErr w:type="gramStart"/>
      <w:r>
        <w:rPr>
          <w:color w:val="333333"/>
          <w:sz w:val="20"/>
          <w:szCs w:val="20"/>
        </w:rPr>
        <w:t>follows</w:t>
      </w:r>
      <w:proofErr w:type="gramEnd"/>
      <w:r>
        <w:rPr>
          <w:color w:val="333333"/>
          <w:sz w:val="20"/>
          <w:szCs w:val="20"/>
        </w:rPr>
        <w:t xml:space="preserve">: </w:t>
      </w:r>
    </w:p>
    <w:p w14:paraId="2EB25947" w14:textId="77777777" w:rsidR="00F500F8" w:rsidRDefault="00F500F8" w:rsidP="00F500F8">
      <w:pPr>
        <w:pBdr>
          <w:top w:val="nil"/>
          <w:left w:val="nil"/>
          <w:bottom w:val="nil"/>
          <w:right w:val="nil"/>
          <w:between w:val="nil"/>
        </w:pBdr>
        <w:spacing w:before="369"/>
        <w:ind w:left="700" w:right="1017"/>
        <w:rPr>
          <w:color w:val="333333"/>
          <w:sz w:val="20"/>
          <w:szCs w:val="20"/>
        </w:rPr>
      </w:pPr>
      <w:r>
        <w:rPr>
          <w:color w:val="333333"/>
          <w:sz w:val="20"/>
          <w:szCs w:val="20"/>
        </w:rPr>
        <w:t xml:space="preserve">◦ </w:t>
      </w:r>
      <w:proofErr w:type="gramStart"/>
      <w:r>
        <w:rPr>
          <w:color w:val="333333"/>
          <w:sz w:val="20"/>
          <w:szCs w:val="20"/>
        </w:rPr>
        <w:t>text</w:t>
      </w:r>
      <w:proofErr w:type="gramEnd"/>
      <w:r>
        <w:rPr>
          <w:color w:val="333333"/>
          <w:sz w:val="20"/>
          <w:szCs w:val="20"/>
        </w:rPr>
        <w:t xml:space="preserve"> field (mandatory, match a certain expression, number of characters/words) </w:t>
      </w:r>
    </w:p>
    <w:p w14:paraId="0B17CD3E" w14:textId="77777777" w:rsidR="00F500F8" w:rsidRDefault="00F500F8" w:rsidP="00F500F8">
      <w:pPr>
        <w:pBdr>
          <w:top w:val="nil"/>
          <w:left w:val="nil"/>
          <w:bottom w:val="nil"/>
          <w:right w:val="nil"/>
          <w:between w:val="nil"/>
        </w:pBdr>
        <w:spacing w:before="369"/>
        <w:ind w:left="700" w:right="984"/>
        <w:rPr>
          <w:color w:val="333333"/>
          <w:sz w:val="20"/>
          <w:szCs w:val="20"/>
        </w:rPr>
      </w:pPr>
      <w:r>
        <w:rPr>
          <w:color w:val="333333"/>
          <w:sz w:val="20"/>
          <w:szCs w:val="20"/>
        </w:rPr>
        <w:t xml:space="preserve">◦ </w:t>
      </w:r>
      <w:proofErr w:type="gramStart"/>
      <w:r>
        <w:rPr>
          <w:color w:val="333333"/>
          <w:sz w:val="20"/>
          <w:szCs w:val="20"/>
        </w:rPr>
        <w:t>text</w:t>
      </w:r>
      <w:proofErr w:type="gramEnd"/>
      <w:r>
        <w:rPr>
          <w:color w:val="333333"/>
          <w:sz w:val="20"/>
          <w:szCs w:val="20"/>
        </w:rPr>
        <w:t xml:space="preserve"> area (mandatory, match a certain expression, number of characters/words) </w:t>
      </w:r>
    </w:p>
    <w:p w14:paraId="2B296BD6" w14:textId="77777777" w:rsidR="00F500F8" w:rsidRDefault="00F500F8" w:rsidP="00F500F8">
      <w:pPr>
        <w:pBdr>
          <w:top w:val="nil"/>
          <w:left w:val="nil"/>
          <w:bottom w:val="nil"/>
          <w:right w:val="nil"/>
          <w:between w:val="nil"/>
        </w:pBdr>
        <w:spacing w:before="374"/>
        <w:ind w:left="700" w:right="4632"/>
        <w:rPr>
          <w:color w:val="333333"/>
          <w:sz w:val="20"/>
          <w:szCs w:val="20"/>
        </w:rPr>
      </w:pPr>
      <w:r>
        <w:rPr>
          <w:color w:val="333333"/>
          <w:sz w:val="20"/>
          <w:szCs w:val="20"/>
        </w:rPr>
        <w:t xml:space="preserve">◦ check (min / max number of answers) </w:t>
      </w:r>
    </w:p>
    <w:p w14:paraId="6F1ABFF0" w14:textId="77777777" w:rsidR="00F500F8" w:rsidRDefault="00F500F8" w:rsidP="00F500F8">
      <w:pPr>
        <w:pBdr>
          <w:top w:val="nil"/>
          <w:left w:val="nil"/>
          <w:bottom w:val="nil"/>
          <w:right w:val="nil"/>
          <w:between w:val="nil"/>
        </w:pBdr>
        <w:spacing w:before="369"/>
        <w:ind w:left="700" w:right="1372"/>
        <w:rPr>
          <w:color w:val="333333"/>
          <w:sz w:val="20"/>
          <w:szCs w:val="20"/>
        </w:rPr>
      </w:pPr>
      <w:r>
        <w:rPr>
          <w:color w:val="333333"/>
          <w:sz w:val="20"/>
          <w:szCs w:val="20"/>
        </w:rPr>
        <w:t xml:space="preserve">◦ </w:t>
      </w:r>
      <w:proofErr w:type="gramStart"/>
      <w:r>
        <w:rPr>
          <w:color w:val="333333"/>
          <w:sz w:val="20"/>
          <w:szCs w:val="20"/>
        </w:rPr>
        <w:t>number</w:t>
      </w:r>
      <w:proofErr w:type="gramEnd"/>
      <w:r>
        <w:rPr>
          <w:color w:val="333333"/>
          <w:sz w:val="20"/>
          <w:szCs w:val="20"/>
        </w:rPr>
        <w:t xml:space="preserve"> (mandatory, within a range, min/max number, is an actual number) </w:t>
      </w:r>
    </w:p>
    <w:p w14:paraId="70425A2A" w14:textId="77777777" w:rsidR="00F500F8" w:rsidRDefault="00F500F8" w:rsidP="00F500F8">
      <w:pPr>
        <w:pBdr>
          <w:top w:val="nil"/>
          <w:left w:val="nil"/>
          <w:bottom w:val="nil"/>
          <w:right w:val="nil"/>
          <w:between w:val="nil"/>
        </w:pBdr>
        <w:spacing w:before="369"/>
        <w:ind w:left="700" w:right="3537"/>
        <w:rPr>
          <w:color w:val="333333"/>
          <w:sz w:val="20"/>
          <w:szCs w:val="20"/>
        </w:rPr>
      </w:pPr>
      <w:r>
        <w:rPr>
          <w:color w:val="333333"/>
          <w:sz w:val="20"/>
          <w:szCs w:val="20"/>
        </w:rPr>
        <w:t xml:space="preserve">◦ </w:t>
      </w:r>
      <w:proofErr w:type="gramStart"/>
      <w:r>
        <w:rPr>
          <w:color w:val="333333"/>
          <w:sz w:val="20"/>
          <w:szCs w:val="20"/>
        </w:rPr>
        <w:t>date</w:t>
      </w:r>
      <w:proofErr w:type="gramEnd"/>
      <w:r>
        <w:rPr>
          <w:color w:val="333333"/>
          <w:sz w:val="20"/>
          <w:szCs w:val="20"/>
        </w:rPr>
        <w:t xml:space="preserve"> (mandatory, within a range, is an actual date) </w:t>
      </w:r>
    </w:p>
    <w:p w14:paraId="3C89E063" w14:textId="77777777" w:rsidR="00F500F8" w:rsidRDefault="00F500F8" w:rsidP="00F500F8">
      <w:pPr>
        <w:pBdr>
          <w:top w:val="nil"/>
          <w:left w:val="nil"/>
          <w:bottom w:val="nil"/>
          <w:right w:val="nil"/>
          <w:between w:val="nil"/>
        </w:pBdr>
        <w:spacing w:before="374"/>
        <w:ind w:left="700" w:right="6384"/>
        <w:rPr>
          <w:color w:val="333333"/>
          <w:sz w:val="20"/>
          <w:szCs w:val="20"/>
        </w:rPr>
      </w:pPr>
      <w:r>
        <w:rPr>
          <w:color w:val="333333"/>
          <w:sz w:val="20"/>
          <w:szCs w:val="20"/>
        </w:rPr>
        <w:t xml:space="preserve">◦ </w:t>
      </w:r>
      <w:proofErr w:type="gramStart"/>
      <w:r>
        <w:rPr>
          <w:color w:val="333333"/>
          <w:sz w:val="20"/>
          <w:szCs w:val="20"/>
        </w:rPr>
        <w:t>radio</w:t>
      </w:r>
      <w:proofErr w:type="gramEnd"/>
      <w:r>
        <w:rPr>
          <w:color w:val="333333"/>
          <w:sz w:val="20"/>
          <w:szCs w:val="20"/>
        </w:rPr>
        <w:t xml:space="preserve"> (mandatory) </w:t>
      </w:r>
    </w:p>
    <w:p w14:paraId="10721BCC" w14:textId="77777777" w:rsidR="00F500F8" w:rsidRDefault="00F500F8" w:rsidP="00F500F8">
      <w:pPr>
        <w:pBdr>
          <w:top w:val="nil"/>
          <w:left w:val="nil"/>
          <w:bottom w:val="nil"/>
          <w:right w:val="nil"/>
          <w:between w:val="nil"/>
        </w:pBdr>
        <w:spacing w:before="369"/>
        <w:ind w:left="700" w:right="6307"/>
        <w:rPr>
          <w:color w:val="333333"/>
          <w:sz w:val="20"/>
          <w:szCs w:val="20"/>
        </w:rPr>
      </w:pPr>
      <w:r>
        <w:rPr>
          <w:color w:val="333333"/>
          <w:sz w:val="20"/>
          <w:szCs w:val="20"/>
        </w:rPr>
        <w:t xml:space="preserve">◦ select (mandatory) </w:t>
      </w:r>
    </w:p>
    <w:p w14:paraId="04A10ED2" w14:textId="77777777" w:rsidR="00F500F8" w:rsidRDefault="00F500F8" w:rsidP="00F500F8">
      <w:pPr>
        <w:pBdr>
          <w:top w:val="nil"/>
          <w:left w:val="nil"/>
          <w:bottom w:val="nil"/>
          <w:right w:val="nil"/>
          <w:between w:val="nil"/>
        </w:pBdr>
        <w:spacing w:before="369"/>
        <w:ind w:left="700" w:right="4209"/>
        <w:rPr>
          <w:color w:val="333333"/>
          <w:sz w:val="20"/>
          <w:szCs w:val="20"/>
        </w:rPr>
      </w:pPr>
      <w:r>
        <w:rPr>
          <w:color w:val="333333"/>
          <w:sz w:val="20"/>
          <w:szCs w:val="20"/>
        </w:rPr>
        <w:t xml:space="preserve">◦ </w:t>
      </w:r>
      <w:proofErr w:type="gramStart"/>
      <w:r>
        <w:rPr>
          <w:color w:val="333333"/>
          <w:sz w:val="20"/>
          <w:szCs w:val="20"/>
        </w:rPr>
        <w:t>multiselect</w:t>
      </w:r>
      <w:proofErr w:type="gramEnd"/>
      <w:r>
        <w:rPr>
          <w:color w:val="333333"/>
          <w:sz w:val="20"/>
          <w:szCs w:val="20"/>
        </w:rPr>
        <w:t xml:space="preserve"> (min / max number of answers) </w:t>
      </w:r>
    </w:p>
    <w:p w14:paraId="31C23A20" w14:textId="77777777" w:rsidR="00F500F8" w:rsidRDefault="00F500F8" w:rsidP="00F500F8">
      <w:pPr>
        <w:pBdr>
          <w:top w:val="nil"/>
          <w:left w:val="nil"/>
          <w:bottom w:val="nil"/>
          <w:right w:val="nil"/>
          <w:between w:val="nil"/>
        </w:pBdr>
        <w:spacing w:before="374"/>
        <w:ind w:left="700" w:right="5635"/>
        <w:rPr>
          <w:color w:val="333333"/>
          <w:sz w:val="20"/>
          <w:szCs w:val="20"/>
        </w:rPr>
      </w:pPr>
      <w:r>
        <w:rPr>
          <w:color w:val="333333"/>
          <w:sz w:val="20"/>
          <w:szCs w:val="20"/>
        </w:rPr>
        <w:t xml:space="preserve">◦ file (mandatory, type, size) </w:t>
      </w:r>
    </w:p>
    <w:p w14:paraId="033C9B12" w14:textId="77777777" w:rsidR="00F500F8" w:rsidRDefault="00F500F8" w:rsidP="00F500F8">
      <w:pPr>
        <w:pBdr>
          <w:top w:val="nil"/>
          <w:left w:val="nil"/>
          <w:bottom w:val="nil"/>
          <w:right w:val="nil"/>
          <w:between w:val="nil"/>
        </w:pBdr>
        <w:spacing w:before="369"/>
        <w:ind w:left="700" w:right="5692"/>
        <w:rPr>
          <w:color w:val="333333"/>
          <w:sz w:val="20"/>
          <w:szCs w:val="20"/>
        </w:rPr>
      </w:pPr>
      <w:r>
        <w:rPr>
          <w:color w:val="333333"/>
          <w:sz w:val="20"/>
          <w:szCs w:val="20"/>
        </w:rPr>
        <w:t xml:space="preserve">◦ email (mandatory, format) </w:t>
      </w:r>
    </w:p>
    <w:p w14:paraId="4715B2EB" w14:textId="77777777" w:rsidR="00F500F8" w:rsidRDefault="00F500F8" w:rsidP="00F500F8">
      <w:pPr>
        <w:pBdr>
          <w:top w:val="nil"/>
          <w:left w:val="nil"/>
          <w:bottom w:val="nil"/>
          <w:right w:val="nil"/>
          <w:between w:val="nil"/>
        </w:pBdr>
        <w:spacing w:before="374"/>
        <w:ind w:left="700" w:right="5889"/>
        <w:rPr>
          <w:color w:val="333333"/>
          <w:sz w:val="20"/>
          <w:szCs w:val="20"/>
        </w:rPr>
      </w:pPr>
      <w:r>
        <w:rPr>
          <w:color w:val="333333"/>
          <w:sz w:val="20"/>
          <w:szCs w:val="20"/>
        </w:rPr>
        <w:t xml:space="preserve">◦ </w:t>
      </w:r>
      <w:proofErr w:type="gramStart"/>
      <w:r>
        <w:rPr>
          <w:color w:val="333333"/>
          <w:sz w:val="20"/>
          <w:szCs w:val="20"/>
        </w:rPr>
        <w:t>url</w:t>
      </w:r>
      <w:proofErr w:type="gramEnd"/>
      <w:r>
        <w:rPr>
          <w:color w:val="333333"/>
          <w:sz w:val="20"/>
          <w:szCs w:val="20"/>
        </w:rPr>
        <w:t xml:space="preserve"> (mandatory, format). </w:t>
      </w:r>
    </w:p>
    <w:p w14:paraId="267DAFC0" w14:textId="77777777" w:rsidR="00F500F8" w:rsidRDefault="00F500F8" w:rsidP="00F500F8">
      <w:pPr>
        <w:pBdr>
          <w:top w:val="nil"/>
          <w:left w:val="nil"/>
          <w:bottom w:val="nil"/>
          <w:right w:val="nil"/>
          <w:between w:val="nil"/>
        </w:pBdr>
        <w:spacing w:before="369"/>
        <w:ind w:left="340" w:right="297"/>
        <w:rPr>
          <w:color w:val="333333"/>
          <w:sz w:val="20"/>
          <w:szCs w:val="20"/>
        </w:rPr>
      </w:pPr>
      <w:r>
        <w:rPr>
          <w:b/>
          <w:color w:val="333333"/>
          <w:sz w:val="20"/>
          <w:szCs w:val="20"/>
        </w:rPr>
        <w:t xml:space="preserve">14. </w:t>
      </w:r>
      <w:r>
        <w:rPr>
          <w:color w:val="333333"/>
          <w:sz w:val="20"/>
          <w:szCs w:val="20"/>
        </w:rPr>
        <w:t xml:space="preserve">Attachments will be stored in a separate document storage service (passed via API), with a </w:t>
      </w:r>
    </w:p>
    <w:p w14:paraId="3ECC2314" w14:textId="77777777" w:rsidR="00F500F8" w:rsidRDefault="00F500F8" w:rsidP="00F500F8">
      <w:pPr>
        <w:pBdr>
          <w:top w:val="nil"/>
          <w:left w:val="nil"/>
          <w:bottom w:val="nil"/>
          <w:right w:val="nil"/>
          <w:between w:val="nil"/>
        </w:pBdr>
        <w:spacing w:before="144"/>
        <w:ind w:left="700" w:right="2472"/>
        <w:rPr>
          <w:color w:val="333333"/>
          <w:sz w:val="20"/>
          <w:szCs w:val="20"/>
        </w:rPr>
      </w:pPr>
      <w:proofErr w:type="gramStart"/>
      <w:r>
        <w:rPr>
          <w:color w:val="333333"/>
          <w:sz w:val="20"/>
          <w:szCs w:val="20"/>
        </w:rPr>
        <w:t>reference</w:t>
      </w:r>
      <w:proofErr w:type="gramEnd"/>
      <w:r>
        <w:rPr>
          <w:color w:val="333333"/>
          <w:sz w:val="20"/>
          <w:szCs w:val="20"/>
        </w:rPr>
        <w:t xml:space="preserve"> to the URI, received from the document storage service. </w:t>
      </w:r>
    </w:p>
    <w:p w14:paraId="386A974C" w14:textId="77777777" w:rsidR="00F500F8" w:rsidRDefault="00F500F8" w:rsidP="00F500F8">
      <w:pPr>
        <w:pBdr>
          <w:top w:val="nil"/>
          <w:left w:val="nil"/>
          <w:bottom w:val="nil"/>
          <w:right w:val="nil"/>
          <w:between w:val="nil"/>
        </w:pBdr>
        <w:spacing w:before="369"/>
        <w:ind w:left="340" w:right="187"/>
        <w:rPr>
          <w:color w:val="333333"/>
          <w:sz w:val="20"/>
          <w:szCs w:val="20"/>
        </w:rPr>
      </w:pPr>
      <w:r>
        <w:rPr>
          <w:b/>
          <w:color w:val="333333"/>
          <w:sz w:val="20"/>
          <w:szCs w:val="20"/>
        </w:rPr>
        <w:lastRenderedPageBreak/>
        <w:t xml:space="preserve">15. </w:t>
      </w:r>
      <w:r>
        <w:rPr>
          <w:color w:val="333333"/>
          <w:sz w:val="20"/>
          <w:szCs w:val="20"/>
        </w:rPr>
        <w:t xml:space="preserve">The document storage service, will be scoped and developed as a separate deliverable. Not included in this requirement. </w:t>
      </w:r>
    </w:p>
    <w:p w14:paraId="6C3B2110" w14:textId="77777777" w:rsidR="00F500F8" w:rsidRDefault="00F500F8" w:rsidP="00F500F8">
      <w:pPr>
        <w:pBdr>
          <w:top w:val="nil"/>
          <w:left w:val="nil"/>
          <w:bottom w:val="nil"/>
          <w:right w:val="nil"/>
          <w:between w:val="nil"/>
        </w:pBdr>
        <w:spacing w:before="369"/>
        <w:ind w:left="340" w:right="283"/>
        <w:rPr>
          <w:color w:val="333333"/>
          <w:sz w:val="20"/>
          <w:szCs w:val="20"/>
        </w:rPr>
      </w:pPr>
      <w:r>
        <w:rPr>
          <w:b/>
          <w:color w:val="333333"/>
          <w:sz w:val="20"/>
          <w:szCs w:val="20"/>
        </w:rPr>
        <w:t xml:space="preserve">16. </w:t>
      </w:r>
      <w:r>
        <w:rPr>
          <w:color w:val="333333"/>
          <w:sz w:val="20"/>
          <w:szCs w:val="20"/>
        </w:rPr>
        <w:t xml:space="preserve">There is no requirement to provide the hosting of any dedicated UAT environment(s) during phases 1 &amp; 2 of development.  CCS will provide AWS account and access to facilitate hosting. </w:t>
      </w:r>
    </w:p>
    <w:p w14:paraId="33705694" w14:textId="77777777" w:rsidR="00F500F8" w:rsidRDefault="00F500F8" w:rsidP="00F500F8">
      <w:pPr>
        <w:pBdr>
          <w:top w:val="nil"/>
          <w:left w:val="nil"/>
          <w:bottom w:val="nil"/>
          <w:right w:val="nil"/>
          <w:between w:val="nil"/>
        </w:pBdr>
        <w:spacing w:before="763"/>
        <w:ind w:left="340" w:right="465"/>
        <w:rPr>
          <w:color w:val="333333"/>
          <w:sz w:val="20"/>
          <w:szCs w:val="20"/>
        </w:rPr>
      </w:pPr>
      <w:r>
        <w:rPr>
          <w:b/>
          <w:color w:val="333333"/>
          <w:sz w:val="20"/>
          <w:szCs w:val="20"/>
        </w:rPr>
        <w:t xml:space="preserve">17. </w:t>
      </w:r>
      <w:r>
        <w:rPr>
          <w:color w:val="333333"/>
          <w:sz w:val="20"/>
          <w:szCs w:val="20"/>
        </w:rPr>
        <w:t xml:space="preserve">The cost of undertaking any element of ITHC or Accessibility testing during Phase(s) 1 &amp; 2 has not been included within the fixed price quotation.  It is assumed that these checks will not be required whilst the product is in Beta.  Should this element of testing be required this testing activity be will be resourced and separately funded inline with standard market rates. </w:t>
      </w:r>
    </w:p>
    <w:p w14:paraId="77B637AA" w14:textId="77777777" w:rsidR="00F500F8" w:rsidRDefault="00F500F8" w:rsidP="00F500F8">
      <w:pPr>
        <w:pBdr>
          <w:top w:val="nil"/>
          <w:left w:val="nil"/>
          <w:bottom w:val="nil"/>
          <w:right w:val="nil"/>
          <w:between w:val="nil"/>
        </w:pBdr>
        <w:spacing w:before="369"/>
        <w:ind w:left="340" w:right="-4"/>
        <w:rPr>
          <w:color w:val="333333"/>
          <w:sz w:val="20"/>
          <w:szCs w:val="20"/>
        </w:rPr>
      </w:pPr>
      <w:r>
        <w:rPr>
          <w:b/>
          <w:color w:val="333333"/>
          <w:sz w:val="20"/>
          <w:szCs w:val="20"/>
        </w:rPr>
        <w:t xml:space="preserve">18. </w:t>
      </w:r>
      <w:r>
        <w:rPr>
          <w:color w:val="333333"/>
          <w:sz w:val="20"/>
          <w:szCs w:val="20"/>
        </w:rPr>
        <w:t xml:space="preserve">Development activity does not need to take place at CCS's office location and can be remotely provided. </w:t>
      </w:r>
    </w:p>
    <w:p w14:paraId="76A80CED" w14:textId="7570A37B" w:rsidR="0001459B" w:rsidRPr="00F500F8" w:rsidRDefault="00F500F8">
      <w:pPr>
        <w:tabs>
          <w:tab w:val="left" w:pos="3621"/>
        </w:tabs>
        <w:rPr>
          <w:rFonts w:ascii="Helvetica Neue" w:eastAsia="Helvetica Neue" w:hAnsi="Helvetica Neue" w:cs="Helvetica Neue"/>
          <w:b/>
          <w:sz w:val="32"/>
          <w:szCs w:val="32"/>
        </w:rPr>
      </w:pPr>
      <w:r w:rsidRPr="009E4569">
        <w:rPr>
          <w:rFonts w:ascii="Helvetica Neue" w:eastAsia="Helvetica Neue" w:hAnsi="Helvetica Neue" w:cs="Helvetica Neue"/>
          <w:b/>
          <w:sz w:val="32"/>
          <w:szCs w:val="32"/>
        </w:rPr>
        <w:t xml:space="preserve">  </w:t>
      </w:r>
    </w:p>
    <w:sectPr w:rsidR="0001459B" w:rsidRPr="00F500F8">
      <w:headerReference w:type="even" r:id="rId26"/>
      <w:headerReference w:type="default" r:id="rId27"/>
      <w:footerReference w:type="even" r:id="rId28"/>
      <w:footerReference w:type="default" r:id="rId29"/>
      <w:headerReference w:type="first" r:id="rId30"/>
      <w:footerReference w:type="first" r:id="rId31"/>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94363" w14:textId="77777777" w:rsidR="005C1008" w:rsidRDefault="005C1008">
      <w:pPr>
        <w:spacing w:after="0" w:line="240" w:lineRule="auto"/>
      </w:pPr>
      <w:r>
        <w:separator/>
      </w:r>
    </w:p>
  </w:endnote>
  <w:endnote w:type="continuationSeparator" w:id="0">
    <w:p w14:paraId="74EEDC70" w14:textId="77777777" w:rsidR="005C1008" w:rsidRDefault="005C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swiss"/>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88710B" w:rsidRDefault="0088710B">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88710B" w:rsidRDefault="0088710B">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1E1BCB02" w:rsidR="0088710B" w:rsidRDefault="0088710B">
        <w:pPr>
          <w:pStyle w:val="Footer"/>
          <w:jc w:val="right"/>
        </w:pPr>
        <w:r>
          <w:fldChar w:fldCharType="begin"/>
        </w:r>
        <w:r>
          <w:instrText xml:space="preserve"> PAGE   \* MERGEFORMAT </w:instrText>
        </w:r>
        <w:r>
          <w:fldChar w:fldCharType="separate"/>
        </w:r>
        <w:r w:rsidR="000406E6">
          <w:rPr>
            <w:noProof/>
          </w:rPr>
          <w:t>5</w:t>
        </w:r>
        <w:r>
          <w:rPr>
            <w:noProof/>
          </w:rPr>
          <w:fldChar w:fldCharType="end"/>
        </w:r>
      </w:p>
    </w:sdtContent>
  </w:sdt>
  <w:p w14:paraId="395F7A5D" w14:textId="4FEBC93D" w:rsidR="0088710B" w:rsidRDefault="0088710B">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88710B" w:rsidRDefault="008871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45310" w14:textId="77777777" w:rsidR="005C1008" w:rsidRDefault="005C1008">
      <w:pPr>
        <w:spacing w:after="0" w:line="240" w:lineRule="auto"/>
      </w:pPr>
      <w:r>
        <w:separator/>
      </w:r>
    </w:p>
  </w:footnote>
  <w:footnote w:type="continuationSeparator" w:id="0">
    <w:p w14:paraId="64C885E5" w14:textId="77777777" w:rsidR="005C1008" w:rsidRDefault="005C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88710B" w:rsidRDefault="008871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88710B" w:rsidRDefault="0088710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88710B" w:rsidRDefault="008871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0"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0"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9E011C"/>
    <w:multiLevelType w:val="multilevel"/>
    <w:tmpl w:val="987E9250"/>
    <w:lvl w:ilvl="0">
      <w:start w:val="1"/>
      <w:numFmt w:val="decimal"/>
      <w:lvlText w:val="%1."/>
      <w:lvlJc w:val="left"/>
      <w:pPr>
        <w:ind w:left="720" w:hanging="720"/>
      </w:pPr>
      <w:rPr>
        <w:smallCaps w:val="0"/>
      </w:rPr>
    </w:lvl>
    <w:lvl w:ilvl="1">
      <w:start w:val="1"/>
      <w:numFmt w:val="decimal"/>
      <w:lvlText w:val="%1.%2"/>
      <w:lvlJc w:val="left"/>
      <w:pPr>
        <w:ind w:left="1572" w:hanging="1572"/>
      </w:pPr>
      <w:rPr>
        <w:rFonts w:ascii="Arial" w:eastAsia="Arial" w:hAnsi="Arial" w:cs="Arial"/>
        <w:b w:val="0"/>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9"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2F520CAD"/>
    <w:multiLevelType w:val="multilevel"/>
    <w:tmpl w:val="D9DA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6"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8E271DA"/>
    <w:multiLevelType w:val="multilevel"/>
    <w:tmpl w:val="26C48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5"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48523B3B"/>
    <w:multiLevelType w:val="multilevel"/>
    <w:tmpl w:val="20A236B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1"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4E915F0B"/>
    <w:multiLevelType w:val="multilevel"/>
    <w:tmpl w:val="037E3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7"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8"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F77250C"/>
    <w:multiLevelType w:val="multilevel"/>
    <w:tmpl w:val="0BE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4"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9"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9"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0"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1"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2"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4"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6"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8"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0"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1"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3"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4"/>
  </w:num>
  <w:num w:numId="2">
    <w:abstractNumId w:val="81"/>
  </w:num>
  <w:num w:numId="3">
    <w:abstractNumId w:val="51"/>
  </w:num>
  <w:num w:numId="4">
    <w:abstractNumId w:val="73"/>
  </w:num>
  <w:num w:numId="5">
    <w:abstractNumId w:val="68"/>
  </w:num>
  <w:num w:numId="6">
    <w:abstractNumId w:val="57"/>
  </w:num>
  <w:num w:numId="7">
    <w:abstractNumId w:val="36"/>
  </w:num>
  <w:num w:numId="8">
    <w:abstractNumId w:val="10"/>
  </w:num>
  <w:num w:numId="9">
    <w:abstractNumId w:val="21"/>
  </w:num>
  <w:num w:numId="10">
    <w:abstractNumId w:val="19"/>
  </w:num>
  <w:num w:numId="11">
    <w:abstractNumId w:val="64"/>
  </w:num>
  <w:num w:numId="12">
    <w:abstractNumId w:val="89"/>
  </w:num>
  <w:num w:numId="13">
    <w:abstractNumId w:val="69"/>
  </w:num>
  <w:num w:numId="14">
    <w:abstractNumId w:val="6"/>
  </w:num>
  <w:num w:numId="15">
    <w:abstractNumId w:val="85"/>
  </w:num>
  <w:num w:numId="16">
    <w:abstractNumId w:val="71"/>
  </w:num>
  <w:num w:numId="17">
    <w:abstractNumId w:val="8"/>
  </w:num>
  <w:num w:numId="18">
    <w:abstractNumId w:val="99"/>
  </w:num>
  <w:num w:numId="19">
    <w:abstractNumId w:val="91"/>
  </w:num>
  <w:num w:numId="20">
    <w:abstractNumId w:val="109"/>
  </w:num>
  <w:num w:numId="21">
    <w:abstractNumId w:val="47"/>
  </w:num>
  <w:num w:numId="22">
    <w:abstractNumId w:val="48"/>
  </w:num>
  <w:num w:numId="23">
    <w:abstractNumId w:val="65"/>
  </w:num>
  <w:num w:numId="24">
    <w:abstractNumId w:val="18"/>
  </w:num>
  <w:num w:numId="25">
    <w:abstractNumId w:val="84"/>
  </w:num>
  <w:num w:numId="26">
    <w:abstractNumId w:val="113"/>
  </w:num>
  <w:num w:numId="27">
    <w:abstractNumId w:val="20"/>
  </w:num>
  <w:num w:numId="28">
    <w:abstractNumId w:val="1"/>
  </w:num>
  <w:num w:numId="29">
    <w:abstractNumId w:val="110"/>
  </w:num>
  <w:num w:numId="30">
    <w:abstractNumId w:val="97"/>
  </w:num>
  <w:num w:numId="31">
    <w:abstractNumId w:val="93"/>
  </w:num>
  <w:num w:numId="32">
    <w:abstractNumId w:val="44"/>
  </w:num>
  <w:num w:numId="33">
    <w:abstractNumId w:val="52"/>
  </w:num>
  <w:num w:numId="34">
    <w:abstractNumId w:val="41"/>
  </w:num>
  <w:num w:numId="35">
    <w:abstractNumId w:val="50"/>
  </w:num>
  <w:num w:numId="36">
    <w:abstractNumId w:val="25"/>
  </w:num>
  <w:num w:numId="37">
    <w:abstractNumId w:val="24"/>
  </w:num>
  <w:num w:numId="38">
    <w:abstractNumId w:val="23"/>
  </w:num>
  <w:num w:numId="39">
    <w:abstractNumId w:val="28"/>
  </w:num>
  <w:num w:numId="40">
    <w:abstractNumId w:val="98"/>
  </w:num>
  <w:num w:numId="41">
    <w:abstractNumId w:val="5"/>
  </w:num>
  <w:num w:numId="42">
    <w:abstractNumId w:val="13"/>
  </w:num>
  <w:num w:numId="43">
    <w:abstractNumId w:val="94"/>
  </w:num>
  <w:num w:numId="44">
    <w:abstractNumId w:val="61"/>
  </w:num>
  <w:num w:numId="45">
    <w:abstractNumId w:val="11"/>
  </w:num>
  <w:num w:numId="46">
    <w:abstractNumId w:val="96"/>
  </w:num>
  <w:num w:numId="47">
    <w:abstractNumId w:val="72"/>
  </w:num>
  <w:num w:numId="48">
    <w:abstractNumId w:val="4"/>
  </w:num>
  <w:num w:numId="49">
    <w:abstractNumId w:val="27"/>
  </w:num>
  <w:num w:numId="50">
    <w:abstractNumId w:val="77"/>
  </w:num>
  <w:num w:numId="51">
    <w:abstractNumId w:val="40"/>
  </w:num>
  <w:num w:numId="52">
    <w:abstractNumId w:val="104"/>
  </w:num>
  <w:num w:numId="53">
    <w:abstractNumId w:val="15"/>
  </w:num>
  <w:num w:numId="54">
    <w:abstractNumId w:val="88"/>
  </w:num>
  <w:num w:numId="55">
    <w:abstractNumId w:val="95"/>
  </w:num>
  <w:num w:numId="56">
    <w:abstractNumId w:val="107"/>
  </w:num>
  <w:num w:numId="57">
    <w:abstractNumId w:val="74"/>
  </w:num>
  <w:num w:numId="58">
    <w:abstractNumId w:val="7"/>
  </w:num>
  <w:num w:numId="59">
    <w:abstractNumId w:val="67"/>
  </w:num>
  <w:num w:numId="60">
    <w:abstractNumId w:val="31"/>
  </w:num>
  <w:num w:numId="61">
    <w:abstractNumId w:val="105"/>
  </w:num>
  <w:num w:numId="62">
    <w:abstractNumId w:val="76"/>
  </w:num>
  <w:num w:numId="63">
    <w:abstractNumId w:val="14"/>
  </w:num>
  <w:num w:numId="64">
    <w:abstractNumId w:val="16"/>
  </w:num>
  <w:num w:numId="65">
    <w:abstractNumId w:val="26"/>
  </w:num>
  <w:num w:numId="66">
    <w:abstractNumId w:val="33"/>
  </w:num>
  <w:num w:numId="67">
    <w:abstractNumId w:val="37"/>
  </w:num>
  <w:num w:numId="68">
    <w:abstractNumId w:val="3"/>
  </w:num>
  <w:num w:numId="69">
    <w:abstractNumId w:val="56"/>
  </w:num>
  <w:num w:numId="70">
    <w:abstractNumId w:val="39"/>
  </w:num>
  <w:num w:numId="71">
    <w:abstractNumId w:val="78"/>
  </w:num>
  <w:num w:numId="72">
    <w:abstractNumId w:val="66"/>
  </w:num>
  <w:num w:numId="73">
    <w:abstractNumId w:val="9"/>
  </w:num>
  <w:num w:numId="74">
    <w:abstractNumId w:val="59"/>
  </w:num>
  <w:num w:numId="75">
    <w:abstractNumId w:val="63"/>
  </w:num>
  <w:num w:numId="76">
    <w:abstractNumId w:val="102"/>
  </w:num>
  <w:num w:numId="77">
    <w:abstractNumId w:val="70"/>
  </w:num>
  <w:num w:numId="78">
    <w:abstractNumId w:val="108"/>
  </w:num>
  <w:num w:numId="79">
    <w:abstractNumId w:val="22"/>
  </w:num>
  <w:num w:numId="80">
    <w:abstractNumId w:val="90"/>
  </w:num>
  <w:num w:numId="81">
    <w:abstractNumId w:val="101"/>
  </w:num>
  <w:num w:numId="82">
    <w:abstractNumId w:val="53"/>
  </w:num>
  <w:num w:numId="83">
    <w:abstractNumId w:val="86"/>
  </w:num>
  <w:num w:numId="84">
    <w:abstractNumId w:val="32"/>
  </w:num>
  <w:num w:numId="85">
    <w:abstractNumId w:val="58"/>
  </w:num>
  <w:num w:numId="86">
    <w:abstractNumId w:val="12"/>
  </w:num>
  <w:num w:numId="87">
    <w:abstractNumId w:val="75"/>
  </w:num>
  <w:num w:numId="88">
    <w:abstractNumId w:val="34"/>
  </w:num>
  <w:num w:numId="89">
    <w:abstractNumId w:val="100"/>
  </w:num>
  <w:num w:numId="90">
    <w:abstractNumId w:val="103"/>
  </w:num>
  <w:num w:numId="91">
    <w:abstractNumId w:val="29"/>
  </w:num>
  <w:num w:numId="92">
    <w:abstractNumId w:val="92"/>
  </w:num>
  <w:num w:numId="93">
    <w:abstractNumId w:val="79"/>
  </w:num>
  <w:num w:numId="94">
    <w:abstractNumId w:val="87"/>
  </w:num>
  <w:num w:numId="95">
    <w:abstractNumId w:val="111"/>
  </w:num>
  <w:num w:numId="96">
    <w:abstractNumId w:val="35"/>
  </w:num>
  <w:num w:numId="97">
    <w:abstractNumId w:val="0"/>
  </w:num>
  <w:num w:numId="98">
    <w:abstractNumId w:val="106"/>
  </w:num>
  <w:num w:numId="99">
    <w:abstractNumId w:val="46"/>
  </w:num>
  <w:num w:numId="100">
    <w:abstractNumId w:val="38"/>
  </w:num>
  <w:num w:numId="101">
    <w:abstractNumId w:val="45"/>
  </w:num>
  <w:num w:numId="102">
    <w:abstractNumId w:val="80"/>
  </w:num>
  <w:num w:numId="103">
    <w:abstractNumId w:val="2"/>
  </w:num>
  <w:num w:numId="104">
    <w:abstractNumId w:val="43"/>
  </w:num>
  <w:num w:numId="105">
    <w:abstractNumId w:val="17"/>
  </w:num>
  <w:num w:numId="106">
    <w:abstractNumId w:val="83"/>
  </w:num>
  <w:num w:numId="107">
    <w:abstractNumId w:val="55"/>
  </w:num>
  <w:num w:numId="108">
    <w:abstractNumId w:val="112"/>
  </w:num>
  <w:num w:numId="109">
    <w:abstractNumId w:val="60"/>
  </w:num>
  <w:num w:numId="110">
    <w:abstractNumId w:val="30"/>
  </w:num>
  <w:num w:numId="111">
    <w:abstractNumId w:val="62"/>
  </w:num>
  <w:num w:numId="112">
    <w:abstractNumId w:val="49"/>
  </w:num>
  <w:num w:numId="113">
    <w:abstractNumId w:val="42"/>
  </w:num>
  <w:num w:numId="114">
    <w:abstractNumId w:val="8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14839"/>
    <w:rsid w:val="000406E6"/>
    <w:rsid w:val="00052453"/>
    <w:rsid w:val="0007718F"/>
    <w:rsid w:val="0008748E"/>
    <w:rsid w:val="000B45DF"/>
    <w:rsid w:val="000D466F"/>
    <w:rsid w:val="00115FC0"/>
    <w:rsid w:val="00186062"/>
    <w:rsid w:val="002176C0"/>
    <w:rsid w:val="00221685"/>
    <w:rsid w:val="00235FB4"/>
    <w:rsid w:val="002371DA"/>
    <w:rsid w:val="00261C6B"/>
    <w:rsid w:val="002637EF"/>
    <w:rsid w:val="00264066"/>
    <w:rsid w:val="002E127A"/>
    <w:rsid w:val="002E3AB1"/>
    <w:rsid w:val="002E454A"/>
    <w:rsid w:val="003015E9"/>
    <w:rsid w:val="00322843"/>
    <w:rsid w:val="003624AD"/>
    <w:rsid w:val="00362805"/>
    <w:rsid w:val="0038273B"/>
    <w:rsid w:val="003B1103"/>
    <w:rsid w:val="00460AD8"/>
    <w:rsid w:val="004C429A"/>
    <w:rsid w:val="004E0974"/>
    <w:rsid w:val="005246BA"/>
    <w:rsid w:val="00554412"/>
    <w:rsid w:val="00565C29"/>
    <w:rsid w:val="00587A78"/>
    <w:rsid w:val="005C1008"/>
    <w:rsid w:val="005D527F"/>
    <w:rsid w:val="006013D6"/>
    <w:rsid w:val="006356BC"/>
    <w:rsid w:val="006466F5"/>
    <w:rsid w:val="0065048A"/>
    <w:rsid w:val="00651186"/>
    <w:rsid w:val="00667F28"/>
    <w:rsid w:val="006744BC"/>
    <w:rsid w:val="00691551"/>
    <w:rsid w:val="0069366F"/>
    <w:rsid w:val="006D2124"/>
    <w:rsid w:val="00702A25"/>
    <w:rsid w:val="007110DE"/>
    <w:rsid w:val="0073370E"/>
    <w:rsid w:val="00793AB7"/>
    <w:rsid w:val="007B620E"/>
    <w:rsid w:val="0080246A"/>
    <w:rsid w:val="0080403F"/>
    <w:rsid w:val="0081125B"/>
    <w:rsid w:val="00855B7C"/>
    <w:rsid w:val="0088710B"/>
    <w:rsid w:val="008A01E9"/>
    <w:rsid w:val="008D6F7B"/>
    <w:rsid w:val="00916ED3"/>
    <w:rsid w:val="00920596"/>
    <w:rsid w:val="00925453"/>
    <w:rsid w:val="00936D77"/>
    <w:rsid w:val="00941ED2"/>
    <w:rsid w:val="00956F56"/>
    <w:rsid w:val="009E4569"/>
    <w:rsid w:val="00A13742"/>
    <w:rsid w:val="00A20FBF"/>
    <w:rsid w:val="00A229F4"/>
    <w:rsid w:val="00A41364"/>
    <w:rsid w:val="00A63CA8"/>
    <w:rsid w:val="00A8105C"/>
    <w:rsid w:val="00AD10BE"/>
    <w:rsid w:val="00AF7933"/>
    <w:rsid w:val="00B1482F"/>
    <w:rsid w:val="00B15AEC"/>
    <w:rsid w:val="00B629AB"/>
    <w:rsid w:val="00BC7DB2"/>
    <w:rsid w:val="00BD0749"/>
    <w:rsid w:val="00BE3871"/>
    <w:rsid w:val="00C35B4A"/>
    <w:rsid w:val="00C61A49"/>
    <w:rsid w:val="00C623D3"/>
    <w:rsid w:val="00C63B0A"/>
    <w:rsid w:val="00C77B7E"/>
    <w:rsid w:val="00CE1F52"/>
    <w:rsid w:val="00D1084D"/>
    <w:rsid w:val="00DC3F1C"/>
    <w:rsid w:val="00DC5865"/>
    <w:rsid w:val="00DD19B0"/>
    <w:rsid w:val="00E112D3"/>
    <w:rsid w:val="00E20255"/>
    <w:rsid w:val="00E43E57"/>
    <w:rsid w:val="00E47A54"/>
    <w:rsid w:val="00E91D29"/>
    <w:rsid w:val="00ED4919"/>
    <w:rsid w:val="00F46B58"/>
    <w:rsid w:val="00F500F8"/>
    <w:rsid w:val="00FE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character" w:styleId="CommentReference">
    <w:name w:val="annotation reference"/>
    <w:basedOn w:val="DefaultParagraphFont"/>
    <w:uiPriority w:val="99"/>
    <w:semiHidden/>
    <w:unhideWhenUsed/>
    <w:rsid w:val="00702A25"/>
    <w:rPr>
      <w:sz w:val="16"/>
      <w:szCs w:val="16"/>
    </w:rPr>
  </w:style>
  <w:style w:type="paragraph" w:styleId="CommentText">
    <w:name w:val="annotation text"/>
    <w:basedOn w:val="Normal"/>
    <w:link w:val="CommentTextChar"/>
    <w:uiPriority w:val="99"/>
    <w:semiHidden/>
    <w:unhideWhenUsed/>
    <w:rsid w:val="00702A25"/>
    <w:pPr>
      <w:spacing w:line="240" w:lineRule="auto"/>
    </w:pPr>
    <w:rPr>
      <w:sz w:val="20"/>
      <w:szCs w:val="20"/>
    </w:rPr>
  </w:style>
  <w:style w:type="character" w:customStyle="1" w:styleId="CommentTextChar">
    <w:name w:val="Comment Text Char"/>
    <w:basedOn w:val="DefaultParagraphFont"/>
    <w:link w:val="CommentText"/>
    <w:uiPriority w:val="99"/>
    <w:semiHidden/>
    <w:rsid w:val="00702A25"/>
    <w:rPr>
      <w:sz w:val="20"/>
      <w:szCs w:val="20"/>
    </w:rPr>
  </w:style>
  <w:style w:type="paragraph" w:styleId="CommentSubject">
    <w:name w:val="annotation subject"/>
    <w:basedOn w:val="CommentText"/>
    <w:next w:val="CommentText"/>
    <w:link w:val="CommentSubjectChar"/>
    <w:uiPriority w:val="99"/>
    <w:semiHidden/>
    <w:unhideWhenUsed/>
    <w:rsid w:val="00702A25"/>
    <w:rPr>
      <w:b/>
      <w:bCs/>
    </w:rPr>
  </w:style>
  <w:style w:type="character" w:customStyle="1" w:styleId="CommentSubjectChar">
    <w:name w:val="Comment Subject Char"/>
    <w:basedOn w:val="CommentTextChar"/>
    <w:link w:val="CommentSubject"/>
    <w:uiPriority w:val="99"/>
    <w:semiHidden/>
    <w:rsid w:val="00702A25"/>
    <w:rPr>
      <w:b/>
      <w:bCs/>
      <w:sz w:val="20"/>
      <w:szCs w:val="20"/>
    </w:rPr>
  </w:style>
  <w:style w:type="paragraph" w:styleId="NormalWeb">
    <w:name w:val="Normal (Web)"/>
    <w:basedOn w:val="Normal"/>
    <w:uiPriority w:val="99"/>
    <w:semiHidden/>
    <w:unhideWhenUsed/>
    <w:rsid w:val="00956F56"/>
    <w:pPr>
      <w:widowControl/>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181953">
      <w:bodyDiv w:val="1"/>
      <w:marLeft w:val="0"/>
      <w:marRight w:val="0"/>
      <w:marTop w:val="0"/>
      <w:marBottom w:val="0"/>
      <w:divBdr>
        <w:top w:val="none" w:sz="0" w:space="0" w:color="auto"/>
        <w:left w:val="none" w:sz="0" w:space="0" w:color="auto"/>
        <w:bottom w:val="none" w:sz="0" w:space="0" w:color="auto"/>
        <w:right w:val="none" w:sz="0" w:space="0" w:color="auto"/>
      </w:divBdr>
      <w:divsChild>
        <w:div w:id="398209411">
          <w:marLeft w:val="-115"/>
          <w:marRight w:val="0"/>
          <w:marTop w:val="0"/>
          <w:marBottom w:val="0"/>
          <w:divBdr>
            <w:top w:val="none" w:sz="0" w:space="0" w:color="auto"/>
            <w:left w:val="none" w:sz="0" w:space="0" w:color="auto"/>
            <w:bottom w:val="none" w:sz="0" w:space="0" w:color="auto"/>
            <w:right w:val="none" w:sz="0" w:space="0" w:color="auto"/>
          </w:divBdr>
        </w:div>
      </w:divsChild>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jp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tools.hmrc.gov.uk/es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esg.gov.uk/risk-management-collection" TargetMode="External"/><Relationship Id="rId23" Type="http://schemas.openxmlformats.org/officeDocument/2006/relationships/hyperlink" Target="https://www.digitalmarketplace.service.gov.uk" TargetMode="External"/><Relationship Id="rId28" Type="http://schemas.openxmlformats.org/officeDocument/2006/relationships/footer" Target="footer1.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20577</Words>
  <Characters>117290</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Thomas Jones</cp:lastModifiedBy>
  <cp:revision>3</cp:revision>
  <dcterms:created xsi:type="dcterms:W3CDTF">2020-03-09T16:10:00Z</dcterms:created>
  <dcterms:modified xsi:type="dcterms:W3CDTF">2020-03-09T16:11:00Z</dcterms:modified>
</cp:coreProperties>
</file>