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bookmarkStart w:colFirst="0" w:colLast="0" w:name="_gjdgxs" w:id="0"/>
      <w:bookmarkEnd w:id="0"/>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2">
      <w:pPr>
        <w:spacing w:before="200" w:lineRule="auto"/>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3">
      <w:pPr>
        <w:spacing w:before="200" w:lineRule="auto"/>
        <w:rPr>
          <w:rFonts w:ascii="Arial" w:cs="Arial" w:eastAsia="Arial" w:hAnsi="Arial"/>
        </w:rPr>
      </w:pPr>
      <w:bookmarkStart w:colFirst="0" w:colLast="0" w:name="_1fob9te" w:id="2"/>
      <w:bookmarkEnd w:id="2"/>
      <w:r w:rsidDel="00000000" w:rsidR="00000000" w:rsidRPr="00000000">
        <w:rPr>
          <w:rtl w:val="0"/>
        </w:rPr>
      </w:r>
    </w:p>
    <w:p w:rsidR="00000000" w:rsidDel="00000000" w:rsidP="00000000" w:rsidRDefault="00000000" w:rsidRPr="00000000" w14:paraId="00000004">
      <w:pPr>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5">
      <w:pPr>
        <w:rPr>
          <w:rFonts w:ascii="Arial" w:cs="Arial" w:eastAsia="Arial" w:hAnsi="Arial"/>
        </w:rPr>
      </w:pPr>
      <w:bookmarkStart w:colFirst="0" w:colLast="0" w:name="_2et92p0" w:id="4"/>
      <w:bookmarkEnd w:id="4"/>
      <w:hyperlink r:id="rId6">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T125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publications/procurement-and-contracting-transparency-requirements-guidance"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