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38F" w:rsidRDefault="0087538F" w:rsidP="0087538F">
      <w:pPr>
        <w:pStyle w:val="DeptBullets"/>
        <w:numPr>
          <w:ilvl w:val="0"/>
          <w:numId w:val="0"/>
        </w:numPr>
        <w:spacing w:after="0"/>
        <w:jc w:val="center"/>
        <w:rPr>
          <w:b/>
          <w:sz w:val="32"/>
        </w:rPr>
      </w:pPr>
      <w:r w:rsidRPr="005E74ED">
        <w:rPr>
          <w:b/>
          <w:sz w:val="32"/>
        </w:rPr>
        <w:t>Frequently Asked Questions</w:t>
      </w:r>
    </w:p>
    <w:p w:rsidR="0087538F" w:rsidRPr="005E74ED" w:rsidRDefault="0087538F" w:rsidP="0087538F">
      <w:pPr>
        <w:pStyle w:val="DeptBullets"/>
        <w:numPr>
          <w:ilvl w:val="0"/>
          <w:numId w:val="0"/>
        </w:numPr>
        <w:spacing w:after="0"/>
        <w:jc w:val="center"/>
        <w:rPr>
          <w:b/>
          <w:sz w:val="32"/>
        </w:rPr>
      </w:pPr>
    </w:p>
    <w:p w:rsidR="0087538F" w:rsidRPr="005E74ED" w:rsidRDefault="0087538F" w:rsidP="0087538F">
      <w:pPr>
        <w:pStyle w:val="ListParagraph"/>
        <w:widowControl/>
        <w:numPr>
          <w:ilvl w:val="0"/>
          <w:numId w:val="14"/>
        </w:numPr>
        <w:overflowPunct/>
        <w:autoSpaceDE/>
        <w:autoSpaceDN/>
        <w:adjustRightInd/>
        <w:textAlignment w:val="auto"/>
        <w:rPr>
          <w:b/>
        </w:rPr>
      </w:pPr>
      <w:r w:rsidRPr="005E74ED">
        <w:rPr>
          <w:b/>
        </w:rPr>
        <w:t>The timetable on page 4 says the confirmation of bidder will be 19</w:t>
      </w:r>
      <w:r w:rsidRPr="005E74ED">
        <w:rPr>
          <w:b/>
          <w:vertAlign w:val="superscript"/>
        </w:rPr>
        <w:t>th</w:t>
      </w:r>
      <w:r w:rsidRPr="005E74ED">
        <w:rPr>
          <w:b/>
        </w:rPr>
        <w:t xml:space="preserve"> May etc – please can you reconfirm the timetable inc contract award?</w:t>
      </w:r>
    </w:p>
    <w:p w:rsidR="0087538F" w:rsidRDefault="0087538F" w:rsidP="0087538F">
      <w:pPr>
        <w:widowControl/>
        <w:overflowPunct/>
        <w:autoSpaceDE/>
        <w:autoSpaceDN/>
        <w:adjustRightInd/>
        <w:textAlignment w:val="auto"/>
        <w:rPr>
          <w:rFonts w:cs="Arial"/>
          <w:color w:val="1F497D"/>
          <w:szCs w:val="22"/>
        </w:rPr>
      </w:pPr>
      <w:r w:rsidRPr="008B014B">
        <w:rPr>
          <w:rFonts w:cs="Arial"/>
          <w:color w:val="1F497D"/>
          <w:szCs w:val="22"/>
        </w:rPr>
        <w:t>The last three dates of the activity description on page 4 of the invitation to tender should be in the month of October not May, i.e. ‘10’ not ‘05’. We have made relevant updates in the latest version of the ITT.</w:t>
      </w:r>
    </w:p>
    <w:p w:rsidR="0087538F" w:rsidRDefault="0087538F" w:rsidP="0087538F">
      <w:pPr>
        <w:widowControl/>
        <w:overflowPunct/>
        <w:autoSpaceDE/>
        <w:autoSpaceDN/>
        <w:adjustRightInd/>
        <w:textAlignment w:val="auto"/>
        <w:rPr>
          <w:rFonts w:cs="Arial"/>
          <w:color w:val="1F497D"/>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4"/>
        <w:gridCol w:w="3246"/>
      </w:tblGrid>
      <w:tr w:rsidR="0087538F" w:rsidRPr="00F80CDA" w:rsidTr="00013835">
        <w:tc>
          <w:tcPr>
            <w:tcW w:w="5084" w:type="dxa"/>
            <w:shd w:val="clear" w:color="auto" w:fill="auto"/>
            <w:vAlign w:val="center"/>
          </w:tcPr>
          <w:p w:rsidR="0087538F" w:rsidRPr="00F80CDA" w:rsidRDefault="0087538F" w:rsidP="00013835">
            <w:pPr>
              <w:widowControl/>
              <w:overflowPunct/>
              <w:autoSpaceDE/>
              <w:autoSpaceDN/>
              <w:adjustRightInd/>
              <w:textAlignment w:val="auto"/>
              <w:rPr>
                <w:rFonts w:cs="Arial"/>
                <w:b/>
                <w:bCs/>
                <w:color w:val="1F497D" w:themeColor="text2"/>
                <w:szCs w:val="24"/>
              </w:rPr>
            </w:pPr>
            <w:r w:rsidRPr="00F80CDA">
              <w:rPr>
                <w:rFonts w:cs="Arial"/>
                <w:b/>
                <w:bCs/>
                <w:color w:val="1F497D" w:themeColor="text2"/>
                <w:szCs w:val="24"/>
              </w:rPr>
              <w:t>Activity description</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b/>
                <w:bCs/>
                <w:color w:val="1F497D" w:themeColor="text2"/>
                <w:szCs w:val="24"/>
                <w:highlight w:val="yellow"/>
              </w:rPr>
            </w:pPr>
            <w:r w:rsidRPr="00F80CDA">
              <w:rPr>
                <w:rFonts w:cs="Arial"/>
                <w:b/>
                <w:bCs/>
                <w:color w:val="1F497D" w:themeColor="text2"/>
                <w:szCs w:val="24"/>
              </w:rPr>
              <w:t>Date:</w:t>
            </w:r>
          </w:p>
        </w:tc>
      </w:tr>
      <w:tr w:rsidR="0087538F" w:rsidRPr="00F80CDA" w:rsidTr="00013835">
        <w:tc>
          <w:tcPr>
            <w:tcW w:w="5084" w:type="dxa"/>
            <w:shd w:val="clear" w:color="auto" w:fill="auto"/>
            <w:vAlign w:val="bottom"/>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ITT issued</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bCs/>
                <w:color w:val="1F497D" w:themeColor="text2"/>
                <w:szCs w:val="24"/>
                <w:highlight w:val="yellow"/>
              </w:rPr>
            </w:pPr>
            <w:r w:rsidRPr="00F80CDA">
              <w:rPr>
                <w:rFonts w:cs="Arial"/>
                <w:bCs/>
                <w:color w:val="1F497D" w:themeColor="text2"/>
                <w:szCs w:val="24"/>
              </w:rPr>
              <w:t>14/8/2015</w:t>
            </w:r>
          </w:p>
        </w:tc>
      </w:tr>
      <w:tr w:rsidR="0087538F" w:rsidRPr="00F80CDA" w:rsidTr="00013835">
        <w:tc>
          <w:tcPr>
            <w:tcW w:w="5084" w:type="dxa"/>
            <w:shd w:val="clear" w:color="auto" w:fill="auto"/>
            <w:vAlign w:val="bottom"/>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Last day for submission of queries (5pm)</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08/09/2015</w:t>
            </w:r>
          </w:p>
        </w:tc>
      </w:tr>
      <w:tr w:rsidR="0087538F" w:rsidRPr="00F80CDA" w:rsidTr="00013835">
        <w:tc>
          <w:tcPr>
            <w:tcW w:w="5084" w:type="dxa"/>
            <w:shd w:val="clear" w:color="auto" w:fill="auto"/>
            <w:vAlign w:val="bottom"/>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Last day for DfE to respond to queries</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15/09/2015</w:t>
            </w:r>
          </w:p>
        </w:tc>
      </w:tr>
      <w:tr w:rsidR="0087538F" w:rsidRPr="00F80CDA" w:rsidTr="00013835">
        <w:tc>
          <w:tcPr>
            <w:tcW w:w="5084" w:type="dxa"/>
            <w:shd w:val="clear" w:color="auto" w:fill="auto"/>
            <w:vAlign w:val="bottom"/>
          </w:tcPr>
          <w:p w:rsidR="0087538F" w:rsidRPr="00F80CDA" w:rsidRDefault="0087538F" w:rsidP="00013835">
            <w:pPr>
              <w:widowControl/>
              <w:overflowPunct/>
              <w:autoSpaceDE/>
              <w:autoSpaceDN/>
              <w:adjustRightInd/>
              <w:textAlignment w:val="auto"/>
              <w:rPr>
                <w:rFonts w:cs="Arial"/>
                <w:bCs/>
                <w:color w:val="1F497D" w:themeColor="text2"/>
                <w:szCs w:val="24"/>
              </w:rPr>
            </w:pPr>
            <w:r w:rsidRPr="00F80CDA">
              <w:rPr>
                <w:rFonts w:cs="Arial"/>
                <w:bCs/>
                <w:color w:val="1F497D" w:themeColor="text2"/>
                <w:szCs w:val="24"/>
              </w:rPr>
              <w:t>Last day for submission of bids (midday)</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bCs/>
                <w:color w:val="1F497D" w:themeColor="text2"/>
                <w:szCs w:val="24"/>
              </w:rPr>
            </w:pPr>
            <w:r w:rsidRPr="00F80CDA">
              <w:rPr>
                <w:rFonts w:cs="Arial"/>
                <w:bCs/>
                <w:color w:val="1F497D" w:themeColor="text2"/>
                <w:szCs w:val="24"/>
              </w:rPr>
              <w:t>21/09/2015</w:t>
            </w:r>
          </w:p>
        </w:tc>
      </w:tr>
      <w:tr w:rsidR="0087538F" w:rsidRPr="00F80CDA" w:rsidTr="00013835">
        <w:tc>
          <w:tcPr>
            <w:tcW w:w="5084" w:type="dxa"/>
            <w:shd w:val="clear" w:color="auto" w:fill="auto"/>
            <w:vAlign w:val="bottom"/>
          </w:tcPr>
          <w:p w:rsidR="0087538F" w:rsidRPr="00F80CDA" w:rsidRDefault="0087538F" w:rsidP="00013835">
            <w:pPr>
              <w:widowControl/>
              <w:overflowPunct/>
              <w:autoSpaceDE/>
              <w:autoSpaceDN/>
              <w:adjustRightInd/>
              <w:textAlignment w:val="auto"/>
              <w:rPr>
                <w:rFonts w:cs="Arial"/>
                <w:bCs/>
                <w:color w:val="1F497D" w:themeColor="text2"/>
                <w:szCs w:val="24"/>
              </w:rPr>
            </w:pPr>
            <w:r w:rsidRPr="00F80CDA">
              <w:rPr>
                <w:rFonts w:cs="Arial"/>
                <w:bCs/>
                <w:color w:val="1F497D" w:themeColor="text2"/>
                <w:szCs w:val="24"/>
              </w:rPr>
              <w:t>Tender evaluation and moderation panels</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bCs/>
                <w:color w:val="1F497D" w:themeColor="text2"/>
                <w:szCs w:val="24"/>
              </w:rPr>
            </w:pPr>
            <w:r w:rsidRPr="00F80CDA">
              <w:rPr>
                <w:rFonts w:cs="Arial"/>
                <w:bCs/>
                <w:color w:val="1F497D" w:themeColor="text2"/>
                <w:szCs w:val="24"/>
              </w:rPr>
              <w:t>22/09/2015 to 02/10/2015</w:t>
            </w:r>
          </w:p>
        </w:tc>
      </w:tr>
      <w:tr w:rsidR="0087538F" w:rsidRPr="00F80CDA" w:rsidTr="00013835">
        <w:tc>
          <w:tcPr>
            <w:tcW w:w="5084" w:type="dxa"/>
            <w:shd w:val="clear" w:color="auto" w:fill="auto"/>
            <w:vAlign w:val="bottom"/>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Supplier clarification meetings (if required)</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 xml:space="preserve">05/10/2015 to 16/10/2015 </w:t>
            </w:r>
          </w:p>
        </w:tc>
      </w:tr>
      <w:tr w:rsidR="0087538F" w:rsidRPr="00F80CDA" w:rsidTr="00013835">
        <w:tc>
          <w:tcPr>
            <w:tcW w:w="5084" w:type="dxa"/>
            <w:shd w:val="clear" w:color="auto" w:fill="auto"/>
            <w:vAlign w:val="bottom"/>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Confirmation of successful bidder</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w/c 19/10/2015</w:t>
            </w:r>
          </w:p>
        </w:tc>
      </w:tr>
      <w:tr w:rsidR="0087538F" w:rsidRPr="00F80CDA" w:rsidTr="00013835">
        <w:tc>
          <w:tcPr>
            <w:tcW w:w="5084" w:type="dxa"/>
            <w:shd w:val="clear" w:color="auto" w:fill="auto"/>
            <w:vAlign w:val="center"/>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Finalisation of contract</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 xml:space="preserve">w/c 19/10/2015 </w:t>
            </w:r>
          </w:p>
        </w:tc>
      </w:tr>
      <w:tr w:rsidR="0087538F" w:rsidRPr="00F80CDA" w:rsidTr="00013835">
        <w:trPr>
          <w:trHeight w:val="261"/>
        </w:trPr>
        <w:tc>
          <w:tcPr>
            <w:tcW w:w="5084" w:type="dxa"/>
            <w:shd w:val="clear" w:color="auto" w:fill="auto"/>
            <w:vAlign w:val="center"/>
          </w:tcPr>
          <w:p w:rsidR="0087538F" w:rsidRPr="00F80CDA" w:rsidRDefault="0087538F" w:rsidP="00013835">
            <w:pPr>
              <w:widowControl/>
              <w:overflowPunct/>
              <w:autoSpaceDE/>
              <w:autoSpaceDN/>
              <w:adjustRightInd/>
              <w:textAlignment w:val="auto"/>
              <w:rPr>
                <w:rFonts w:cs="Arial"/>
                <w:color w:val="1F497D" w:themeColor="text2"/>
                <w:szCs w:val="24"/>
              </w:rPr>
            </w:pPr>
            <w:r w:rsidRPr="00F80CDA">
              <w:rPr>
                <w:rFonts w:cs="Arial"/>
                <w:color w:val="1F497D" w:themeColor="text2"/>
                <w:szCs w:val="24"/>
              </w:rPr>
              <w:t>Contract award</w:t>
            </w:r>
          </w:p>
        </w:tc>
        <w:tc>
          <w:tcPr>
            <w:tcW w:w="3246" w:type="dxa"/>
            <w:shd w:val="clear" w:color="auto" w:fill="auto"/>
            <w:vAlign w:val="center"/>
          </w:tcPr>
          <w:p w:rsidR="0087538F" w:rsidRPr="00F80CDA" w:rsidRDefault="0087538F" w:rsidP="00013835">
            <w:pPr>
              <w:widowControl/>
              <w:overflowPunct/>
              <w:autoSpaceDE/>
              <w:autoSpaceDN/>
              <w:adjustRightInd/>
              <w:textAlignment w:val="auto"/>
              <w:rPr>
                <w:rFonts w:cs="Arial"/>
                <w:bCs/>
                <w:color w:val="1F497D" w:themeColor="text2"/>
                <w:szCs w:val="24"/>
              </w:rPr>
            </w:pPr>
            <w:r w:rsidRPr="00F80CDA">
              <w:rPr>
                <w:rFonts w:cs="Arial"/>
                <w:bCs/>
                <w:color w:val="1F497D" w:themeColor="text2"/>
                <w:szCs w:val="24"/>
              </w:rPr>
              <w:t>w/c 26/10/2015</w:t>
            </w:r>
          </w:p>
        </w:tc>
      </w:tr>
    </w:tbl>
    <w:p w:rsidR="0087538F" w:rsidRPr="005E74ED" w:rsidRDefault="0087538F" w:rsidP="0087538F">
      <w:pPr>
        <w:widowControl/>
        <w:overflowPunct/>
        <w:autoSpaceDE/>
        <w:autoSpaceDN/>
        <w:adjustRightInd/>
        <w:textAlignment w:val="auto"/>
        <w:rPr>
          <w:rFonts w:cs="Arial"/>
          <w:b/>
          <w:color w:val="1F497D"/>
          <w:szCs w:val="22"/>
        </w:rPr>
      </w:pPr>
    </w:p>
    <w:p w:rsidR="0087538F" w:rsidRPr="005E74ED" w:rsidRDefault="0087538F" w:rsidP="0087538F">
      <w:pPr>
        <w:widowControl/>
        <w:overflowPunct/>
        <w:autoSpaceDE/>
        <w:autoSpaceDN/>
        <w:adjustRightInd/>
        <w:textAlignment w:val="auto"/>
        <w:rPr>
          <w:rFonts w:cs="Arial"/>
          <w:b/>
          <w:color w:val="1F497D"/>
          <w:szCs w:val="22"/>
        </w:rPr>
      </w:pPr>
    </w:p>
    <w:p w:rsidR="0087538F" w:rsidRPr="005E74ED" w:rsidRDefault="0087538F" w:rsidP="0087538F">
      <w:pPr>
        <w:pStyle w:val="DeptBullets"/>
        <w:numPr>
          <w:ilvl w:val="0"/>
          <w:numId w:val="14"/>
        </w:numPr>
        <w:spacing w:after="0"/>
        <w:rPr>
          <w:b/>
          <w:color w:val="1F497D" w:themeColor="text2"/>
        </w:rPr>
      </w:pPr>
      <w:r w:rsidRPr="005E74ED">
        <w:rPr>
          <w:b/>
        </w:rPr>
        <w:t>When are the dates for face to face meetings?</w:t>
      </w:r>
    </w:p>
    <w:p w:rsidR="0087538F" w:rsidRPr="00771175" w:rsidRDefault="0087538F" w:rsidP="0087538F">
      <w:pPr>
        <w:pStyle w:val="DeptBullets"/>
        <w:numPr>
          <w:ilvl w:val="0"/>
          <w:numId w:val="0"/>
        </w:numPr>
        <w:spacing w:after="0"/>
        <w:rPr>
          <w:color w:val="1F497D" w:themeColor="text2"/>
        </w:rPr>
      </w:pPr>
      <w:r w:rsidRPr="00771175">
        <w:rPr>
          <w:rFonts w:cs="Arial"/>
          <w:color w:val="1F497D" w:themeColor="text2"/>
          <w:szCs w:val="24"/>
        </w:rPr>
        <w:t>London – 4</w:t>
      </w:r>
      <w:r w:rsidRPr="00771175">
        <w:rPr>
          <w:rFonts w:cs="Arial"/>
          <w:color w:val="1F497D" w:themeColor="text2"/>
          <w:szCs w:val="24"/>
          <w:vertAlign w:val="superscript"/>
        </w:rPr>
        <w:t>th</w:t>
      </w:r>
      <w:r w:rsidRPr="00771175">
        <w:rPr>
          <w:rFonts w:cs="Arial"/>
          <w:color w:val="1F497D" w:themeColor="text2"/>
          <w:szCs w:val="24"/>
        </w:rPr>
        <w:t xml:space="preserve"> September for a 1 hour session at 11am or 12.30pm</w:t>
      </w:r>
    </w:p>
    <w:p w:rsidR="0087538F" w:rsidRDefault="0087538F" w:rsidP="0087538F">
      <w:pPr>
        <w:pStyle w:val="DeptBullets"/>
        <w:numPr>
          <w:ilvl w:val="0"/>
          <w:numId w:val="0"/>
        </w:numPr>
        <w:spacing w:after="0"/>
        <w:rPr>
          <w:rFonts w:cs="Arial"/>
          <w:color w:val="1F497D" w:themeColor="text2"/>
          <w:szCs w:val="24"/>
        </w:rPr>
      </w:pPr>
      <w:r w:rsidRPr="00771175">
        <w:rPr>
          <w:rFonts w:cs="Arial"/>
          <w:color w:val="1F497D" w:themeColor="text2"/>
          <w:szCs w:val="24"/>
        </w:rPr>
        <w:t>Sheffield – 8th</w:t>
      </w:r>
      <w:r w:rsidRPr="00771175">
        <w:rPr>
          <w:rFonts w:cs="Arial"/>
          <w:color w:val="1F497D" w:themeColor="text2"/>
          <w:szCs w:val="24"/>
          <w:vertAlign w:val="superscript"/>
        </w:rPr>
        <w:t xml:space="preserve"> </w:t>
      </w:r>
      <w:r w:rsidRPr="00771175">
        <w:rPr>
          <w:rFonts w:cs="Arial"/>
          <w:color w:val="1F497D" w:themeColor="text2"/>
          <w:szCs w:val="24"/>
        </w:rPr>
        <w:t>September for a 1 hour session at 11am or 12.30pm</w:t>
      </w:r>
    </w:p>
    <w:p w:rsidR="0087538F" w:rsidRDefault="0087538F" w:rsidP="0087538F">
      <w:pPr>
        <w:pStyle w:val="DeptBullets"/>
        <w:numPr>
          <w:ilvl w:val="0"/>
          <w:numId w:val="0"/>
        </w:numPr>
        <w:spacing w:after="0"/>
        <w:rPr>
          <w:rFonts w:cs="Arial"/>
          <w:color w:val="1F497D" w:themeColor="text2"/>
          <w:szCs w:val="24"/>
        </w:rPr>
      </w:pPr>
    </w:p>
    <w:p w:rsidR="0087538F" w:rsidRPr="00771175" w:rsidRDefault="0087538F" w:rsidP="0087538F">
      <w:pPr>
        <w:pStyle w:val="DeptBullets"/>
        <w:numPr>
          <w:ilvl w:val="0"/>
          <w:numId w:val="0"/>
        </w:numPr>
        <w:spacing w:after="0"/>
        <w:rPr>
          <w:rFonts w:cs="Arial"/>
          <w:color w:val="1F497D" w:themeColor="text2"/>
          <w:szCs w:val="24"/>
        </w:rPr>
      </w:pPr>
      <w:r w:rsidRPr="00771175">
        <w:rPr>
          <w:rFonts w:cs="Arial"/>
          <w:color w:val="1F497D" w:themeColor="text2"/>
          <w:szCs w:val="24"/>
        </w:rPr>
        <w:t>If you are interested in attending an open session, please RSVP a seat including which session and time by Friday 28</w:t>
      </w:r>
      <w:r w:rsidRPr="00771175">
        <w:rPr>
          <w:rFonts w:cs="Arial"/>
          <w:color w:val="1F497D" w:themeColor="text2"/>
          <w:szCs w:val="24"/>
          <w:vertAlign w:val="superscript"/>
        </w:rPr>
        <w:t>th</w:t>
      </w:r>
      <w:r w:rsidRPr="00771175">
        <w:rPr>
          <w:rFonts w:cs="Arial"/>
          <w:color w:val="1F497D" w:themeColor="text2"/>
          <w:szCs w:val="24"/>
        </w:rPr>
        <w:t xml:space="preserve"> August to </w:t>
      </w:r>
      <w:hyperlink r:id="rId14" w:history="1">
        <w:r w:rsidRPr="00771175">
          <w:rPr>
            <w:rStyle w:val="Hyperlink"/>
            <w:rFonts w:cs="Arial"/>
            <w:color w:val="1F497D" w:themeColor="text2"/>
            <w:szCs w:val="24"/>
          </w:rPr>
          <w:t>2015.AOS-PROCUREMENT@education.gsi.gov.uk</w:t>
        </w:r>
      </w:hyperlink>
      <w:r w:rsidRPr="00771175">
        <w:rPr>
          <w:rFonts w:cs="Arial"/>
          <w:color w:val="1F497D" w:themeColor="text2"/>
          <w:szCs w:val="24"/>
        </w:rPr>
        <w:t xml:space="preserve"> and we will send you the full details.  We may not be able to allocate you a seat due to capacity issues, so please indicate your interest at the earliest possible time to avoid disappointment.</w:t>
      </w:r>
    </w:p>
    <w:p w:rsidR="0087538F" w:rsidRDefault="0087538F" w:rsidP="0087538F">
      <w:pPr>
        <w:widowControl/>
        <w:overflowPunct/>
        <w:autoSpaceDE/>
        <w:autoSpaceDN/>
        <w:adjustRightInd/>
        <w:textAlignment w:val="auto"/>
        <w:rPr>
          <w:rFonts w:cs="Arial"/>
          <w:color w:val="1F497D"/>
          <w:szCs w:val="22"/>
        </w:rPr>
      </w:pPr>
    </w:p>
    <w:p w:rsidR="0087538F" w:rsidRPr="005E74ED" w:rsidRDefault="0087538F" w:rsidP="0087538F">
      <w:pPr>
        <w:widowControl/>
        <w:overflowPunct/>
        <w:autoSpaceDE/>
        <w:autoSpaceDN/>
        <w:adjustRightInd/>
        <w:textAlignment w:val="auto"/>
        <w:rPr>
          <w:rFonts w:cs="Arial"/>
          <w:b/>
          <w:sz w:val="28"/>
        </w:rPr>
      </w:pPr>
    </w:p>
    <w:p w:rsidR="0087538F" w:rsidRPr="005E74ED" w:rsidRDefault="0087538F" w:rsidP="0087538F">
      <w:pPr>
        <w:pStyle w:val="DeptBullets"/>
        <w:numPr>
          <w:ilvl w:val="0"/>
          <w:numId w:val="14"/>
        </w:numPr>
        <w:spacing w:after="0"/>
        <w:rPr>
          <w:b/>
        </w:rPr>
      </w:pPr>
      <w:r w:rsidRPr="005E74ED">
        <w:rPr>
          <w:b/>
        </w:rPr>
        <w:t>Will DfE provide IT equipment to contractors?</w:t>
      </w:r>
    </w:p>
    <w:p w:rsidR="0087538F" w:rsidRPr="008B014B" w:rsidRDefault="0087538F" w:rsidP="0087538F">
      <w:pPr>
        <w:rPr>
          <w:rFonts w:cs="Arial"/>
          <w:color w:val="1F497D" w:themeColor="text2"/>
          <w:szCs w:val="24"/>
        </w:rPr>
      </w:pPr>
      <w:r w:rsidRPr="008B014B">
        <w:rPr>
          <w:rFonts w:cs="Arial"/>
          <w:color w:val="1F497D" w:themeColor="text2"/>
          <w:szCs w:val="24"/>
        </w:rPr>
        <w:t xml:space="preserve">The Contractor will be issued with a Departmental IT account, </w:t>
      </w:r>
      <w:r w:rsidRPr="008B014B">
        <w:rPr>
          <w:rFonts w:cs="Arial"/>
          <w:i/>
          <w:iCs/>
          <w:color w:val="1F497D" w:themeColor="text2"/>
          <w:szCs w:val="24"/>
        </w:rPr>
        <w:t>Desktop to Go dongle</w:t>
      </w:r>
      <w:r>
        <w:rPr>
          <w:rFonts w:cs="Arial"/>
          <w:i/>
          <w:iCs/>
          <w:color w:val="1F497D" w:themeColor="text2"/>
          <w:szCs w:val="24"/>
        </w:rPr>
        <w:t>/ laptop</w:t>
      </w:r>
      <w:r w:rsidRPr="008B014B">
        <w:rPr>
          <w:rFonts w:cs="Arial"/>
          <w:color w:val="1F497D" w:themeColor="text2"/>
          <w:szCs w:val="24"/>
        </w:rPr>
        <w:t xml:space="preserve">, BlackBerry and memory stick, subject to use in compliance with the Department’s Security and Assurance arrangements. All departmental equipment is compatible with our requested cyber essentials requirements. </w:t>
      </w:r>
    </w:p>
    <w:p w:rsidR="0087538F" w:rsidRPr="004A66B5" w:rsidRDefault="0087538F" w:rsidP="0087538F">
      <w:pPr>
        <w:pStyle w:val="DeptBullets"/>
        <w:numPr>
          <w:ilvl w:val="0"/>
          <w:numId w:val="0"/>
        </w:numPr>
        <w:spacing w:after="0"/>
        <w:ind w:left="360"/>
      </w:pPr>
    </w:p>
    <w:p w:rsidR="0087538F" w:rsidRPr="005E74ED" w:rsidRDefault="0087538F" w:rsidP="0087538F">
      <w:pPr>
        <w:pStyle w:val="ListParagraph"/>
        <w:widowControl/>
        <w:numPr>
          <w:ilvl w:val="0"/>
          <w:numId w:val="14"/>
        </w:numPr>
        <w:overflowPunct/>
        <w:autoSpaceDE/>
        <w:autoSpaceDN/>
        <w:adjustRightInd/>
        <w:textAlignment w:val="auto"/>
        <w:rPr>
          <w:rFonts w:cs="Arial"/>
          <w:b/>
        </w:rPr>
      </w:pPr>
      <w:r w:rsidRPr="005E74ED">
        <w:rPr>
          <w:rFonts w:cs="Arial"/>
          <w:b/>
        </w:rPr>
        <w:t xml:space="preserve">If we use our own IT equipment will the bid need to provide evidence of a cyber-essentials certification? </w:t>
      </w:r>
    </w:p>
    <w:p w:rsidR="0087538F" w:rsidRDefault="0087538F" w:rsidP="0087538F">
      <w:pPr>
        <w:pStyle w:val="Numbered"/>
        <w:spacing w:after="0"/>
        <w:rPr>
          <w:rFonts w:cs="Arial"/>
          <w:color w:val="1F497D" w:themeColor="text2"/>
        </w:rPr>
      </w:pPr>
      <w:r w:rsidRPr="0067264D">
        <w:rPr>
          <w:rFonts w:cs="Arial"/>
          <w:color w:val="1F497D" w:themeColor="text2"/>
        </w:rPr>
        <w:t>If you choose to use your own IT equipment a cyber-essentials certification is not essential if</w:t>
      </w:r>
      <w:r>
        <w:rPr>
          <w:rFonts w:cs="Arial"/>
          <w:color w:val="1F497D" w:themeColor="text2"/>
        </w:rPr>
        <w:t xml:space="preserve">  y</w:t>
      </w:r>
      <w:r w:rsidRPr="0067264D">
        <w:rPr>
          <w:rFonts w:cs="Arial"/>
          <w:color w:val="1F497D" w:themeColor="text2"/>
        </w:rPr>
        <w:t>our organisation has equivalent evidence to support that you have appropriate technical and organisational measures to mitigate the risk from common internet based threats in respect to the following five technical areas:</w:t>
      </w:r>
    </w:p>
    <w:p w:rsidR="0087538F" w:rsidRPr="0067264D" w:rsidRDefault="0087538F" w:rsidP="0087538F">
      <w:pPr>
        <w:pStyle w:val="Numbered"/>
        <w:spacing w:after="0"/>
        <w:rPr>
          <w:rFonts w:cs="Arial"/>
          <w:color w:val="1F497D" w:themeColor="text2"/>
        </w:rPr>
      </w:pPr>
    </w:p>
    <w:p w:rsidR="0087538F" w:rsidRPr="0067264D" w:rsidRDefault="0087538F" w:rsidP="0087538F">
      <w:pPr>
        <w:pStyle w:val="Numbered"/>
        <w:widowControl/>
        <w:numPr>
          <w:ilvl w:val="0"/>
          <w:numId w:val="15"/>
        </w:numPr>
        <w:adjustRightInd/>
        <w:spacing w:after="0"/>
        <w:textAlignment w:val="auto"/>
        <w:rPr>
          <w:rFonts w:cs="Arial"/>
          <w:color w:val="1F497D" w:themeColor="text2"/>
        </w:rPr>
      </w:pPr>
      <w:r w:rsidRPr="0067264D">
        <w:rPr>
          <w:rFonts w:cs="Arial"/>
          <w:color w:val="1F497D" w:themeColor="text2"/>
        </w:rPr>
        <w:t xml:space="preserve">Boundary firewalls and internet gateways - these are devices designed to prevent unauthorised access to or from private networks, but good </w:t>
      </w:r>
      <w:r w:rsidRPr="0067264D">
        <w:rPr>
          <w:rFonts w:cs="Arial"/>
          <w:color w:val="1F497D" w:themeColor="text2"/>
        </w:rPr>
        <w:lastRenderedPageBreak/>
        <w:t xml:space="preserve">setup of these devices either in hardware or software form is important for them to be fully effective. </w:t>
      </w:r>
    </w:p>
    <w:p w:rsidR="0087538F" w:rsidRPr="0067264D" w:rsidRDefault="0087538F" w:rsidP="0087538F">
      <w:pPr>
        <w:pStyle w:val="Numbered"/>
        <w:widowControl/>
        <w:numPr>
          <w:ilvl w:val="0"/>
          <w:numId w:val="15"/>
        </w:numPr>
        <w:adjustRightInd/>
        <w:spacing w:after="0"/>
        <w:textAlignment w:val="auto"/>
        <w:rPr>
          <w:rFonts w:cs="Arial"/>
          <w:color w:val="1F497D" w:themeColor="text2"/>
        </w:rPr>
      </w:pPr>
      <w:r w:rsidRPr="0067264D">
        <w:rPr>
          <w:rFonts w:cs="Arial"/>
          <w:color w:val="1F497D" w:themeColor="text2"/>
        </w:rPr>
        <w:t xml:space="preserve">Secure configuration – ensuring that systems are configured in the most secure way for the needs of the organisation </w:t>
      </w:r>
    </w:p>
    <w:p w:rsidR="0087538F" w:rsidRPr="0067264D" w:rsidRDefault="0087538F" w:rsidP="0087538F">
      <w:pPr>
        <w:pStyle w:val="Numbered"/>
        <w:widowControl/>
        <w:numPr>
          <w:ilvl w:val="0"/>
          <w:numId w:val="15"/>
        </w:numPr>
        <w:adjustRightInd/>
        <w:spacing w:after="0"/>
        <w:textAlignment w:val="auto"/>
        <w:rPr>
          <w:rFonts w:cs="Arial"/>
          <w:color w:val="1F497D" w:themeColor="text2"/>
        </w:rPr>
      </w:pPr>
      <w:r w:rsidRPr="0067264D">
        <w:rPr>
          <w:rFonts w:cs="Arial"/>
          <w:color w:val="1F497D" w:themeColor="text2"/>
        </w:rPr>
        <w:t xml:space="preserve">Access control – Ensuring only those who should have access to systems to have access and at the appropriate level. </w:t>
      </w:r>
    </w:p>
    <w:p w:rsidR="0087538F" w:rsidRPr="0067264D" w:rsidRDefault="0087538F" w:rsidP="0087538F">
      <w:pPr>
        <w:pStyle w:val="Numbered"/>
        <w:widowControl/>
        <w:numPr>
          <w:ilvl w:val="0"/>
          <w:numId w:val="15"/>
        </w:numPr>
        <w:adjustRightInd/>
        <w:spacing w:after="0"/>
        <w:textAlignment w:val="auto"/>
        <w:rPr>
          <w:rFonts w:cs="Arial"/>
          <w:color w:val="1F497D" w:themeColor="text2"/>
        </w:rPr>
      </w:pPr>
      <w:r w:rsidRPr="0067264D">
        <w:rPr>
          <w:rFonts w:cs="Arial"/>
          <w:color w:val="1F497D" w:themeColor="text2"/>
        </w:rPr>
        <w:t xml:space="preserve">Malware protection – ensuring that virus and malware protection is installed and is up to date </w:t>
      </w:r>
    </w:p>
    <w:p w:rsidR="0087538F" w:rsidRPr="00382E3C" w:rsidRDefault="0087538F" w:rsidP="0087538F">
      <w:pPr>
        <w:pStyle w:val="Numbered"/>
        <w:widowControl/>
        <w:numPr>
          <w:ilvl w:val="0"/>
          <w:numId w:val="15"/>
        </w:numPr>
        <w:adjustRightInd/>
        <w:spacing w:after="0"/>
        <w:textAlignment w:val="auto"/>
        <w:rPr>
          <w:rFonts w:cs="Arial"/>
          <w:color w:val="1F497D" w:themeColor="text2"/>
        </w:rPr>
      </w:pPr>
      <w:r w:rsidRPr="0067264D">
        <w:rPr>
          <w:rFonts w:cs="Arial"/>
          <w:color w:val="1F497D" w:themeColor="text2"/>
        </w:rPr>
        <w:t>Patch management – ensuring the latest supported version of applications is used and all the necessary patches supplied b</w:t>
      </w:r>
      <w:r>
        <w:rPr>
          <w:rFonts w:cs="Arial"/>
          <w:color w:val="1F497D" w:themeColor="text2"/>
        </w:rPr>
        <w:t>y the vendor have been applied</w:t>
      </w:r>
    </w:p>
    <w:p w:rsidR="0087538F" w:rsidRDefault="0087538F" w:rsidP="0087538F"/>
    <w:p w:rsidR="0087538F" w:rsidRDefault="0087538F" w:rsidP="0087538F">
      <w:pPr>
        <w:pStyle w:val="ListParagraph"/>
        <w:widowControl/>
        <w:numPr>
          <w:ilvl w:val="0"/>
          <w:numId w:val="14"/>
        </w:numPr>
        <w:overflowPunct/>
        <w:autoSpaceDE/>
        <w:autoSpaceDN/>
        <w:adjustRightInd/>
        <w:contextualSpacing w:val="0"/>
        <w:textAlignment w:val="auto"/>
      </w:pPr>
      <w:r w:rsidRPr="005E74ED">
        <w:rPr>
          <w:b/>
        </w:rPr>
        <w:t>Can you confirm that expenses will be paid for any work carried out by contractors outside their allocated RSC area?</w:t>
      </w:r>
      <w:r>
        <w:br/>
      </w:r>
      <w:r>
        <w:rPr>
          <w:color w:val="1F497D"/>
        </w:rPr>
        <w:t>Travel and subsistence costs will be paid to contractors for the work they undertake outside the region(s) answered in Requirement 7.</w:t>
      </w:r>
    </w:p>
    <w:p w:rsidR="0087538F" w:rsidRDefault="0087538F" w:rsidP="0087538F">
      <w:pPr>
        <w:widowControl/>
        <w:overflowPunct/>
        <w:autoSpaceDE/>
        <w:autoSpaceDN/>
        <w:adjustRightInd/>
        <w:textAlignment w:val="auto"/>
      </w:pPr>
    </w:p>
    <w:p w:rsidR="0087538F" w:rsidRDefault="0087538F" w:rsidP="0087538F">
      <w:pPr>
        <w:pStyle w:val="ListParagraph"/>
      </w:pPr>
    </w:p>
    <w:p w:rsidR="0087538F" w:rsidRPr="005E74ED" w:rsidRDefault="0087538F" w:rsidP="0087538F">
      <w:pPr>
        <w:pStyle w:val="ListParagraph"/>
        <w:widowControl/>
        <w:numPr>
          <w:ilvl w:val="0"/>
          <w:numId w:val="14"/>
        </w:numPr>
        <w:overflowPunct/>
        <w:autoSpaceDE/>
        <w:autoSpaceDN/>
        <w:adjustRightInd/>
        <w:contextualSpacing w:val="0"/>
        <w:textAlignment w:val="auto"/>
        <w:rPr>
          <w:b/>
        </w:rPr>
      </w:pPr>
      <w:r w:rsidRPr="005E74ED">
        <w:rPr>
          <w:b/>
        </w:rPr>
        <w:t>On page 17 it says please indicate the number of days you are available for DfE work till until 31 April 2015 – please clarify?</w:t>
      </w:r>
    </w:p>
    <w:p w:rsidR="0087538F" w:rsidRDefault="0087538F" w:rsidP="0087538F">
      <w:pPr>
        <w:widowControl/>
        <w:overflowPunct/>
        <w:autoSpaceDE/>
        <w:autoSpaceDN/>
        <w:adjustRightInd/>
        <w:textAlignment w:val="auto"/>
      </w:pPr>
      <w:r w:rsidRPr="008B014B">
        <w:rPr>
          <w:color w:val="1F497D"/>
        </w:rPr>
        <w:t>This is to gage the availability of the contractors over a certain time period and is not scored. We have updated the ITT to change the date from 31 April 2015 to October 31</w:t>
      </w:r>
      <w:r w:rsidRPr="008B014B">
        <w:rPr>
          <w:color w:val="1F497D"/>
          <w:vertAlign w:val="superscript"/>
        </w:rPr>
        <w:t>st</w:t>
      </w:r>
      <w:r w:rsidRPr="008B014B">
        <w:rPr>
          <w:color w:val="1F497D"/>
        </w:rPr>
        <w:t xml:space="preserve"> 2016.</w:t>
      </w:r>
    </w:p>
    <w:p w:rsidR="0087538F" w:rsidRDefault="0087538F" w:rsidP="0087538F">
      <w:pPr>
        <w:widowControl/>
        <w:overflowPunct/>
        <w:autoSpaceDE/>
        <w:autoSpaceDN/>
        <w:adjustRightInd/>
        <w:textAlignment w:val="auto"/>
      </w:pPr>
    </w:p>
    <w:p w:rsidR="0087538F" w:rsidRPr="005E74ED" w:rsidRDefault="0087538F" w:rsidP="0087538F">
      <w:pPr>
        <w:pStyle w:val="ListParagraph"/>
        <w:rPr>
          <w:b/>
          <w:color w:val="262626"/>
        </w:rPr>
      </w:pPr>
    </w:p>
    <w:p w:rsidR="0087538F" w:rsidRPr="005E74ED" w:rsidRDefault="0087538F" w:rsidP="0087538F">
      <w:pPr>
        <w:pStyle w:val="ListParagraph"/>
        <w:widowControl/>
        <w:numPr>
          <w:ilvl w:val="0"/>
          <w:numId w:val="14"/>
        </w:numPr>
        <w:overflowPunct/>
        <w:autoSpaceDE/>
        <w:autoSpaceDN/>
        <w:adjustRightInd/>
        <w:contextualSpacing w:val="0"/>
        <w:textAlignment w:val="auto"/>
        <w:rPr>
          <w:b/>
        </w:rPr>
      </w:pPr>
      <w:r w:rsidRPr="005E74ED">
        <w:rPr>
          <w:b/>
          <w:color w:val="262626"/>
        </w:rPr>
        <w:t>Could you please clarify the scoring approach as described on page 29.</w:t>
      </w:r>
    </w:p>
    <w:p w:rsidR="0087538F" w:rsidRDefault="0087538F" w:rsidP="0087538F">
      <w:pPr>
        <w:pStyle w:val="DeptBullets"/>
        <w:numPr>
          <w:ilvl w:val="0"/>
          <w:numId w:val="0"/>
        </w:numPr>
        <w:spacing w:after="0"/>
        <w:rPr>
          <w:color w:val="1F497D"/>
        </w:rPr>
      </w:pPr>
      <w:r>
        <w:rPr>
          <w:color w:val="1F497D"/>
        </w:rPr>
        <w:t>The latest version of the ITT has updated this section. The total score of Requirements 1 - 5 will be calculated as a ratio of 80%. Requirement 6 will be calculated as a ratio of 20%. The two calculations will be added and the final score will be given as a percentage.</w:t>
      </w:r>
    </w:p>
    <w:p w:rsidR="0087538F" w:rsidRDefault="0087538F" w:rsidP="0087538F">
      <w:pPr>
        <w:pStyle w:val="DeptBullets"/>
        <w:numPr>
          <w:ilvl w:val="0"/>
          <w:numId w:val="0"/>
        </w:numPr>
        <w:spacing w:after="0"/>
        <w:rPr>
          <w:color w:val="1F497D"/>
        </w:rPr>
      </w:pPr>
    </w:p>
    <w:p w:rsidR="0087538F" w:rsidRPr="00CD26D4" w:rsidRDefault="0087538F" w:rsidP="00C85EB1">
      <w:pPr>
        <w:pStyle w:val="DeptBullets"/>
        <w:numPr>
          <w:ilvl w:val="0"/>
          <w:numId w:val="14"/>
        </w:numPr>
        <w:spacing w:after="0"/>
        <w:rPr>
          <w:b/>
        </w:rPr>
      </w:pPr>
      <w:r w:rsidRPr="005E74ED">
        <w:rPr>
          <w:b/>
        </w:rPr>
        <w:t>Can organisations with multiple individuals being put forward for the work bid in this tender?</w:t>
      </w:r>
      <w:r>
        <w:rPr>
          <w:b/>
        </w:rPr>
        <w:t xml:space="preserve"> </w:t>
      </w:r>
      <w:r w:rsidRPr="007D212C">
        <w:rPr>
          <w:b/>
        </w:rPr>
        <w:t xml:space="preserve">How would it work for a </w:t>
      </w:r>
      <w:r>
        <w:rPr>
          <w:b/>
        </w:rPr>
        <w:t>company with a large amount of individuals offered in the bid</w:t>
      </w:r>
      <w:r w:rsidRPr="007D212C">
        <w:rPr>
          <w:b/>
        </w:rPr>
        <w:t>?</w:t>
      </w:r>
    </w:p>
    <w:p w:rsidR="0087538F" w:rsidRDefault="0087538F" w:rsidP="0087538F">
      <w:pPr>
        <w:rPr>
          <w:color w:val="1F497D"/>
        </w:rPr>
      </w:pPr>
    </w:p>
    <w:p w:rsidR="0087538F" w:rsidRDefault="0087538F" w:rsidP="0087538F">
      <w:pPr>
        <w:pStyle w:val="DeptBullets"/>
        <w:numPr>
          <w:ilvl w:val="0"/>
          <w:numId w:val="17"/>
        </w:numPr>
        <w:spacing w:after="0"/>
        <w:rPr>
          <w:color w:val="1F497D" w:themeColor="text2"/>
        </w:rPr>
      </w:pPr>
      <w:r w:rsidRPr="005E74ED">
        <w:rPr>
          <w:color w:val="1F497D" w:themeColor="text2"/>
        </w:rPr>
        <w:t>Yes, organisations can apply however each bid should provide corporate information on how the organisation meets requirements 1-8 plus additional requirements, we also for require an average daily rate (mean) for all individuals offered.</w:t>
      </w:r>
    </w:p>
    <w:p w:rsidR="0087538F" w:rsidRDefault="0087538F" w:rsidP="0087538F">
      <w:pPr>
        <w:pStyle w:val="DeptBullets"/>
        <w:numPr>
          <w:ilvl w:val="0"/>
          <w:numId w:val="17"/>
        </w:numPr>
        <w:spacing w:after="0"/>
        <w:rPr>
          <w:color w:val="1F497D" w:themeColor="text2"/>
        </w:rPr>
      </w:pPr>
      <w:r w:rsidRPr="005E74ED">
        <w:rPr>
          <w:color w:val="1F497D" w:themeColor="text2"/>
        </w:rPr>
        <w:t xml:space="preserve">For each individual offered in the bid, we also require a CV clearing stating their individual daily rate (excluding VAT and inclusive of expenses), the region(s) they would be able to work in inclusive of travel costs, as well as contact details for 2 referees. </w:t>
      </w:r>
    </w:p>
    <w:p w:rsidR="0087538F" w:rsidRDefault="0087538F" w:rsidP="0087538F">
      <w:pPr>
        <w:pStyle w:val="DeptBullets"/>
        <w:numPr>
          <w:ilvl w:val="0"/>
          <w:numId w:val="17"/>
        </w:numPr>
        <w:spacing w:after="0"/>
        <w:rPr>
          <w:color w:val="1F497D" w:themeColor="text2"/>
        </w:rPr>
      </w:pPr>
      <w:r w:rsidRPr="005E74ED">
        <w:rPr>
          <w:color w:val="1F497D" w:themeColor="text2"/>
        </w:rPr>
        <w:t xml:space="preserve">We do not require each individual in a bid to submit information on requirements 1-8. </w:t>
      </w:r>
    </w:p>
    <w:p w:rsidR="0087538F" w:rsidRPr="00DE0731" w:rsidRDefault="0087538F" w:rsidP="0087538F">
      <w:pPr>
        <w:pStyle w:val="DeptBullets"/>
        <w:numPr>
          <w:ilvl w:val="0"/>
          <w:numId w:val="17"/>
        </w:numPr>
        <w:spacing w:after="0"/>
        <w:rPr>
          <w:strike/>
        </w:rPr>
      </w:pPr>
      <w:r w:rsidRPr="005E74ED">
        <w:rPr>
          <w:color w:val="1F497D" w:themeColor="text2"/>
        </w:rPr>
        <w:t>By notification and agreement by the Department you will be able to put forward new individuals who were not originally put forward in the bid.</w:t>
      </w:r>
      <w:r>
        <w:rPr>
          <w:color w:val="1F497D" w:themeColor="text2"/>
        </w:rPr>
        <w:t xml:space="preserve"> </w:t>
      </w:r>
      <w:r w:rsidRPr="00CD26D4">
        <w:rPr>
          <w:color w:val="1F497D" w:themeColor="text2"/>
        </w:rPr>
        <w:t>We would expect all of suitable individuals to be offered to us initially</w:t>
      </w:r>
      <w:r w:rsidR="00E7587E">
        <w:rPr>
          <w:color w:val="1F497D" w:themeColor="text2"/>
        </w:rPr>
        <w:t>.</w:t>
      </w:r>
    </w:p>
    <w:p w:rsidR="0087538F" w:rsidRPr="005E74ED" w:rsidRDefault="0087538F" w:rsidP="0087538F">
      <w:pPr>
        <w:rPr>
          <w:rFonts w:cs="Arial"/>
          <w:color w:val="000000"/>
          <w:sz w:val="20"/>
        </w:rPr>
      </w:pPr>
      <w:r w:rsidRPr="005E74ED">
        <w:rPr>
          <w:color w:val="1F497D" w:themeColor="text2"/>
        </w:rPr>
        <w:br/>
      </w:r>
    </w:p>
    <w:p w:rsidR="0087538F" w:rsidRPr="005E74ED" w:rsidRDefault="0087538F" w:rsidP="0087538F">
      <w:pPr>
        <w:pStyle w:val="DeptBullets"/>
        <w:numPr>
          <w:ilvl w:val="0"/>
          <w:numId w:val="14"/>
        </w:numPr>
        <w:spacing w:after="0"/>
        <w:rPr>
          <w:b/>
          <w:color w:val="1F497D" w:themeColor="text2"/>
        </w:rPr>
      </w:pPr>
      <w:r>
        <w:rPr>
          <w:color w:val="1F497D" w:themeColor="text2"/>
        </w:rPr>
        <w:t xml:space="preserve"> </w:t>
      </w:r>
      <w:r w:rsidRPr="005E74ED">
        <w:rPr>
          <w:b/>
        </w:rPr>
        <w:t>How many days would the Department aim to secure in each region for a contractors to work?</w:t>
      </w:r>
    </w:p>
    <w:p w:rsidR="0087538F" w:rsidRDefault="0087538F" w:rsidP="0087538F">
      <w:pPr>
        <w:pStyle w:val="DeptBullets"/>
        <w:numPr>
          <w:ilvl w:val="0"/>
          <w:numId w:val="0"/>
        </w:numPr>
        <w:spacing w:after="0"/>
        <w:rPr>
          <w:rFonts w:cs="Arial"/>
          <w:color w:val="1F497D"/>
          <w:szCs w:val="24"/>
        </w:rPr>
      </w:pPr>
      <w:r w:rsidRPr="00DC4C28">
        <w:rPr>
          <w:rFonts w:cs="Arial"/>
          <w:color w:val="1F497D"/>
          <w:szCs w:val="24"/>
        </w:rPr>
        <w:t xml:space="preserve">There is no minimum amount of days guaranteed for any region. On average contractors may expect to work 40 days in the year. </w:t>
      </w:r>
    </w:p>
    <w:p w:rsidR="0087538F" w:rsidRPr="005E74ED" w:rsidRDefault="0087538F" w:rsidP="0087538F">
      <w:pPr>
        <w:pStyle w:val="DeptBullets"/>
        <w:numPr>
          <w:ilvl w:val="0"/>
          <w:numId w:val="0"/>
        </w:numPr>
        <w:spacing w:after="0"/>
        <w:rPr>
          <w:rFonts w:cs="Arial"/>
          <w:szCs w:val="24"/>
        </w:rPr>
      </w:pPr>
    </w:p>
    <w:p w:rsidR="0087538F" w:rsidRDefault="0087538F" w:rsidP="0087538F">
      <w:pPr>
        <w:pStyle w:val="DeptBullets"/>
        <w:numPr>
          <w:ilvl w:val="0"/>
          <w:numId w:val="14"/>
        </w:numPr>
        <w:spacing w:after="0"/>
        <w:rPr>
          <w:rFonts w:cs="Arial"/>
          <w:b/>
          <w:color w:val="1F497D" w:themeColor="text2"/>
          <w:szCs w:val="24"/>
        </w:rPr>
      </w:pPr>
      <w:r w:rsidRPr="005E74ED">
        <w:rPr>
          <w:rFonts w:cs="Arial"/>
          <w:b/>
          <w:szCs w:val="24"/>
        </w:rPr>
        <w:t xml:space="preserve"> How much refere</w:t>
      </w:r>
      <w:r>
        <w:rPr>
          <w:rFonts w:cs="Arial"/>
          <w:b/>
          <w:szCs w:val="24"/>
        </w:rPr>
        <w:t>es do you require?</w:t>
      </w:r>
    </w:p>
    <w:p w:rsidR="0087538F" w:rsidRPr="00AF58F8" w:rsidRDefault="0087538F" w:rsidP="00AF58F8">
      <w:pPr>
        <w:pStyle w:val="DeptBullets"/>
        <w:numPr>
          <w:ilvl w:val="0"/>
          <w:numId w:val="0"/>
        </w:numPr>
        <w:spacing w:after="0"/>
        <w:rPr>
          <w:rFonts w:cs="Arial"/>
          <w:color w:val="1F497D" w:themeColor="text2"/>
          <w:szCs w:val="24"/>
        </w:rPr>
      </w:pPr>
      <w:r w:rsidRPr="005E74ED">
        <w:rPr>
          <w:rFonts w:cs="Arial"/>
          <w:color w:val="1F497D" w:themeColor="text2"/>
          <w:szCs w:val="24"/>
        </w:rPr>
        <w:t>We require 2 referees contact details and the period of the reference for each individual offered in the bid. We do not require detailed references.</w:t>
      </w:r>
      <w:r w:rsidRPr="005E74ED">
        <w:rPr>
          <w:rFonts w:cs="Arial"/>
          <w:color w:val="1F497D"/>
          <w:szCs w:val="24"/>
        </w:rPr>
        <w:br/>
      </w:r>
    </w:p>
    <w:p w:rsidR="0087538F" w:rsidRPr="005E74ED" w:rsidRDefault="0087538F" w:rsidP="0087538F">
      <w:pPr>
        <w:pStyle w:val="ListParagraph"/>
        <w:numPr>
          <w:ilvl w:val="0"/>
          <w:numId w:val="14"/>
        </w:numPr>
        <w:rPr>
          <w:b/>
          <w:bCs/>
        </w:rPr>
      </w:pPr>
      <w:r w:rsidRPr="00DB6DDC">
        <w:rPr>
          <w:bCs/>
        </w:rPr>
        <w:t xml:space="preserve"> </w:t>
      </w:r>
      <w:r w:rsidRPr="005E74ED">
        <w:rPr>
          <w:b/>
          <w:bCs/>
        </w:rPr>
        <w:t>Can I use a Department for Education official that I currently or previously worked for as my referee?</w:t>
      </w:r>
    </w:p>
    <w:p w:rsidR="0087538F" w:rsidRDefault="0087538F" w:rsidP="0087538F">
      <w:pPr>
        <w:rPr>
          <w:bCs/>
          <w:color w:val="1F497D" w:themeColor="text2"/>
        </w:rPr>
      </w:pPr>
      <w:r w:rsidRPr="00DB6DDC">
        <w:rPr>
          <w:bCs/>
          <w:color w:val="1F497D" w:themeColor="text2"/>
        </w:rPr>
        <w:t xml:space="preserve">You can use the Department for Education’s contract manager as a referee; however you must request this via the mailbox </w:t>
      </w:r>
      <w:hyperlink r:id="rId15" w:history="1">
        <w:r w:rsidRPr="00DB6DDC">
          <w:rPr>
            <w:rStyle w:val="Hyperlink"/>
            <w:bCs/>
          </w:rPr>
          <w:t>mike.reay@education.gsi.gov.uk</w:t>
        </w:r>
      </w:hyperlink>
      <w:r w:rsidRPr="00DB6DDC">
        <w:rPr>
          <w:bCs/>
        </w:rPr>
        <w:t xml:space="preserve"> </w:t>
      </w:r>
      <w:r w:rsidRPr="00DB6DDC">
        <w:rPr>
          <w:bCs/>
          <w:color w:val="1F497D" w:themeColor="text2"/>
        </w:rPr>
        <w:t>, using the subject title ‘Reference Request’, clearly stating period you require a reference from.</w:t>
      </w:r>
    </w:p>
    <w:p w:rsidR="0087538F" w:rsidRPr="007D212C" w:rsidRDefault="0087538F" w:rsidP="0087538F">
      <w:pPr>
        <w:pStyle w:val="DeptBullets"/>
        <w:numPr>
          <w:ilvl w:val="0"/>
          <w:numId w:val="0"/>
        </w:numPr>
        <w:spacing w:after="0"/>
        <w:rPr>
          <w:b/>
        </w:rPr>
      </w:pPr>
      <w:r>
        <w:rPr>
          <w:bCs/>
        </w:rPr>
        <w:t xml:space="preserve"> </w:t>
      </w:r>
    </w:p>
    <w:p w:rsidR="0087538F" w:rsidRPr="005E74ED" w:rsidRDefault="0087538F" w:rsidP="0087538F">
      <w:pPr>
        <w:pStyle w:val="ListParagraph"/>
        <w:numPr>
          <w:ilvl w:val="0"/>
          <w:numId w:val="14"/>
        </w:numPr>
        <w:rPr>
          <w:b/>
          <w:bCs/>
        </w:rPr>
      </w:pPr>
      <w:r>
        <w:rPr>
          <w:bCs/>
        </w:rPr>
        <w:t xml:space="preserve"> </w:t>
      </w:r>
      <w:r w:rsidRPr="005E74ED">
        <w:rPr>
          <w:b/>
        </w:rPr>
        <w:t>How many Education Specialists are you looking for?</w:t>
      </w:r>
    </w:p>
    <w:p w:rsidR="0087538F" w:rsidRPr="005E74ED" w:rsidRDefault="0087538F" w:rsidP="0087538F">
      <w:pPr>
        <w:rPr>
          <w:bCs/>
          <w:color w:val="1F497D" w:themeColor="text2"/>
        </w:rPr>
      </w:pPr>
      <w:r w:rsidRPr="005E74ED">
        <w:rPr>
          <w:bCs/>
          <w:color w:val="1F497D" w:themeColor="text2"/>
        </w:rPr>
        <w:t>We</w:t>
      </w:r>
      <w:r>
        <w:rPr>
          <w:bCs/>
          <w:color w:val="1F497D" w:themeColor="text2"/>
        </w:rPr>
        <w:t xml:space="preserve"> are</w:t>
      </w:r>
      <w:r w:rsidRPr="005E74ED">
        <w:rPr>
          <w:bCs/>
          <w:color w:val="1F497D" w:themeColor="text2"/>
        </w:rPr>
        <w:t xml:space="preserve"> looking to contract up to 150 organisations to provide Education Specialists. </w:t>
      </w:r>
    </w:p>
    <w:p w:rsidR="0087538F" w:rsidRDefault="0087538F" w:rsidP="0087538F">
      <w:pPr>
        <w:rPr>
          <w:bCs/>
        </w:rPr>
      </w:pPr>
    </w:p>
    <w:p w:rsidR="0087538F" w:rsidRPr="007D212C" w:rsidRDefault="0087538F" w:rsidP="0087538F">
      <w:pPr>
        <w:pStyle w:val="DeptBullets"/>
        <w:numPr>
          <w:ilvl w:val="0"/>
          <w:numId w:val="14"/>
        </w:numPr>
        <w:spacing w:after="0"/>
        <w:rPr>
          <w:b/>
        </w:rPr>
      </w:pPr>
      <w:r>
        <w:rPr>
          <w:b/>
        </w:rPr>
        <w:t xml:space="preserve"> </w:t>
      </w:r>
      <w:r w:rsidRPr="007D212C">
        <w:rPr>
          <w:b/>
        </w:rPr>
        <w:t>How do you envisage the working pattern?</w:t>
      </w:r>
    </w:p>
    <w:p w:rsidR="0087538F" w:rsidRDefault="0087538F" w:rsidP="0087538F">
      <w:pPr>
        <w:pStyle w:val="DeptBullets"/>
        <w:numPr>
          <w:ilvl w:val="0"/>
          <w:numId w:val="0"/>
        </w:numPr>
        <w:spacing w:after="0"/>
        <w:rPr>
          <w:color w:val="1F497D" w:themeColor="text2"/>
        </w:rPr>
      </w:pPr>
      <w:r w:rsidRPr="0016426B">
        <w:rPr>
          <w:color w:val="1F497D" w:themeColor="text2"/>
        </w:rPr>
        <w:t>Contractors will be asked for their availability and this will then be shared with colleagues when allocating to projects. There is never a guarantee that there will be work for the allocated dates as there are peaks and troughs in this line of work.</w:t>
      </w:r>
    </w:p>
    <w:p w:rsidR="0087538F" w:rsidRPr="0016426B" w:rsidRDefault="0087538F" w:rsidP="0087538F">
      <w:pPr>
        <w:pStyle w:val="DeptBullets"/>
        <w:numPr>
          <w:ilvl w:val="0"/>
          <w:numId w:val="0"/>
        </w:numPr>
        <w:spacing w:after="0"/>
        <w:rPr>
          <w:color w:val="1F497D" w:themeColor="text2"/>
        </w:rPr>
      </w:pPr>
    </w:p>
    <w:p w:rsidR="0087538F" w:rsidRDefault="0087538F" w:rsidP="0087538F">
      <w:pPr>
        <w:pStyle w:val="DeptBullets"/>
        <w:numPr>
          <w:ilvl w:val="0"/>
          <w:numId w:val="14"/>
        </w:numPr>
        <w:spacing w:after="0"/>
      </w:pPr>
      <w:r w:rsidRPr="0016426B">
        <w:rPr>
          <w:b/>
        </w:rPr>
        <w:t>What happens when I represent a few Contractors</w:t>
      </w:r>
      <w:r>
        <w:t>?</w:t>
      </w:r>
    </w:p>
    <w:p w:rsidR="0087538F" w:rsidRPr="0016426B" w:rsidRDefault="00DA6A8F" w:rsidP="0087538F">
      <w:pPr>
        <w:pStyle w:val="DeptBullets"/>
        <w:numPr>
          <w:ilvl w:val="0"/>
          <w:numId w:val="0"/>
        </w:numPr>
        <w:spacing w:after="0"/>
        <w:rPr>
          <w:color w:val="1F497D" w:themeColor="text2"/>
        </w:rPr>
      </w:pPr>
      <w:r>
        <w:rPr>
          <w:rFonts w:cs="Arial"/>
          <w:color w:val="1F497D" w:themeColor="text2"/>
          <w:szCs w:val="24"/>
        </w:rPr>
        <w:t>I</w:t>
      </w:r>
      <w:bookmarkStart w:id="0" w:name="_GoBack"/>
      <w:bookmarkEnd w:id="0"/>
      <w:r w:rsidRPr="00DA6A8F">
        <w:rPr>
          <w:rFonts w:cs="Arial"/>
          <w:color w:val="1F497D" w:themeColor="text2"/>
          <w:szCs w:val="24"/>
        </w:rPr>
        <w:t>t is perfectly acceptable for individuals to be included in a number of organisations submission to this tendering opportunit</w:t>
      </w:r>
      <w:r w:rsidRPr="00DA6A8F">
        <w:rPr>
          <w:rFonts w:cs="Arial"/>
          <w:color w:val="1F497D" w:themeColor="text2"/>
          <w:szCs w:val="24"/>
        </w:rPr>
        <w:t>y.</w:t>
      </w:r>
      <w:r>
        <w:rPr>
          <w:rFonts w:cs="Arial"/>
          <w:szCs w:val="24"/>
        </w:rPr>
        <w:br/>
      </w:r>
    </w:p>
    <w:p w:rsidR="0087538F" w:rsidRDefault="0087538F" w:rsidP="0087538F">
      <w:pPr>
        <w:pStyle w:val="DeptBullets"/>
        <w:numPr>
          <w:ilvl w:val="0"/>
          <w:numId w:val="14"/>
        </w:numPr>
        <w:spacing w:after="0"/>
        <w:rPr>
          <w:b/>
        </w:rPr>
      </w:pPr>
      <w:r w:rsidRPr="007D212C">
        <w:rPr>
          <w:b/>
        </w:rPr>
        <w:t>Does the job role always require travel?</w:t>
      </w:r>
    </w:p>
    <w:p w:rsidR="0087538F" w:rsidRDefault="0087538F" w:rsidP="0087538F">
      <w:pPr>
        <w:pStyle w:val="DeptBullets"/>
        <w:numPr>
          <w:ilvl w:val="0"/>
          <w:numId w:val="0"/>
        </w:numPr>
        <w:spacing w:after="0"/>
      </w:pPr>
      <w:r w:rsidRPr="0016426B">
        <w:rPr>
          <w:color w:val="1F497D" w:themeColor="text2"/>
        </w:rPr>
        <w:t>Most visits require preparation before the visit and notes of the visit afterwards. Reports of recommendations are then compiled for RSCs and schools to implement. So there is various work that can be completed at</w:t>
      </w:r>
      <w:r>
        <w:rPr>
          <w:color w:val="1F497D" w:themeColor="text2"/>
        </w:rPr>
        <w:t xml:space="preserve"> </w:t>
      </w:r>
      <w:r w:rsidRPr="0016426B">
        <w:rPr>
          <w:color w:val="1F497D" w:themeColor="text2"/>
        </w:rPr>
        <w:t>home, Free Schools generally have more paperwork to be completed than Brokerage which requires more travelling. This should be incorporated into the daily rate and expenses are provided for work that is commissioned outside of designated regions</w:t>
      </w:r>
      <w:r>
        <w:t>.</w:t>
      </w:r>
    </w:p>
    <w:p w:rsidR="0087538F" w:rsidRPr="0016426B" w:rsidRDefault="0087538F" w:rsidP="0087538F">
      <w:pPr>
        <w:pStyle w:val="DeptBullets"/>
        <w:numPr>
          <w:ilvl w:val="0"/>
          <w:numId w:val="0"/>
        </w:numPr>
        <w:spacing w:after="0"/>
        <w:rPr>
          <w:b/>
        </w:rPr>
      </w:pPr>
    </w:p>
    <w:p w:rsidR="0087538F" w:rsidRDefault="0087538F" w:rsidP="0087538F">
      <w:pPr>
        <w:pStyle w:val="DeptBullets"/>
        <w:numPr>
          <w:ilvl w:val="0"/>
          <w:numId w:val="14"/>
        </w:numPr>
        <w:spacing w:after="0"/>
        <w:rPr>
          <w:b/>
        </w:rPr>
      </w:pPr>
      <w:r>
        <w:rPr>
          <w:b/>
        </w:rPr>
        <w:t xml:space="preserve"> </w:t>
      </w:r>
      <w:r w:rsidRPr="007D212C">
        <w:rPr>
          <w:b/>
        </w:rPr>
        <w:t>Can the wording on the contracts be changed?</w:t>
      </w:r>
    </w:p>
    <w:p w:rsidR="0087538F" w:rsidRDefault="0087538F" w:rsidP="00AF58F8">
      <w:pPr>
        <w:pStyle w:val="DeptBullets"/>
        <w:numPr>
          <w:ilvl w:val="0"/>
          <w:numId w:val="0"/>
        </w:numPr>
        <w:spacing w:after="0"/>
        <w:rPr>
          <w:b/>
        </w:rPr>
      </w:pPr>
      <w:r w:rsidRPr="00FF040F">
        <w:rPr>
          <w:color w:val="1F497D" w:themeColor="text2"/>
        </w:rPr>
        <w:t>We will only accept minor alterations to the contract. Please detail this in tracked changes when sending the bid (this will not affect your maximum word count</w:t>
      </w:r>
      <w:r w:rsidR="000774C0">
        <w:rPr>
          <w:color w:val="1F497D" w:themeColor="text2"/>
        </w:rPr>
        <w:t>).</w:t>
      </w:r>
    </w:p>
    <w:p w:rsidR="00AF58F8" w:rsidRPr="00AF58F8" w:rsidRDefault="00AF58F8" w:rsidP="00AF58F8">
      <w:pPr>
        <w:pStyle w:val="DeptBullets"/>
        <w:numPr>
          <w:ilvl w:val="0"/>
          <w:numId w:val="0"/>
        </w:numPr>
        <w:spacing w:after="0"/>
        <w:rPr>
          <w:b/>
        </w:rPr>
      </w:pPr>
    </w:p>
    <w:p w:rsidR="0087538F" w:rsidRDefault="0087538F" w:rsidP="0087538F">
      <w:pPr>
        <w:pStyle w:val="DeptBullets"/>
        <w:numPr>
          <w:ilvl w:val="0"/>
          <w:numId w:val="14"/>
        </w:numPr>
        <w:spacing w:after="0"/>
        <w:rPr>
          <w:b/>
        </w:rPr>
      </w:pPr>
      <w:r>
        <w:rPr>
          <w:b/>
        </w:rPr>
        <w:t xml:space="preserve"> </w:t>
      </w:r>
      <w:r w:rsidRPr="007D212C">
        <w:rPr>
          <w:b/>
        </w:rPr>
        <w:t>Is 10 CVs acceptable for a sample?</w:t>
      </w:r>
    </w:p>
    <w:p w:rsidR="0087538F" w:rsidRDefault="0087538F" w:rsidP="0087538F">
      <w:pPr>
        <w:pStyle w:val="DeptBullets"/>
        <w:numPr>
          <w:ilvl w:val="0"/>
          <w:numId w:val="0"/>
        </w:numPr>
        <w:spacing w:after="0"/>
        <w:rPr>
          <w:color w:val="1F497D" w:themeColor="text2"/>
        </w:rPr>
      </w:pPr>
      <w:r w:rsidRPr="00FF040F">
        <w:rPr>
          <w:color w:val="1F497D" w:themeColor="text2"/>
        </w:rPr>
        <w:t>No, you will need to provide CVs for all the individuals offered in the bid.</w:t>
      </w:r>
    </w:p>
    <w:p w:rsidR="0087538F" w:rsidRPr="00FF040F" w:rsidRDefault="0087538F" w:rsidP="0087538F">
      <w:pPr>
        <w:pStyle w:val="DeptBullets"/>
        <w:numPr>
          <w:ilvl w:val="0"/>
          <w:numId w:val="0"/>
        </w:numPr>
        <w:spacing w:after="0"/>
        <w:rPr>
          <w:b/>
        </w:rPr>
      </w:pPr>
    </w:p>
    <w:p w:rsidR="0087538F" w:rsidRDefault="0087538F" w:rsidP="0087538F">
      <w:pPr>
        <w:pStyle w:val="DeptBullets"/>
        <w:numPr>
          <w:ilvl w:val="0"/>
          <w:numId w:val="14"/>
        </w:numPr>
        <w:spacing w:after="0"/>
        <w:rPr>
          <w:b/>
        </w:rPr>
      </w:pPr>
      <w:r>
        <w:rPr>
          <w:b/>
        </w:rPr>
        <w:t xml:space="preserve"> </w:t>
      </w:r>
      <w:r w:rsidRPr="007D212C">
        <w:rPr>
          <w:b/>
        </w:rPr>
        <w:t>As it states in the guidance that an average of 40 days should be designated, current Head Teachers will struggle with this.</w:t>
      </w:r>
    </w:p>
    <w:p w:rsidR="0087538F" w:rsidRPr="00FF040F" w:rsidRDefault="0087538F" w:rsidP="0087538F">
      <w:pPr>
        <w:pStyle w:val="DeptBullets"/>
        <w:numPr>
          <w:ilvl w:val="0"/>
          <w:numId w:val="0"/>
        </w:numPr>
        <w:spacing w:after="0"/>
        <w:rPr>
          <w:b/>
        </w:rPr>
      </w:pPr>
      <w:r w:rsidRPr="00FF040F">
        <w:rPr>
          <w:color w:val="1F497D" w:themeColor="text2"/>
        </w:rPr>
        <w:lastRenderedPageBreak/>
        <w:t xml:space="preserve">All Contractors should state their availability and commitments; this will be taken into account. There is no minimum amount of working days required. </w:t>
      </w:r>
    </w:p>
    <w:p w:rsidR="0087538F" w:rsidRPr="00C96679" w:rsidRDefault="0087538F" w:rsidP="0087538F">
      <w:pPr>
        <w:pStyle w:val="DeptBullets"/>
        <w:numPr>
          <w:ilvl w:val="0"/>
          <w:numId w:val="0"/>
        </w:numPr>
        <w:spacing w:after="0"/>
        <w:rPr>
          <w:color w:val="1F497D" w:themeColor="text2"/>
        </w:rPr>
      </w:pPr>
    </w:p>
    <w:p w:rsidR="0087538F" w:rsidRDefault="0087538F" w:rsidP="0087538F">
      <w:pPr>
        <w:pStyle w:val="DeptBullets"/>
        <w:numPr>
          <w:ilvl w:val="0"/>
          <w:numId w:val="14"/>
        </w:numPr>
        <w:spacing w:after="0"/>
        <w:rPr>
          <w:b/>
        </w:rPr>
      </w:pPr>
      <w:r>
        <w:rPr>
          <w:b/>
        </w:rPr>
        <w:t xml:space="preserve"> What’s a clarification meeting?</w:t>
      </w:r>
    </w:p>
    <w:p w:rsidR="0087538F" w:rsidRDefault="0087538F" w:rsidP="0087538F">
      <w:pPr>
        <w:pStyle w:val="DeptBullets"/>
        <w:numPr>
          <w:ilvl w:val="0"/>
          <w:numId w:val="0"/>
        </w:numPr>
        <w:spacing w:after="0"/>
        <w:rPr>
          <w:rFonts w:cs="Arial"/>
          <w:color w:val="1F497D" w:themeColor="text2"/>
        </w:rPr>
      </w:pPr>
      <w:r w:rsidRPr="00FF040F">
        <w:rPr>
          <w:rFonts w:cs="Arial"/>
          <w:color w:val="1F497D" w:themeColor="text2"/>
          <w:lang w:val="en"/>
        </w:rPr>
        <w:t xml:space="preserve">The panel who evaluates the bids has the discretion to invite any tender to clarify for a reasonably deemed reason. i.e. the tender </w:t>
      </w:r>
      <w:r w:rsidRPr="00FF040F">
        <w:rPr>
          <w:rFonts w:cs="Arial"/>
          <w:color w:val="1F497D" w:themeColor="text2"/>
        </w:rPr>
        <w:t>contains inconsistent or contradictory information on specific issues; or not clear on describing what is offering; or contains minor mistakes on omission; or Is not compliant with non-mandatory technical specifications.</w:t>
      </w:r>
    </w:p>
    <w:p w:rsidR="0087538F" w:rsidRPr="00FF040F" w:rsidRDefault="0087538F" w:rsidP="0087538F">
      <w:pPr>
        <w:pStyle w:val="DeptBullets"/>
        <w:numPr>
          <w:ilvl w:val="0"/>
          <w:numId w:val="0"/>
        </w:numPr>
        <w:spacing w:after="0"/>
        <w:rPr>
          <w:b/>
        </w:rPr>
      </w:pPr>
    </w:p>
    <w:p w:rsidR="0087538F" w:rsidRDefault="0087538F" w:rsidP="0087538F">
      <w:pPr>
        <w:pStyle w:val="DeptBullets"/>
        <w:numPr>
          <w:ilvl w:val="0"/>
          <w:numId w:val="14"/>
        </w:numPr>
        <w:spacing w:after="0"/>
        <w:rPr>
          <w:b/>
        </w:rPr>
      </w:pPr>
      <w:r>
        <w:rPr>
          <w:b/>
        </w:rPr>
        <w:t xml:space="preserve"> What happens with my company accounts if I have recently set up a new company? </w:t>
      </w:r>
    </w:p>
    <w:p w:rsidR="0087538F" w:rsidRDefault="0087538F" w:rsidP="0087538F">
      <w:pPr>
        <w:pStyle w:val="DeptBullets"/>
        <w:numPr>
          <w:ilvl w:val="0"/>
          <w:numId w:val="0"/>
        </w:numPr>
        <w:spacing w:after="0"/>
        <w:rPr>
          <w:color w:val="1F497D" w:themeColor="text2"/>
        </w:rPr>
      </w:pPr>
      <w:r w:rsidRPr="00C96679">
        <w:rPr>
          <w:color w:val="1F497D" w:themeColor="text2"/>
        </w:rPr>
        <w:t xml:space="preserve">If you do not have account for the last 2 years </w:t>
      </w:r>
      <w:r>
        <w:rPr>
          <w:color w:val="1F497D" w:themeColor="text2"/>
        </w:rPr>
        <w:t xml:space="preserve">please provide the most recent statements for company accounts if any. </w:t>
      </w:r>
    </w:p>
    <w:p w:rsidR="00E7587E" w:rsidRDefault="00E7587E" w:rsidP="0087538F">
      <w:pPr>
        <w:pStyle w:val="DeptBullets"/>
        <w:numPr>
          <w:ilvl w:val="0"/>
          <w:numId w:val="0"/>
        </w:numPr>
        <w:spacing w:after="0"/>
        <w:rPr>
          <w:color w:val="1F497D" w:themeColor="text2"/>
        </w:rPr>
      </w:pPr>
    </w:p>
    <w:p w:rsidR="00E7587E" w:rsidRDefault="00E7587E" w:rsidP="00E7587E">
      <w:pPr>
        <w:pStyle w:val="DeptBullets"/>
        <w:numPr>
          <w:ilvl w:val="0"/>
          <w:numId w:val="14"/>
        </w:numPr>
        <w:spacing w:after="0"/>
        <w:rPr>
          <w:b/>
        </w:rPr>
      </w:pPr>
      <w:r>
        <w:rPr>
          <w:b/>
        </w:rPr>
        <w:t xml:space="preserve"> </w:t>
      </w:r>
      <w:r>
        <w:rPr>
          <w:b/>
        </w:rPr>
        <w:t>Can I use my companies’ format for CVs?</w:t>
      </w:r>
    </w:p>
    <w:p w:rsidR="00E7587E" w:rsidRDefault="00E7587E" w:rsidP="00E7587E">
      <w:pPr>
        <w:pStyle w:val="DeptBullets"/>
        <w:numPr>
          <w:ilvl w:val="0"/>
          <w:numId w:val="0"/>
        </w:numPr>
        <w:spacing w:after="0"/>
        <w:rPr>
          <w:color w:val="1F497D" w:themeColor="text2"/>
        </w:rPr>
      </w:pPr>
      <w:r w:rsidRPr="00E7587E">
        <w:rPr>
          <w:color w:val="1F497D" w:themeColor="text2"/>
        </w:rPr>
        <w:t>Yes, as long as it contains daily rates, regional availability</w:t>
      </w:r>
      <w:r w:rsidRPr="00E7587E">
        <w:rPr>
          <w:color w:val="1F497D" w:themeColor="text2"/>
        </w:rPr>
        <w:t>.</w:t>
      </w:r>
    </w:p>
    <w:p w:rsidR="00E7587E" w:rsidRPr="00E7587E" w:rsidRDefault="00E7587E" w:rsidP="00E7587E">
      <w:pPr>
        <w:pStyle w:val="DeptBullets"/>
        <w:numPr>
          <w:ilvl w:val="0"/>
          <w:numId w:val="0"/>
        </w:numPr>
        <w:spacing w:after="0"/>
        <w:rPr>
          <w:b/>
        </w:rPr>
      </w:pPr>
    </w:p>
    <w:p w:rsidR="00E7587E" w:rsidRDefault="00E7587E" w:rsidP="00E7587E">
      <w:pPr>
        <w:pStyle w:val="DeptBullets"/>
        <w:numPr>
          <w:ilvl w:val="0"/>
          <w:numId w:val="14"/>
        </w:numPr>
        <w:spacing w:after="0"/>
        <w:rPr>
          <w:b/>
        </w:rPr>
      </w:pPr>
      <w:r>
        <w:rPr>
          <w:b/>
        </w:rPr>
        <w:t xml:space="preserve">What happens with my company accounts if I am a small business? </w:t>
      </w:r>
    </w:p>
    <w:p w:rsidR="00E7587E" w:rsidRDefault="00E7587E" w:rsidP="00E7587E">
      <w:pPr>
        <w:pStyle w:val="DeptBullets"/>
        <w:numPr>
          <w:ilvl w:val="0"/>
          <w:numId w:val="0"/>
        </w:numPr>
        <w:spacing w:after="0"/>
        <w:rPr>
          <w:color w:val="1F497D" w:themeColor="text2"/>
        </w:rPr>
      </w:pPr>
      <w:r w:rsidRPr="00E7587E">
        <w:rPr>
          <w:color w:val="1F497D" w:themeColor="text2"/>
        </w:rPr>
        <w:t xml:space="preserve">You don’t need submitted audited </w:t>
      </w:r>
      <w:r w:rsidRPr="00E7587E">
        <w:rPr>
          <w:color w:val="1F497D" w:themeColor="text2"/>
        </w:rPr>
        <w:t>account;</w:t>
      </w:r>
      <w:r w:rsidRPr="00E7587E">
        <w:rPr>
          <w:color w:val="1F497D" w:themeColor="text2"/>
        </w:rPr>
        <w:t xml:space="preserve"> a letter from the accountant containing relevant information will suffice.</w:t>
      </w:r>
    </w:p>
    <w:p w:rsidR="00E7587E" w:rsidRDefault="00E7587E" w:rsidP="00E7587E">
      <w:pPr>
        <w:pStyle w:val="DeptBullets"/>
        <w:numPr>
          <w:ilvl w:val="0"/>
          <w:numId w:val="0"/>
        </w:numPr>
        <w:spacing w:after="0"/>
        <w:rPr>
          <w:color w:val="1F497D" w:themeColor="text2"/>
        </w:rPr>
      </w:pPr>
    </w:p>
    <w:p w:rsidR="00E7587E" w:rsidRPr="007D212C" w:rsidRDefault="00E7587E" w:rsidP="00E7587E">
      <w:pPr>
        <w:pStyle w:val="DeptBullets"/>
        <w:numPr>
          <w:ilvl w:val="0"/>
          <w:numId w:val="14"/>
        </w:numPr>
        <w:spacing w:after="0"/>
        <w:rPr>
          <w:b/>
        </w:rPr>
      </w:pPr>
      <w:r w:rsidRPr="007D212C">
        <w:rPr>
          <w:b/>
        </w:rPr>
        <w:t>What happens if I am a head teacher and retire?</w:t>
      </w:r>
    </w:p>
    <w:p w:rsidR="00DA6A8F" w:rsidRDefault="00DA6A8F" w:rsidP="00DA6A8F">
      <w:pPr>
        <w:pStyle w:val="DeptBullets"/>
        <w:numPr>
          <w:ilvl w:val="0"/>
          <w:numId w:val="0"/>
        </w:numPr>
        <w:tabs>
          <w:tab w:val="left" w:pos="720"/>
        </w:tabs>
        <w:spacing w:after="0"/>
        <w:rPr>
          <w:color w:val="1F497D"/>
        </w:rPr>
      </w:pPr>
      <w:r>
        <w:rPr>
          <w:color w:val="1F497D"/>
        </w:rPr>
        <w:t>If the school is the contracting authority and as a current serving practitioner you decide to retire you may be able to work under the current contract should the school’s contract manager agree to this. If you are the contracting authority, then there is no change as you will remain as the contracting authority.</w:t>
      </w:r>
    </w:p>
    <w:p w:rsidR="00E7587E" w:rsidRDefault="00E7587E" w:rsidP="00E7587E">
      <w:pPr>
        <w:pStyle w:val="DeptBullets"/>
        <w:numPr>
          <w:ilvl w:val="0"/>
          <w:numId w:val="0"/>
        </w:numPr>
        <w:spacing w:after="0"/>
        <w:rPr>
          <w:color w:val="1F497D" w:themeColor="text2"/>
        </w:rPr>
      </w:pPr>
    </w:p>
    <w:p w:rsidR="00E7587E" w:rsidRDefault="00E7587E" w:rsidP="00E7587E">
      <w:pPr>
        <w:pStyle w:val="DeptBullets"/>
        <w:numPr>
          <w:ilvl w:val="0"/>
          <w:numId w:val="14"/>
        </w:numPr>
        <w:spacing w:after="0"/>
        <w:rPr>
          <w:b/>
          <w:lang w:eastAsia="en-GB"/>
        </w:rPr>
      </w:pPr>
      <w:r w:rsidRPr="00E7587E">
        <w:rPr>
          <w:b/>
          <w:lang w:eastAsia="en-GB"/>
        </w:rPr>
        <w:t>Is it possible to bid through an agency and independently?</w:t>
      </w:r>
    </w:p>
    <w:p w:rsidR="00E7587E" w:rsidRDefault="00E7587E" w:rsidP="00E7587E">
      <w:pPr>
        <w:pStyle w:val="DeptBullets"/>
        <w:numPr>
          <w:ilvl w:val="0"/>
          <w:numId w:val="0"/>
        </w:numPr>
        <w:spacing w:after="0"/>
        <w:rPr>
          <w:color w:val="1F497D"/>
        </w:rPr>
      </w:pPr>
      <w:r>
        <w:rPr>
          <w:color w:val="1F497D"/>
        </w:rPr>
        <w:t>The Department will allow potential contractors to bid via an agency and independently.</w:t>
      </w:r>
    </w:p>
    <w:p w:rsidR="00E7587E" w:rsidRDefault="00E7587E" w:rsidP="00E7587E">
      <w:pPr>
        <w:pStyle w:val="DeptBullets"/>
        <w:numPr>
          <w:ilvl w:val="0"/>
          <w:numId w:val="0"/>
        </w:numPr>
        <w:spacing w:after="0"/>
        <w:rPr>
          <w:color w:val="1F497D"/>
        </w:rPr>
      </w:pPr>
    </w:p>
    <w:p w:rsidR="00E7587E" w:rsidRDefault="00AF58F8" w:rsidP="00AF58F8">
      <w:pPr>
        <w:pStyle w:val="DeptBullets"/>
        <w:numPr>
          <w:ilvl w:val="0"/>
          <w:numId w:val="14"/>
        </w:numPr>
        <w:spacing w:after="0"/>
        <w:rPr>
          <w:b/>
        </w:rPr>
      </w:pPr>
      <w:r>
        <w:rPr>
          <w:color w:val="1F497D"/>
        </w:rPr>
        <w:t xml:space="preserve"> </w:t>
      </w:r>
      <w:r w:rsidRPr="00AF58F8">
        <w:rPr>
          <w:b/>
        </w:rPr>
        <w:t>I</w:t>
      </w:r>
      <w:r>
        <w:rPr>
          <w:b/>
        </w:rPr>
        <w:t>s there a preference to submit</w:t>
      </w:r>
      <w:r w:rsidRPr="00AF58F8">
        <w:rPr>
          <w:b/>
        </w:rPr>
        <w:t xml:space="preserve"> via as an individual under a SME or a large organisation? </w:t>
      </w:r>
    </w:p>
    <w:p w:rsidR="00AF58F8" w:rsidRDefault="00AF58F8" w:rsidP="00AF58F8">
      <w:pPr>
        <w:pStyle w:val="DeptBullets"/>
        <w:numPr>
          <w:ilvl w:val="0"/>
          <w:numId w:val="0"/>
        </w:numPr>
        <w:spacing w:after="0"/>
        <w:rPr>
          <w:color w:val="1F497D" w:themeColor="text2"/>
        </w:rPr>
      </w:pPr>
      <w:r w:rsidRPr="00AF58F8">
        <w:rPr>
          <w:color w:val="1F497D" w:themeColor="text2"/>
        </w:rPr>
        <w:t>There is no preference for small or large organisations. Bids will be treated on equal mer</w:t>
      </w:r>
      <w:r>
        <w:rPr>
          <w:color w:val="1F497D" w:themeColor="text2"/>
        </w:rPr>
        <w:t>it regardless of the size of the company.</w:t>
      </w:r>
    </w:p>
    <w:p w:rsidR="00AF58F8" w:rsidRDefault="00AF58F8" w:rsidP="00AF58F8">
      <w:pPr>
        <w:pStyle w:val="DeptBullets"/>
        <w:numPr>
          <w:ilvl w:val="0"/>
          <w:numId w:val="0"/>
        </w:numPr>
        <w:spacing w:after="0"/>
        <w:rPr>
          <w:color w:val="1F497D" w:themeColor="text2"/>
        </w:rPr>
      </w:pPr>
    </w:p>
    <w:p w:rsidR="00AF58F8" w:rsidRDefault="00AF58F8" w:rsidP="00AF58F8">
      <w:pPr>
        <w:pStyle w:val="DeptBullets"/>
        <w:numPr>
          <w:ilvl w:val="0"/>
          <w:numId w:val="14"/>
        </w:numPr>
        <w:spacing w:after="0"/>
      </w:pPr>
      <w:r w:rsidRPr="00AF58F8">
        <w:rPr>
          <w:b/>
        </w:rPr>
        <w:t xml:space="preserve"> </w:t>
      </w:r>
      <w:r w:rsidRPr="00AF58F8">
        <w:rPr>
          <w:b/>
        </w:rPr>
        <w:t>Can I use my companies’ format for CVs?</w:t>
      </w:r>
    </w:p>
    <w:p w:rsidR="00AF58F8" w:rsidRPr="00AF58F8" w:rsidRDefault="00AF58F8" w:rsidP="00AF58F8">
      <w:pPr>
        <w:pStyle w:val="DeptBullets"/>
        <w:numPr>
          <w:ilvl w:val="0"/>
          <w:numId w:val="0"/>
        </w:numPr>
        <w:spacing w:after="0"/>
      </w:pPr>
      <w:r w:rsidRPr="00AF58F8">
        <w:rPr>
          <w:color w:val="1F497D" w:themeColor="text2"/>
        </w:rPr>
        <w:t xml:space="preserve">Yes, please include information on a daily rate, regional availability and contact details for referees. </w:t>
      </w:r>
    </w:p>
    <w:p w:rsidR="00AF58F8" w:rsidRPr="00AF58F8" w:rsidRDefault="00AF58F8" w:rsidP="00AF58F8">
      <w:pPr>
        <w:pStyle w:val="DeptBullets"/>
        <w:numPr>
          <w:ilvl w:val="0"/>
          <w:numId w:val="0"/>
        </w:numPr>
        <w:spacing w:after="0"/>
        <w:ind w:left="360"/>
        <w:rPr>
          <w:color w:val="1F497D" w:themeColor="text2"/>
        </w:rPr>
      </w:pPr>
    </w:p>
    <w:p w:rsidR="00E7587E" w:rsidRPr="00E7587E" w:rsidRDefault="00E7587E" w:rsidP="00E7587E">
      <w:pPr>
        <w:pStyle w:val="DeptBullets"/>
        <w:numPr>
          <w:ilvl w:val="0"/>
          <w:numId w:val="0"/>
        </w:numPr>
        <w:spacing w:after="0"/>
        <w:rPr>
          <w:color w:val="1F497D" w:themeColor="text2"/>
        </w:rPr>
      </w:pPr>
    </w:p>
    <w:p w:rsidR="00E7587E" w:rsidRDefault="00E7587E" w:rsidP="00E7587E">
      <w:pPr>
        <w:pStyle w:val="DeptBullets"/>
        <w:numPr>
          <w:ilvl w:val="0"/>
          <w:numId w:val="0"/>
        </w:numPr>
        <w:ind w:left="360"/>
        <w:rPr>
          <w:color w:val="1F497D" w:themeColor="text2"/>
        </w:rPr>
      </w:pPr>
      <w:r>
        <w:rPr>
          <w:color w:val="1F497D" w:themeColor="text2"/>
        </w:rPr>
        <w:t xml:space="preserve"> </w:t>
      </w:r>
    </w:p>
    <w:p w:rsidR="00E7587E" w:rsidRPr="00E7587E" w:rsidRDefault="00E7587E" w:rsidP="00E7587E">
      <w:pPr>
        <w:pStyle w:val="DeptBullets"/>
        <w:numPr>
          <w:ilvl w:val="0"/>
          <w:numId w:val="0"/>
        </w:numPr>
        <w:ind w:left="360"/>
        <w:rPr>
          <w:color w:val="1F497D" w:themeColor="text2"/>
        </w:rPr>
      </w:pPr>
    </w:p>
    <w:p w:rsidR="00E7587E" w:rsidRPr="00C96679" w:rsidRDefault="00E7587E" w:rsidP="0087538F">
      <w:pPr>
        <w:pStyle w:val="DeptBullets"/>
        <w:numPr>
          <w:ilvl w:val="0"/>
          <w:numId w:val="0"/>
        </w:numPr>
        <w:spacing w:after="0"/>
        <w:rPr>
          <w:color w:val="1F497D" w:themeColor="text2"/>
        </w:rPr>
      </w:pPr>
    </w:p>
    <w:p w:rsidR="0087538F" w:rsidRPr="00C96679" w:rsidRDefault="0087538F" w:rsidP="0087538F">
      <w:pPr>
        <w:jc w:val="both"/>
        <w:rPr>
          <w:b/>
          <w:bCs/>
        </w:rPr>
      </w:pPr>
    </w:p>
    <w:sectPr w:rsidR="0087538F" w:rsidRPr="00C96679">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03A" w:rsidRDefault="0087403A">
      <w:r>
        <w:separator/>
      </w:r>
    </w:p>
  </w:endnote>
  <w:endnote w:type="continuationSeparator" w:id="0">
    <w:p w:rsidR="0087403A" w:rsidRDefault="0087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835958"/>
      <w:docPartObj>
        <w:docPartGallery w:val="Page Numbers (Bottom of Page)"/>
        <w:docPartUnique/>
      </w:docPartObj>
    </w:sdtPr>
    <w:sdtEndPr>
      <w:rPr>
        <w:noProof/>
      </w:rPr>
    </w:sdtEndPr>
    <w:sdtContent>
      <w:p w:rsidR="00382E3C" w:rsidRDefault="00382E3C">
        <w:pPr>
          <w:pStyle w:val="Footer"/>
          <w:jc w:val="right"/>
        </w:pPr>
        <w:r>
          <w:fldChar w:fldCharType="begin"/>
        </w:r>
        <w:r>
          <w:instrText xml:space="preserve"> PAGE   \* MERGEFORMAT </w:instrText>
        </w:r>
        <w:r>
          <w:fldChar w:fldCharType="separate"/>
        </w:r>
        <w:r w:rsidR="00DA6A8F">
          <w:rPr>
            <w:noProof/>
          </w:rPr>
          <w:t>1</w:t>
        </w:r>
        <w:r>
          <w:rPr>
            <w:noProof/>
          </w:rPr>
          <w:fldChar w:fldCharType="end"/>
        </w:r>
      </w:p>
    </w:sdtContent>
  </w:sdt>
  <w:p w:rsidR="00382E3C" w:rsidRDefault="00382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03A" w:rsidRDefault="0087403A">
      <w:r>
        <w:separator/>
      </w:r>
    </w:p>
  </w:footnote>
  <w:footnote w:type="continuationSeparator" w:id="0">
    <w:p w:rsidR="0087403A" w:rsidRDefault="0087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3C" w:rsidRDefault="00382E3C">
    <w:pPr>
      <w:pStyle w:val="Header"/>
    </w:pPr>
    <w:r>
      <w:t>Educational Specialists</w:t>
    </w:r>
    <w:r>
      <w:ptab w:relativeTo="margin" w:alignment="right" w:leader="none"/>
    </w:r>
    <w:r>
      <w:t>19/08/2015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75pt;height:42.75pt" o:bullet="t">
        <v:imagedata r:id="rId1" o:title="clip_image001"/>
      </v:shape>
    </w:pict>
  </w:numPicBullet>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1D423496"/>
    <w:multiLevelType w:val="hybridMultilevel"/>
    <w:tmpl w:val="2676D336"/>
    <w:lvl w:ilvl="0" w:tplc="5D4ECC8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FC032A1"/>
    <w:multiLevelType w:val="hybridMultilevel"/>
    <w:tmpl w:val="FC8E8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nsid w:val="316B1629"/>
    <w:multiLevelType w:val="hybridMultilevel"/>
    <w:tmpl w:val="21F2B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39D5DC3"/>
    <w:multiLevelType w:val="hybridMultilevel"/>
    <w:tmpl w:val="115C76DA"/>
    <w:lvl w:ilvl="0" w:tplc="67D8487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A5639BE"/>
    <w:multiLevelType w:val="hybridMultilevel"/>
    <w:tmpl w:val="5FE2CE6A"/>
    <w:lvl w:ilvl="0" w:tplc="6114B02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nsid w:val="4C8427F1"/>
    <w:multiLevelType w:val="hybridMultilevel"/>
    <w:tmpl w:val="36048B10"/>
    <w:lvl w:ilvl="0" w:tplc="66869846">
      <w:start w:val="1"/>
      <w:numFmt w:val="decimal"/>
      <w:lvlText w:val="%1)"/>
      <w:lvlJc w:val="left"/>
      <w:pPr>
        <w:ind w:left="360" w:hanging="360"/>
      </w:pPr>
      <w:rPr>
        <w:rFonts w:hint="default"/>
        <w:b/>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4337E84"/>
    <w:multiLevelType w:val="hybridMultilevel"/>
    <w:tmpl w:val="3956FD66"/>
    <w:lvl w:ilvl="0" w:tplc="D7FED5FE">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5B526A"/>
    <w:multiLevelType w:val="hybridMultilevel"/>
    <w:tmpl w:val="0AFE1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B177CD"/>
    <w:multiLevelType w:val="hybridMultilevel"/>
    <w:tmpl w:val="82FEE0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5E679C"/>
    <w:multiLevelType w:val="hybridMultilevel"/>
    <w:tmpl w:val="4CD87056"/>
    <w:lvl w:ilvl="0" w:tplc="076C192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3"/>
  </w:num>
  <w:num w:numId="3">
    <w:abstractNumId w:val="16"/>
  </w:num>
  <w:num w:numId="4">
    <w:abstractNumId w:val="0"/>
  </w:num>
  <w:num w:numId="5">
    <w:abstractNumId w:val="9"/>
  </w:num>
  <w:num w:numId="6">
    <w:abstractNumId w:val="13"/>
  </w:num>
  <w:num w:numId="7">
    <w:abstractNumId w:val="11"/>
  </w:num>
  <w:num w:numId="8">
    <w:abstractNumId w:val="14"/>
  </w:num>
  <w:num w:numId="9">
    <w:abstractNumId w:val="6"/>
  </w:num>
  <w:num w:numId="10">
    <w:abstractNumId w:val="1"/>
  </w:num>
  <w:num w:numId="11">
    <w:abstractNumId w:val="15"/>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41"/>
    <w:rsid w:val="00011F78"/>
    <w:rsid w:val="00022DB6"/>
    <w:rsid w:val="00030E29"/>
    <w:rsid w:val="00041864"/>
    <w:rsid w:val="0004776A"/>
    <w:rsid w:val="000774C0"/>
    <w:rsid w:val="000833EF"/>
    <w:rsid w:val="000A0C1B"/>
    <w:rsid w:val="000B1468"/>
    <w:rsid w:val="000F4E59"/>
    <w:rsid w:val="00116F59"/>
    <w:rsid w:val="001362FD"/>
    <w:rsid w:val="001366BB"/>
    <w:rsid w:val="001372F2"/>
    <w:rsid w:val="00153F85"/>
    <w:rsid w:val="0016426B"/>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71239"/>
    <w:rsid w:val="00382E3C"/>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A66B5"/>
    <w:rsid w:val="004E633C"/>
    <w:rsid w:val="00511CA5"/>
    <w:rsid w:val="005150CE"/>
    <w:rsid w:val="00530814"/>
    <w:rsid w:val="00545301"/>
    <w:rsid w:val="00565333"/>
    <w:rsid w:val="005725E3"/>
    <w:rsid w:val="00591B39"/>
    <w:rsid w:val="005B1CC3"/>
    <w:rsid w:val="005B5A07"/>
    <w:rsid w:val="005C1372"/>
    <w:rsid w:val="005E74ED"/>
    <w:rsid w:val="00607A4B"/>
    <w:rsid w:val="006165CB"/>
    <w:rsid w:val="0062704E"/>
    <w:rsid w:val="00634682"/>
    <w:rsid w:val="0063507E"/>
    <w:rsid w:val="006363E9"/>
    <w:rsid w:val="0067264D"/>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71175"/>
    <w:rsid w:val="007940AE"/>
    <w:rsid w:val="007A10F9"/>
    <w:rsid w:val="007A4C02"/>
    <w:rsid w:val="007B49CD"/>
    <w:rsid w:val="007B593B"/>
    <w:rsid w:val="007B5A46"/>
    <w:rsid w:val="007B6C0E"/>
    <w:rsid w:val="007C1BC2"/>
    <w:rsid w:val="007D0DBA"/>
    <w:rsid w:val="007D4DB0"/>
    <w:rsid w:val="007F073B"/>
    <w:rsid w:val="00805C72"/>
    <w:rsid w:val="00831225"/>
    <w:rsid w:val="008428AB"/>
    <w:rsid w:val="00863664"/>
    <w:rsid w:val="0087403A"/>
    <w:rsid w:val="0087538F"/>
    <w:rsid w:val="0088151C"/>
    <w:rsid w:val="008817AB"/>
    <w:rsid w:val="008843A4"/>
    <w:rsid w:val="00896E41"/>
    <w:rsid w:val="008B014B"/>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C71F3"/>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58F8"/>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04796"/>
    <w:rsid w:val="00C37933"/>
    <w:rsid w:val="00C408C7"/>
    <w:rsid w:val="00C47EEA"/>
    <w:rsid w:val="00C519D0"/>
    <w:rsid w:val="00C70ACB"/>
    <w:rsid w:val="00C85EB1"/>
    <w:rsid w:val="00C96679"/>
    <w:rsid w:val="00C96F82"/>
    <w:rsid w:val="00CA4FEC"/>
    <w:rsid w:val="00CD26D4"/>
    <w:rsid w:val="00CD7188"/>
    <w:rsid w:val="00CD7921"/>
    <w:rsid w:val="00CE0160"/>
    <w:rsid w:val="00CE084B"/>
    <w:rsid w:val="00D02CD9"/>
    <w:rsid w:val="00D02D57"/>
    <w:rsid w:val="00D118D6"/>
    <w:rsid w:val="00D20266"/>
    <w:rsid w:val="00D20C29"/>
    <w:rsid w:val="00D33842"/>
    <w:rsid w:val="00D45834"/>
    <w:rsid w:val="00D47915"/>
    <w:rsid w:val="00D57D6E"/>
    <w:rsid w:val="00D61F5A"/>
    <w:rsid w:val="00D656C2"/>
    <w:rsid w:val="00DA6A8F"/>
    <w:rsid w:val="00DB4C12"/>
    <w:rsid w:val="00DB6DDC"/>
    <w:rsid w:val="00DC4C28"/>
    <w:rsid w:val="00DE0731"/>
    <w:rsid w:val="00E0081E"/>
    <w:rsid w:val="00E02094"/>
    <w:rsid w:val="00E10F4C"/>
    <w:rsid w:val="00E2419F"/>
    <w:rsid w:val="00E366D6"/>
    <w:rsid w:val="00E63D8B"/>
    <w:rsid w:val="00E64BA7"/>
    <w:rsid w:val="00E72FE7"/>
    <w:rsid w:val="00E7587E"/>
    <w:rsid w:val="00E81F4B"/>
    <w:rsid w:val="00EA11BE"/>
    <w:rsid w:val="00EC644A"/>
    <w:rsid w:val="00EC6A3F"/>
    <w:rsid w:val="00F30554"/>
    <w:rsid w:val="00F348D2"/>
    <w:rsid w:val="00F4485F"/>
    <w:rsid w:val="00F44B6A"/>
    <w:rsid w:val="00F521C7"/>
    <w:rsid w:val="00F60BF8"/>
    <w:rsid w:val="00F64863"/>
    <w:rsid w:val="00F80CDA"/>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D4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38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uiPriority w:val="99"/>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rsid w:val="00E72FE7"/>
    <w:rPr>
      <w:rFonts w:ascii="Tahoma" w:hAnsi="Tahoma" w:cs="Tahoma"/>
      <w:sz w:val="16"/>
      <w:szCs w:val="16"/>
    </w:rPr>
  </w:style>
  <w:style w:type="character" w:customStyle="1" w:styleId="BalloonTextChar">
    <w:name w:val="Balloon Text Char"/>
    <w:basedOn w:val="DefaultParagraphFont"/>
    <w:link w:val="BalloonText"/>
    <w:rsid w:val="00E72FE7"/>
    <w:rPr>
      <w:rFonts w:ascii="Tahoma" w:hAnsi="Tahoma" w:cs="Tahoma"/>
      <w:sz w:val="16"/>
      <w:szCs w:val="16"/>
      <w:lang w:eastAsia="en-US"/>
    </w:rPr>
  </w:style>
  <w:style w:type="paragraph" w:styleId="PlainText">
    <w:name w:val="Plain Text"/>
    <w:basedOn w:val="Normal"/>
    <w:link w:val="PlainTextChar"/>
    <w:uiPriority w:val="99"/>
    <w:unhideWhenUsed/>
    <w:rsid w:val="004A66B5"/>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A66B5"/>
    <w:rPr>
      <w:rFonts w:ascii="Calibri" w:eastAsiaTheme="minorHAnsi" w:hAnsi="Calibri" w:cstheme="minorBidi"/>
      <w:sz w:val="22"/>
      <w:szCs w:val="21"/>
      <w:lang w:eastAsia="en-US"/>
    </w:rPr>
  </w:style>
  <w:style w:type="character" w:customStyle="1" w:styleId="NumberedChar">
    <w:name w:val="Numbered Char"/>
    <w:basedOn w:val="DefaultParagraphFont"/>
    <w:link w:val="Numbered"/>
    <w:uiPriority w:val="99"/>
    <w:locked/>
    <w:rsid w:val="0067264D"/>
    <w:rPr>
      <w:rFonts w:ascii="Arial" w:hAnsi="Arial"/>
      <w:sz w:val="24"/>
      <w:lang w:eastAsia="en-US"/>
    </w:rPr>
  </w:style>
  <w:style w:type="character" w:customStyle="1" w:styleId="FooterChar">
    <w:name w:val="Footer Char"/>
    <w:basedOn w:val="DefaultParagraphFont"/>
    <w:link w:val="Footer"/>
    <w:uiPriority w:val="99"/>
    <w:rsid w:val="00382E3C"/>
    <w:rPr>
      <w:rFonts w:ascii="Arial" w:hAnsi="Arial"/>
      <w:sz w:val="24"/>
      <w:lang w:eastAsia="en-US"/>
    </w:rPr>
  </w:style>
  <w:style w:type="paragraph" w:styleId="NormalIndent">
    <w:name w:val="Normal Indent"/>
    <w:basedOn w:val="Normal"/>
    <w:rsid w:val="00771175"/>
    <w:pPr>
      <w:ind w:left="720"/>
    </w:pPr>
    <w:rPr>
      <w:rFonts w:cs="Mangal"/>
      <w:sz w:val="22"/>
      <w:szCs w:val="22"/>
      <w:lang w:eastAsia="en-GB"/>
    </w:rPr>
  </w:style>
  <w:style w:type="character" w:styleId="Hyperlink">
    <w:name w:val="Hyperlink"/>
    <w:rsid w:val="00771175"/>
    <w:rPr>
      <w:color w:val="0000FF"/>
      <w:u w:val="single"/>
    </w:rPr>
  </w:style>
  <w:style w:type="paragraph" w:styleId="NormalWeb">
    <w:name w:val="Normal (Web)"/>
    <w:basedOn w:val="Normal"/>
    <w:uiPriority w:val="99"/>
    <w:unhideWhenUsed/>
    <w:rsid w:val="00C96679"/>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38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uiPriority w:val="99"/>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styleId="BalloonText">
    <w:name w:val="Balloon Text"/>
    <w:basedOn w:val="Normal"/>
    <w:link w:val="BalloonTextChar"/>
    <w:rsid w:val="00E72FE7"/>
    <w:rPr>
      <w:rFonts w:ascii="Tahoma" w:hAnsi="Tahoma" w:cs="Tahoma"/>
      <w:sz w:val="16"/>
      <w:szCs w:val="16"/>
    </w:rPr>
  </w:style>
  <w:style w:type="character" w:customStyle="1" w:styleId="BalloonTextChar">
    <w:name w:val="Balloon Text Char"/>
    <w:basedOn w:val="DefaultParagraphFont"/>
    <w:link w:val="BalloonText"/>
    <w:rsid w:val="00E72FE7"/>
    <w:rPr>
      <w:rFonts w:ascii="Tahoma" w:hAnsi="Tahoma" w:cs="Tahoma"/>
      <w:sz w:val="16"/>
      <w:szCs w:val="16"/>
      <w:lang w:eastAsia="en-US"/>
    </w:rPr>
  </w:style>
  <w:style w:type="paragraph" w:styleId="PlainText">
    <w:name w:val="Plain Text"/>
    <w:basedOn w:val="Normal"/>
    <w:link w:val="PlainTextChar"/>
    <w:uiPriority w:val="99"/>
    <w:unhideWhenUsed/>
    <w:rsid w:val="004A66B5"/>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A66B5"/>
    <w:rPr>
      <w:rFonts w:ascii="Calibri" w:eastAsiaTheme="minorHAnsi" w:hAnsi="Calibri" w:cstheme="minorBidi"/>
      <w:sz w:val="22"/>
      <w:szCs w:val="21"/>
      <w:lang w:eastAsia="en-US"/>
    </w:rPr>
  </w:style>
  <w:style w:type="character" w:customStyle="1" w:styleId="NumberedChar">
    <w:name w:val="Numbered Char"/>
    <w:basedOn w:val="DefaultParagraphFont"/>
    <w:link w:val="Numbered"/>
    <w:uiPriority w:val="99"/>
    <w:locked/>
    <w:rsid w:val="0067264D"/>
    <w:rPr>
      <w:rFonts w:ascii="Arial" w:hAnsi="Arial"/>
      <w:sz w:val="24"/>
      <w:lang w:eastAsia="en-US"/>
    </w:rPr>
  </w:style>
  <w:style w:type="character" w:customStyle="1" w:styleId="FooterChar">
    <w:name w:val="Footer Char"/>
    <w:basedOn w:val="DefaultParagraphFont"/>
    <w:link w:val="Footer"/>
    <w:uiPriority w:val="99"/>
    <w:rsid w:val="00382E3C"/>
    <w:rPr>
      <w:rFonts w:ascii="Arial" w:hAnsi="Arial"/>
      <w:sz w:val="24"/>
      <w:lang w:eastAsia="en-US"/>
    </w:rPr>
  </w:style>
  <w:style w:type="paragraph" w:styleId="NormalIndent">
    <w:name w:val="Normal Indent"/>
    <w:basedOn w:val="Normal"/>
    <w:rsid w:val="00771175"/>
    <w:pPr>
      <w:ind w:left="720"/>
    </w:pPr>
    <w:rPr>
      <w:rFonts w:cs="Mangal"/>
      <w:sz w:val="22"/>
      <w:szCs w:val="22"/>
      <w:lang w:eastAsia="en-GB"/>
    </w:rPr>
  </w:style>
  <w:style w:type="character" w:styleId="Hyperlink">
    <w:name w:val="Hyperlink"/>
    <w:rsid w:val="00771175"/>
    <w:rPr>
      <w:color w:val="0000FF"/>
      <w:u w:val="single"/>
    </w:rPr>
  </w:style>
  <w:style w:type="paragraph" w:styleId="NormalWeb">
    <w:name w:val="Normal (Web)"/>
    <w:basedOn w:val="Normal"/>
    <w:uiPriority w:val="99"/>
    <w:unhideWhenUsed/>
    <w:rsid w:val="00C96679"/>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5183">
      <w:bodyDiv w:val="1"/>
      <w:marLeft w:val="0"/>
      <w:marRight w:val="0"/>
      <w:marTop w:val="0"/>
      <w:marBottom w:val="0"/>
      <w:divBdr>
        <w:top w:val="none" w:sz="0" w:space="0" w:color="auto"/>
        <w:left w:val="none" w:sz="0" w:space="0" w:color="auto"/>
        <w:bottom w:val="none" w:sz="0" w:space="0" w:color="auto"/>
        <w:right w:val="none" w:sz="0" w:space="0" w:color="auto"/>
      </w:divBdr>
    </w:div>
    <w:div w:id="532111873">
      <w:bodyDiv w:val="1"/>
      <w:marLeft w:val="0"/>
      <w:marRight w:val="0"/>
      <w:marTop w:val="0"/>
      <w:marBottom w:val="0"/>
      <w:divBdr>
        <w:top w:val="none" w:sz="0" w:space="0" w:color="auto"/>
        <w:left w:val="none" w:sz="0" w:space="0" w:color="auto"/>
        <w:bottom w:val="none" w:sz="0" w:space="0" w:color="auto"/>
        <w:right w:val="none" w:sz="0" w:space="0" w:color="auto"/>
      </w:divBdr>
    </w:div>
    <w:div w:id="726074383">
      <w:bodyDiv w:val="1"/>
      <w:marLeft w:val="0"/>
      <w:marRight w:val="0"/>
      <w:marTop w:val="0"/>
      <w:marBottom w:val="0"/>
      <w:divBdr>
        <w:top w:val="none" w:sz="0" w:space="0" w:color="auto"/>
        <w:left w:val="none" w:sz="0" w:space="0" w:color="auto"/>
        <w:bottom w:val="none" w:sz="0" w:space="0" w:color="auto"/>
        <w:right w:val="none" w:sz="0" w:space="0" w:color="auto"/>
      </w:divBdr>
    </w:div>
    <w:div w:id="881088339">
      <w:bodyDiv w:val="1"/>
      <w:marLeft w:val="0"/>
      <w:marRight w:val="0"/>
      <w:marTop w:val="0"/>
      <w:marBottom w:val="0"/>
      <w:divBdr>
        <w:top w:val="none" w:sz="0" w:space="0" w:color="auto"/>
        <w:left w:val="none" w:sz="0" w:space="0" w:color="auto"/>
        <w:bottom w:val="none" w:sz="0" w:space="0" w:color="auto"/>
        <w:right w:val="none" w:sz="0" w:space="0" w:color="auto"/>
      </w:divBdr>
    </w:div>
    <w:div w:id="966743348">
      <w:bodyDiv w:val="1"/>
      <w:marLeft w:val="0"/>
      <w:marRight w:val="0"/>
      <w:marTop w:val="0"/>
      <w:marBottom w:val="0"/>
      <w:divBdr>
        <w:top w:val="none" w:sz="0" w:space="0" w:color="auto"/>
        <w:left w:val="none" w:sz="0" w:space="0" w:color="auto"/>
        <w:bottom w:val="none" w:sz="0" w:space="0" w:color="auto"/>
        <w:right w:val="none" w:sz="0" w:space="0" w:color="auto"/>
      </w:divBdr>
    </w:div>
    <w:div w:id="1414819270">
      <w:bodyDiv w:val="1"/>
      <w:marLeft w:val="0"/>
      <w:marRight w:val="0"/>
      <w:marTop w:val="0"/>
      <w:marBottom w:val="0"/>
      <w:divBdr>
        <w:top w:val="none" w:sz="0" w:space="0" w:color="auto"/>
        <w:left w:val="none" w:sz="0" w:space="0" w:color="auto"/>
        <w:bottom w:val="none" w:sz="0" w:space="0" w:color="auto"/>
        <w:right w:val="none" w:sz="0" w:space="0" w:color="auto"/>
      </w:divBdr>
    </w:div>
    <w:div w:id="1441877210">
      <w:bodyDiv w:val="1"/>
      <w:marLeft w:val="0"/>
      <w:marRight w:val="0"/>
      <w:marTop w:val="0"/>
      <w:marBottom w:val="0"/>
      <w:divBdr>
        <w:top w:val="none" w:sz="0" w:space="0" w:color="auto"/>
        <w:left w:val="none" w:sz="0" w:space="0" w:color="auto"/>
        <w:bottom w:val="none" w:sz="0" w:space="0" w:color="auto"/>
        <w:right w:val="none" w:sz="0" w:space="0" w:color="auto"/>
      </w:divBdr>
    </w:div>
    <w:div w:id="1451586673">
      <w:bodyDiv w:val="1"/>
      <w:marLeft w:val="0"/>
      <w:marRight w:val="0"/>
      <w:marTop w:val="0"/>
      <w:marBottom w:val="0"/>
      <w:divBdr>
        <w:top w:val="none" w:sz="0" w:space="0" w:color="auto"/>
        <w:left w:val="none" w:sz="0" w:space="0" w:color="auto"/>
        <w:bottom w:val="none" w:sz="0" w:space="0" w:color="auto"/>
        <w:right w:val="none" w:sz="0" w:space="0" w:color="auto"/>
      </w:divBdr>
    </w:div>
    <w:div w:id="1562592532">
      <w:bodyDiv w:val="1"/>
      <w:marLeft w:val="0"/>
      <w:marRight w:val="0"/>
      <w:marTop w:val="0"/>
      <w:marBottom w:val="0"/>
      <w:divBdr>
        <w:top w:val="none" w:sz="0" w:space="0" w:color="auto"/>
        <w:left w:val="none" w:sz="0" w:space="0" w:color="auto"/>
        <w:bottom w:val="none" w:sz="0" w:space="0" w:color="auto"/>
        <w:right w:val="none" w:sz="0" w:space="0" w:color="auto"/>
      </w:divBdr>
    </w:div>
    <w:div w:id="1581938355">
      <w:bodyDiv w:val="1"/>
      <w:marLeft w:val="0"/>
      <w:marRight w:val="0"/>
      <w:marTop w:val="0"/>
      <w:marBottom w:val="0"/>
      <w:divBdr>
        <w:top w:val="none" w:sz="0" w:space="0" w:color="auto"/>
        <w:left w:val="none" w:sz="0" w:space="0" w:color="auto"/>
        <w:bottom w:val="none" w:sz="0" w:space="0" w:color="auto"/>
        <w:right w:val="none" w:sz="0" w:space="0" w:color="auto"/>
      </w:divBdr>
    </w:div>
    <w:div w:id="1619601370">
      <w:bodyDiv w:val="1"/>
      <w:marLeft w:val="0"/>
      <w:marRight w:val="0"/>
      <w:marTop w:val="0"/>
      <w:marBottom w:val="0"/>
      <w:divBdr>
        <w:top w:val="none" w:sz="0" w:space="0" w:color="auto"/>
        <w:left w:val="none" w:sz="0" w:space="0" w:color="auto"/>
        <w:bottom w:val="none" w:sz="0" w:space="0" w:color="auto"/>
        <w:right w:val="none" w:sz="0" w:space="0" w:color="auto"/>
      </w:divBdr>
    </w:div>
    <w:div w:id="1737128027">
      <w:bodyDiv w:val="1"/>
      <w:marLeft w:val="0"/>
      <w:marRight w:val="0"/>
      <w:marTop w:val="0"/>
      <w:marBottom w:val="0"/>
      <w:divBdr>
        <w:top w:val="none" w:sz="0" w:space="0" w:color="auto"/>
        <w:left w:val="none" w:sz="0" w:space="0" w:color="auto"/>
        <w:bottom w:val="none" w:sz="0" w:space="0" w:color="auto"/>
        <w:right w:val="none" w:sz="0" w:space="0" w:color="auto"/>
      </w:divBdr>
    </w:div>
    <w:div w:id="18817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ike.reay@education.gsi.gov.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202015.AOS-PROCUREMENT@education.gsi.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7F645D6FBA204A029FECB8BFC6578C39005279853530254253B886E13194843F8A003AA4A7828D8545A79A93568021812356007258A0549D2D2D4199CD97C9AD8419D9" ma:contentTypeVersion="4" ma:contentTypeDescription="For working documents that do not need to be declared as records.  Will be deleted two years after last modified date." ma:contentTypeScope="" ma:versionID="bf20d6aff80f8acb33cc4bbff22a5bea">
  <xsd:schema xmlns:xsd="http://www.w3.org/2001/XMLSchema" xmlns:xs="http://www.w3.org/2001/XMLSchema" xmlns:p="http://schemas.microsoft.com/office/2006/metadata/properties" xmlns:ns1="http://schemas.microsoft.com/sharepoint/v3" xmlns:ns2="b8cb3cbd-ce5c-4a72-9da4-9013f91c5903" xmlns:ns3="8280e71c-17a9-4662-87a1-4a4fe9601183" targetNamespace="http://schemas.microsoft.com/office/2006/metadata/properties" ma:root="true" ma:fieldsID="24930603544d777f1b87e0f29c02e9e6" ns1:_="" ns2:_="" ns3:_="">
    <xsd:import namespace="http://schemas.microsoft.com/sharepoint/v3"/>
    <xsd:import namespace="b8cb3cbd-ce5c-4a72-9da4-9013f91c5903"/>
    <xsd:import namespace="8280e71c-17a9-4662-87a1-4a4fe960118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427dd53-52c7-43bc-8dce-2fb610a0c527}" ma:internalName="TaxCatchAll" ma:showField="CatchAllData" ma:web="8280e71c-17a9-4662-87a1-4a4fe9601183">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427dd53-52c7-43bc-8dce-2fb610a0c527}" ma:internalName="TaxCatchAllLabel" ma:readOnly="true" ma:showField="CatchAllDataLabel" ma:web="8280e71c-17a9-4662-87a1-4a4fe96011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80e71c-17a9-4662-87a1-4a4fe9601183"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nillable="true"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8280e71c-17a9-4662-87a1-4a4fe960118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OrganisationalUnitTaxHTField0 xmlns="8280e71c-17a9-4662-87a1-4a4fe960118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Contributor xmlns="8280e71c-17a9-4662-87a1-4a4fe9601183">
      <UserInfo>
        <DisplayName/>
        <AccountId xsi:nil="true"/>
        <AccountType/>
      </UserInfo>
    </IWPContributor>
    <IWPSubjectTaxHTField0 xmlns="8280e71c-17a9-4662-87a1-4a4fe9601183">
      <Terms xmlns="http://schemas.microsoft.com/office/infopath/2007/PartnerControls"/>
    </IWPSubjectTaxHTField0>
    <IWPSiteTypeTaxHTField0 xmlns="8280e71c-17a9-4662-87a1-4a4fe9601183">
      <Terms xmlns="http://schemas.microsoft.com/office/infopath/2007/PartnerControls"/>
    </IWPSiteTypeTaxHTField0>
    <IWPRightsProtectiveMarkingTaxHTField0 xmlns="8280e71c-17a9-4662-87a1-4a4fe960118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8280e71c-17a9-4662-87a1-4a4fe9601183">
      <Terms xmlns="http://schemas.microsoft.com/office/infopath/2007/PartnerControls"/>
    </IWPFunctionTaxHTField0>
    <Comments xmlns="http://schemas.microsoft.com/sharepoint/v3" xsi:nil="true"/>
    <_dlc_DocId xmlns="b8cb3cbd-ce5c-4a72-9da4-9013f91c5903">5XMNEVMS2RQ4-4-11297</_dlc_DocId>
    <_dlc_DocIdUrl xmlns="b8cb3cbd-ce5c-4a72-9da4-9013f91c5903">
      <Url>http://workplaces/sites/ifdcu/_layouts/DocIdRedir.aspx?ID=5XMNEVMS2RQ4-4-11297</Url>
      <Description>5XMNEVMS2RQ4-4-11297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21812356" PreviousValue="false"/>
</file>

<file path=customXml/item5.xml><?xml version="1.0" encoding="utf-8"?>
<?mso-contentType ?>
<PolicyDirtyBag xmlns="microsoft.office.server.policy.chang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C3328-3AEE-4671-8098-410E851E9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8280e71c-17a9-4662-87a1-4a4fe9601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A8393-12C4-4D4C-B707-DBAACF2EC962}">
  <ds:schemaRefs>
    <ds:schemaRef ds:uri="http://purl.org/dc/dcmitype/"/>
    <ds:schemaRef ds:uri="http://schemas.microsoft.com/sharepoint/v3"/>
    <ds:schemaRef ds:uri="b8cb3cbd-ce5c-4a72-9da4-9013f91c5903"/>
    <ds:schemaRef ds:uri="http://schemas.openxmlformats.org/package/2006/metadata/core-properties"/>
    <ds:schemaRef ds:uri="http://purl.org/dc/elements/1.1/"/>
    <ds:schemaRef ds:uri="http://purl.org/dc/terms/"/>
    <ds:schemaRef ds:uri="8280e71c-17a9-4662-87a1-4a4fe9601183"/>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E429E8B-77A6-4B92-B3A2-FEE187CC80A5}">
  <ds:schemaRefs>
    <ds:schemaRef ds:uri="http://schemas.microsoft.com/sharepoint/events"/>
  </ds:schemaRefs>
</ds:datastoreItem>
</file>

<file path=customXml/itemProps4.xml><?xml version="1.0" encoding="utf-8"?>
<ds:datastoreItem xmlns:ds="http://schemas.openxmlformats.org/officeDocument/2006/customXml" ds:itemID="{18239195-5692-4D87-926C-2841884A59D2}">
  <ds:schemaRefs>
    <ds:schemaRef ds:uri="Microsoft.SharePoint.Taxonomy.ContentTypeSync"/>
  </ds:schemaRefs>
</ds:datastoreItem>
</file>

<file path=customXml/itemProps5.xml><?xml version="1.0" encoding="utf-8"?>
<ds:datastoreItem xmlns:ds="http://schemas.openxmlformats.org/officeDocument/2006/customXml" ds:itemID="{0C52FF01-0F65-4D96-8DB0-DDC86C182CFA}">
  <ds:schemaRefs>
    <ds:schemaRef ds:uri="microsoft.office.server.policy.changes"/>
  </ds:schemaRefs>
</ds:datastoreItem>
</file>

<file path=customXml/itemProps6.xml><?xml version="1.0" encoding="utf-8"?>
<ds:datastoreItem xmlns:ds="http://schemas.openxmlformats.org/officeDocument/2006/customXml" ds:itemID="{13A791D9-63C6-472A-AC58-7E168F1C13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5AE883A0</Template>
  <TotalTime>0</TotalTime>
  <Pages>4</Pages>
  <Words>1505</Words>
  <Characters>7665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itt</vt:lpstr>
    </vt:vector>
  </TitlesOfParts>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creator>JAYAWEERA, Saliya</dc:creator>
  <cp:lastModifiedBy>JAYAWEERA, Saliya</cp:lastModifiedBy>
  <cp:revision>2</cp:revision>
  <dcterms:created xsi:type="dcterms:W3CDTF">2015-09-10T11:08:00Z</dcterms:created>
  <dcterms:modified xsi:type="dcterms:W3CDTF">2015-09-10T11:08:00Z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0x0101007F645D6FBA204A029FECB8BFC6578C39005279853530254253B886E13194843F8A003AA4A7828D8545A79A93568021812356007258A0549D2D2D4199CD97C9AD8419D9</vt:lpwstr>
  </property>
  <property fmtid="{D5CDD505-2E9C-101B-9397-08002B2CF9AE}" pid="3" name="_dlc_DocIdItemGuid">
    <vt:lpwstr>dfe6e556-645e-4975-b8e2-aedf314f7b0f</vt:lpwstr>
  </property>
  <property fmtid="{D5CDD505-2E9C-101B-9397-08002B2CF9AE}" pid="4" name="IWPOrganisationalUnit">
    <vt:lpwstr>1;#DfE|cc08a6d4-dfde-4d0f-bd85-069ebcef80d5</vt:lpwstr>
  </property>
  <property fmtid="{D5CDD505-2E9C-101B-9397-08002B2CF9AE}" pid="5" name="IWPOwner">
    <vt:lpwstr>2;#DfE|a484111e-5b24-4ad9-9778-c536c8c88985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3;#Official|0884c477-2e62-47ea-b19c-5af6e91124c5</vt:lpwstr>
  </property>
</Properties>
</file>