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C56F" w14:textId="77777777" w:rsidR="00C03609" w:rsidRDefault="00CC704D" w:rsidP="00CC704D">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6DF1DA35" wp14:editId="724D12D2">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C03609">
        <w:rPr>
          <w:noProof/>
        </w:rPr>
        <w:drawing>
          <wp:anchor distT="0" distB="0" distL="114300" distR="114300" simplePos="0" relativeHeight="251659264" behindDoc="0" locked="0" layoutInCell="1" allowOverlap="1" wp14:anchorId="11D7EDF7" wp14:editId="23D0D0F5">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BC6F317" w14:textId="77777777" w:rsidR="00C03609" w:rsidRDefault="00C03609" w:rsidP="00C03609">
      <w:pPr>
        <w:spacing w:before="240"/>
        <w:jc w:val="center"/>
        <w:rPr>
          <w:b/>
          <w:caps/>
          <w:sz w:val="24"/>
          <w:szCs w:val="24"/>
        </w:rPr>
      </w:pPr>
    </w:p>
    <w:bookmarkEnd w:id="1"/>
    <w:p w14:paraId="5A6882EF" w14:textId="77777777" w:rsidR="00C03609" w:rsidRDefault="00C03609" w:rsidP="00C03609">
      <w:pPr>
        <w:spacing w:before="240"/>
        <w:jc w:val="center"/>
        <w:rPr>
          <w:b/>
          <w:caps/>
          <w:sz w:val="24"/>
          <w:szCs w:val="24"/>
        </w:rPr>
      </w:pPr>
    </w:p>
    <w:p w14:paraId="7673F2E6" w14:textId="77777777" w:rsidR="00C03609" w:rsidRPr="002D0ED3" w:rsidRDefault="00C03609" w:rsidP="00C03609">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593A46DB" w14:textId="77777777" w:rsidR="00C03609" w:rsidRPr="002D0ED3" w:rsidRDefault="00C03609" w:rsidP="00C03609">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2BBD2F94" w14:textId="77777777" w:rsidR="00C03609" w:rsidRPr="002D0ED3" w:rsidRDefault="00C03609" w:rsidP="00C03609">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13D70973" w14:textId="77777777" w:rsidR="00C03609" w:rsidRPr="00A33E00" w:rsidRDefault="00C03609" w:rsidP="00C03609">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3B923B99" w14:textId="77777777" w:rsidR="00C03609" w:rsidRPr="002D0ED3" w:rsidRDefault="00C03609" w:rsidP="00C03609">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7405269C" w14:textId="77777777" w:rsidR="00C03609" w:rsidRPr="002D0ED3" w:rsidRDefault="00C03609" w:rsidP="00C03609">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04A71A33" w14:textId="77777777" w:rsidR="00047490" w:rsidRDefault="00047490">
      <w:pPr>
        <w:overflowPunct/>
        <w:autoSpaceDE/>
        <w:autoSpaceDN/>
        <w:adjustRightInd/>
        <w:textAlignment w:val="auto"/>
        <w:rPr>
          <w:rFonts w:ascii="Arial" w:eastAsia="Arial" w:hAnsi="Arial"/>
          <w:b/>
          <w:sz w:val="36"/>
          <w:szCs w:val="36"/>
        </w:rPr>
      </w:pPr>
      <w:r>
        <w:rPr>
          <w:rFonts w:ascii="Arial" w:eastAsia="Arial" w:hAnsi="Arial"/>
          <w:b/>
          <w:sz w:val="36"/>
          <w:szCs w:val="36"/>
        </w:rPr>
        <w:br w:type="page"/>
      </w:r>
    </w:p>
    <w:p w14:paraId="19A4BCD2" w14:textId="77777777" w:rsidR="00D14A9D" w:rsidRPr="00AC5B0D" w:rsidRDefault="00E467AF">
      <w:pPr>
        <w:keepNext/>
        <w:jc w:val="left"/>
        <w:rPr>
          <w:rFonts w:ascii="Arial" w:eastAsia="Arial" w:hAnsi="Arial"/>
          <w:b/>
          <w:sz w:val="36"/>
          <w:szCs w:val="36"/>
        </w:rPr>
      </w:pPr>
      <w:r w:rsidRPr="00AC5B0D">
        <w:rPr>
          <w:rFonts w:ascii="Arial" w:eastAsia="Arial" w:hAnsi="Arial"/>
          <w:b/>
          <w:sz w:val="36"/>
          <w:szCs w:val="36"/>
        </w:rPr>
        <w:lastRenderedPageBreak/>
        <w:t>Call-Off Schedule 16 (Benchmarking)</w:t>
      </w:r>
    </w:p>
    <w:p w14:paraId="5FEC70CB" w14:textId="77777777" w:rsidR="00D14A9D" w:rsidRPr="00AC5B0D" w:rsidRDefault="00E467AF">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AC5B0D">
        <w:rPr>
          <w:rFonts w:ascii="Arial" w:eastAsia="Arial" w:hAnsi="Arial"/>
          <w:b/>
          <w:smallCaps/>
          <w:color w:val="000000"/>
          <w:sz w:val="24"/>
          <w:szCs w:val="24"/>
        </w:rPr>
        <w:t>DEFINITIONS</w:t>
      </w:r>
    </w:p>
    <w:p w14:paraId="0CB017E8" w14:textId="77777777" w:rsidR="00D14A9D" w:rsidRPr="00AC5B0D" w:rsidRDefault="00E467AF">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sidRPr="00AC5B0D">
        <w:rPr>
          <w:rFonts w:ascii="Arial" w:eastAsia="Arial" w:hAnsi="Arial"/>
          <w:color w:val="000000"/>
          <w:sz w:val="24"/>
          <w:szCs w:val="24"/>
        </w:rPr>
        <w:t>In this Schedule, the following expressions shall have the following meanings:</w:t>
      </w:r>
    </w:p>
    <w:tbl>
      <w:tblPr>
        <w:tblStyle w:val="a1"/>
        <w:tblW w:w="804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5142"/>
      </w:tblGrid>
      <w:tr w:rsidR="00D14A9D" w:rsidRPr="00AC5B0D" w14:paraId="66A3B465" w14:textId="77777777">
        <w:tc>
          <w:tcPr>
            <w:tcW w:w="2900" w:type="dxa"/>
            <w:shd w:val="clear" w:color="auto" w:fill="auto"/>
          </w:tcPr>
          <w:p w14:paraId="5A91D1EE" w14:textId="77777777" w:rsidR="00D14A9D" w:rsidRPr="00AC5B0D" w:rsidRDefault="00E467AF">
            <w:pPr>
              <w:pBdr>
                <w:top w:val="nil"/>
                <w:left w:val="nil"/>
                <w:bottom w:val="nil"/>
                <w:right w:val="nil"/>
                <w:between w:val="nil"/>
              </w:pBdr>
              <w:spacing w:after="120"/>
              <w:ind w:left="-108"/>
              <w:jc w:val="center"/>
              <w:rPr>
                <w:rFonts w:ascii="Arial" w:eastAsia="Arial" w:hAnsi="Arial"/>
                <w:b/>
                <w:sz w:val="24"/>
                <w:szCs w:val="24"/>
              </w:rPr>
            </w:pPr>
            <w:r w:rsidRPr="00AC5B0D">
              <w:rPr>
                <w:rFonts w:ascii="Arial" w:eastAsia="Arial" w:hAnsi="Arial"/>
                <w:b/>
                <w:sz w:val="24"/>
                <w:szCs w:val="24"/>
              </w:rPr>
              <w:t>"Benchmark Review"</w:t>
            </w:r>
          </w:p>
        </w:tc>
        <w:tc>
          <w:tcPr>
            <w:tcW w:w="5142" w:type="dxa"/>
            <w:shd w:val="clear" w:color="auto" w:fill="auto"/>
          </w:tcPr>
          <w:p w14:paraId="272F8F93" w14:textId="77777777" w:rsidR="00D14A9D" w:rsidRPr="00AC5B0D" w:rsidRDefault="00E467AF">
            <w:pPr>
              <w:pBdr>
                <w:top w:val="nil"/>
                <w:left w:val="nil"/>
                <w:bottom w:val="nil"/>
                <w:right w:val="nil"/>
                <w:between w:val="nil"/>
              </w:pBdr>
              <w:tabs>
                <w:tab w:val="left" w:pos="420"/>
              </w:tabs>
              <w:spacing w:after="120"/>
              <w:jc w:val="left"/>
              <w:rPr>
                <w:rFonts w:ascii="Arial" w:eastAsia="Arial" w:hAnsi="Arial"/>
                <w:sz w:val="24"/>
                <w:szCs w:val="24"/>
              </w:rPr>
            </w:pPr>
            <w:r w:rsidRPr="00AC5B0D">
              <w:rPr>
                <w:rFonts w:ascii="Arial" w:eastAsia="Arial" w:hAnsi="Arial"/>
                <w:sz w:val="24"/>
                <w:szCs w:val="24"/>
              </w:rPr>
              <w:t>a review of the Deliverables carried out in accordance with this Schedule to determine whether those Deliverables represent Good Value;</w:t>
            </w:r>
          </w:p>
        </w:tc>
      </w:tr>
      <w:tr w:rsidR="00D14A9D" w:rsidRPr="00AC5B0D" w14:paraId="3299AAA3" w14:textId="77777777">
        <w:tc>
          <w:tcPr>
            <w:tcW w:w="2900" w:type="dxa"/>
            <w:shd w:val="clear" w:color="auto" w:fill="auto"/>
          </w:tcPr>
          <w:p w14:paraId="314C7729" w14:textId="77777777" w:rsidR="00D14A9D" w:rsidRPr="00AC5B0D" w:rsidRDefault="00E467AF">
            <w:pPr>
              <w:pBdr>
                <w:top w:val="nil"/>
                <w:left w:val="nil"/>
                <w:bottom w:val="nil"/>
                <w:right w:val="nil"/>
                <w:between w:val="nil"/>
              </w:pBdr>
              <w:spacing w:after="120"/>
              <w:ind w:left="-108"/>
              <w:jc w:val="center"/>
              <w:rPr>
                <w:rFonts w:ascii="Arial" w:eastAsia="Arial" w:hAnsi="Arial"/>
                <w:b/>
                <w:sz w:val="24"/>
                <w:szCs w:val="24"/>
              </w:rPr>
            </w:pPr>
            <w:r w:rsidRPr="00AC5B0D">
              <w:rPr>
                <w:rFonts w:ascii="Arial" w:eastAsia="Arial" w:hAnsi="Arial"/>
                <w:b/>
                <w:sz w:val="24"/>
                <w:szCs w:val="24"/>
              </w:rPr>
              <w:t>"Benchmarked Deliverables"</w:t>
            </w:r>
          </w:p>
        </w:tc>
        <w:tc>
          <w:tcPr>
            <w:tcW w:w="5142" w:type="dxa"/>
            <w:shd w:val="clear" w:color="auto" w:fill="auto"/>
          </w:tcPr>
          <w:p w14:paraId="5D842C05" w14:textId="77777777" w:rsidR="00D14A9D" w:rsidRPr="00AC5B0D" w:rsidRDefault="00E467AF">
            <w:pPr>
              <w:pBdr>
                <w:top w:val="nil"/>
                <w:left w:val="nil"/>
                <w:bottom w:val="nil"/>
                <w:right w:val="nil"/>
                <w:between w:val="nil"/>
              </w:pBdr>
              <w:tabs>
                <w:tab w:val="left" w:pos="175"/>
              </w:tabs>
              <w:spacing w:after="120"/>
              <w:jc w:val="left"/>
              <w:rPr>
                <w:rFonts w:ascii="Arial" w:eastAsia="Arial" w:hAnsi="Arial"/>
                <w:sz w:val="24"/>
                <w:szCs w:val="24"/>
              </w:rPr>
            </w:pPr>
            <w:r w:rsidRPr="00AC5B0D">
              <w:rPr>
                <w:rFonts w:ascii="Arial" w:eastAsia="Arial" w:hAnsi="Arial"/>
                <w:sz w:val="24"/>
                <w:szCs w:val="24"/>
              </w:rPr>
              <w:t>any Deliverables included within the scope of a Benchmark Review pursuant to this Schedule;</w:t>
            </w:r>
          </w:p>
        </w:tc>
      </w:tr>
      <w:tr w:rsidR="00D14A9D" w:rsidRPr="00AC5B0D" w14:paraId="250820A8" w14:textId="77777777">
        <w:tc>
          <w:tcPr>
            <w:tcW w:w="2900" w:type="dxa"/>
            <w:shd w:val="clear" w:color="auto" w:fill="auto"/>
          </w:tcPr>
          <w:p w14:paraId="4C33FB7E" w14:textId="77777777" w:rsidR="00D14A9D" w:rsidRPr="00AC5B0D" w:rsidRDefault="00E467AF">
            <w:pPr>
              <w:pBdr>
                <w:top w:val="nil"/>
                <w:left w:val="nil"/>
                <w:bottom w:val="nil"/>
                <w:right w:val="nil"/>
                <w:between w:val="nil"/>
              </w:pBdr>
              <w:spacing w:after="120"/>
              <w:ind w:left="-108"/>
              <w:jc w:val="center"/>
              <w:rPr>
                <w:rFonts w:ascii="Arial" w:eastAsia="Arial" w:hAnsi="Arial"/>
                <w:b/>
                <w:sz w:val="24"/>
                <w:szCs w:val="24"/>
              </w:rPr>
            </w:pPr>
            <w:r w:rsidRPr="00AC5B0D">
              <w:rPr>
                <w:rFonts w:ascii="Arial" w:eastAsia="Arial" w:hAnsi="Arial"/>
                <w:b/>
                <w:sz w:val="24"/>
                <w:szCs w:val="24"/>
              </w:rPr>
              <w:t>"Comparable Rates"</w:t>
            </w:r>
          </w:p>
        </w:tc>
        <w:tc>
          <w:tcPr>
            <w:tcW w:w="5142" w:type="dxa"/>
            <w:shd w:val="clear" w:color="auto" w:fill="auto"/>
          </w:tcPr>
          <w:p w14:paraId="0143E72B" w14:textId="77777777" w:rsidR="00D14A9D" w:rsidRPr="00AC5B0D" w:rsidRDefault="00E467AF">
            <w:pPr>
              <w:pBdr>
                <w:top w:val="nil"/>
                <w:left w:val="nil"/>
                <w:bottom w:val="nil"/>
                <w:right w:val="nil"/>
                <w:between w:val="nil"/>
              </w:pBdr>
              <w:tabs>
                <w:tab w:val="left" w:pos="175"/>
              </w:tabs>
              <w:spacing w:after="120"/>
              <w:jc w:val="left"/>
              <w:rPr>
                <w:rFonts w:ascii="Arial" w:eastAsia="Arial" w:hAnsi="Arial"/>
                <w:sz w:val="24"/>
                <w:szCs w:val="24"/>
              </w:rPr>
            </w:pPr>
            <w:r w:rsidRPr="00AC5B0D">
              <w:rPr>
                <w:rFonts w:ascii="Arial" w:eastAsia="Arial" w:hAnsi="Arial"/>
                <w:sz w:val="24"/>
                <w:szCs w:val="24"/>
              </w:rPr>
              <w:t>the Charges for Comparable Deliverables;</w:t>
            </w:r>
          </w:p>
        </w:tc>
      </w:tr>
      <w:tr w:rsidR="00D14A9D" w:rsidRPr="00AC5B0D" w14:paraId="271E8D03" w14:textId="77777777">
        <w:tc>
          <w:tcPr>
            <w:tcW w:w="2900" w:type="dxa"/>
            <w:shd w:val="clear" w:color="auto" w:fill="auto"/>
          </w:tcPr>
          <w:p w14:paraId="43D9A42D" w14:textId="77777777" w:rsidR="00D14A9D" w:rsidRPr="00AC5B0D" w:rsidRDefault="00E467AF">
            <w:pPr>
              <w:pBdr>
                <w:top w:val="nil"/>
                <w:left w:val="nil"/>
                <w:bottom w:val="nil"/>
                <w:right w:val="nil"/>
                <w:between w:val="nil"/>
              </w:pBdr>
              <w:spacing w:after="120"/>
              <w:ind w:left="-108"/>
              <w:jc w:val="center"/>
              <w:rPr>
                <w:rFonts w:ascii="Arial" w:eastAsia="Arial" w:hAnsi="Arial"/>
                <w:b/>
                <w:sz w:val="24"/>
                <w:szCs w:val="24"/>
              </w:rPr>
            </w:pPr>
            <w:r w:rsidRPr="00AC5B0D">
              <w:rPr>
                <w:rFonts w:ascii="Arial" w:eastAsia="Arial" w:hAnsi="Arial"/>
                <w:b/>
                <w:sz w:val="24"/>
                <w:szCs w:val="24"/>
              </w:rPr>
              <w:t>"Comparable Deliverables"</w:t>
            </w:r>
          </w:p>
        </w:tc>
        <w:tc>
          <w:tcPr>
            <w:tcW w:w="5142" w:type="dxa"/>
            <w:shd w:val="clear" w:color="auto" w:fill="auto"/>
          </w:tcPr>
          <w:p w14:paraId="0F7C1AD8" w14:textId="77777777" w:rsidR="00D14A9D" w:rsidRPr="00AC5B0D" w:rsidRDefault="00E467AF">
            <w:pPr>
              <w:pBdr>
                <w:top w:val="nil"/>
                <w:left w:val="nil"/>
                <w:bottom w:val="nil"/>
                <w:right w:val="nil"/>
                <w:between w:val="nil"/>
              </w:pBdr>
              <w:tabs>
                <w:tab w:val="left" w:pos="175"/>
              </w:tabs>
              <w:spacing w:after="120"/>
              <w:jc w:val="left"/>
              <w:rPr>
                <w:rFonts w:ascii="Arial" w:eastAsia="Arial" w:hAnsi="Arial"/>
                <w:sz w:val="24"/>
                <w:szCs w:val="24"/>
              </w:rPr>
            </w:pPr>
            <w:r w:rsidRPr="00AC5B0D">
              <w:rPr>
                <w:rFonts w:ascii="Arial" w:eastAsia="Arial" w:hAnsi="Arial"/>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D14A9D" w:rsidRPr="00AC5B0D" w14:paraId="1862C7DD" w14:textId="77777777">
        <w:tc>
          <w:tcPr>
            <w:tcW w:w="2900" w:type="dxa"/>
            <w:shd w:val="clear" w:color="auto" w:fill="auto"/>
          </w:tcPr>
          <w:p w14:paraId="5A147CF0" w14:textId="77777777" w:rsidR="00D14A9D" w:rsidRPr="00AC5B0D" w:rsidRDefault="00E467AF">
            <w:pPr>
              <w:pBdr>
                <w:top w:val="nil"/>
                <w:left w:val="nil"/>
                <w:bottom w:val="nil"/>
                <w:right w:val="nil"/>
                <w:between w:val="nil"/>
              </w:pBdr>
              <w:spacing w:after="120"/>
              <w:ind w:left="-108"/>
              <w:jc w:val="center"/>
              <w:rPr>
                <w:rFonts w:ascii="Arial" w:eastAsia="Arial" w:hAnsi="Arial"/>
                <w:b/>
                <w:sz w:val="24"/>
                <w:szCs w:val="24"/>
              </w:rPr>
            </w:pPr>
            <w:r w:rsidRPr="00AC5B0D">
              <w:rPr>
                <w:rFonts w:ascii="Arial" w:eastAsia="Arial" w:hAnsi="Arial"/>
                <w:b/>
                <w:sz w:val="24"/>
                <w:szCs w:val="24"/>
              </w:rPr>
              <w:t>"Comparison Group"</w:t>
            </w:r>
          </w:p>
        </w:tc>
        <w:tc>
          <w:tcPr>
            <w:tcW w:w="5142" w:type="dxa"/>
            <w:shd w:val="clear" w:color="auto" w:fill="auto"/>
          </w:tcPr>
          <w:p w14:paraId="5F09DCA6" w14:textId="77777777" w:rsidR="00D14A9D" w:rsidRPr="00AC5B0D" w:rsidRDefault="00E467AF">
            <w:pPr>
              <w:pBdr>
                <w:top w:val="nil"/>
                <w:left w:val="nil"/>
                <w:bottom w:val="nil"/>
                <w:right w:val="nil"/>
                <w:between w:val="nil"/>
              </w:pBdr>
              <w:tabs>
                <w:tab w:val="left" w:pos="175"/>
              </w:tabs>
              <w:spacing w:after="120"/>
              <w:jc w:val="left"/>
              <w:rPr>
                <w:rFonts w:ascii="Arial" w:eastAsia="Arial" w:hAnsi="Arial"/>
                <w:sz w:val="24"/>
                <w:szCs w:val="24"/>
              </w:rPr>
            </w:pPr>
            <w:r w:rsidRPr="00AC5B0D">
              <w:rPr>
                <w:rFonts w:ascii="Arial" w:eastAsia="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D14A9D" w:rsidRPr="00AC5B0D" w14:paraId="5A8B5D91" w14:textId="77777777">
        <w:tc>
          <w:tcPr>
            <w:tcW w:w="2900" w:type="dxa"/>
            <w:shd w:val="clear" w:color="auto" w:fill="auto"/>
          </w:tcPr>
          <w:p w14:paraId="209A30EB" w14:textId="77777777" w:rsidR="00D14A9D" w:rsidRPr="00AC5B0D" w:rsidRDefault="00E467AF">
            <w:pPr>
              <w:pBdr>
                <w:top w:val="nil"/>
                <w:left w:val="nil"/>
                <w:bottom w:val="nil"/>
                <w:right w:val="nil"/>
                <w:between w:val="nil"/>
              </w:pBdr>
              <w:spacing w:after="120"/>
              <w:ind w:left="-108"/>
              <w:jc w:val="center"/>
              <w:rPr>
                <w:rFonts w:ascii="Arial" w:eastAsia="Arial" w:hAnsi="Arial"/>
                <w:b/>
                <w:sz w:val="24"/>
                <w:szCs w:val="24"/>
              </w:rPr>
            </w:pPr>
            <w:r w:rsidRPr="00AC5B0D">
              <w:rPr>
                <w:rFonts w:ascii="Arial" w:eastAsia="Arial" w:hAnsi="Arial"/>
                <w:b/>
                <w:sz w:val="24"/>
                <w:szCs w:val="24"/>
              </w:rPr>
              <w:t>"Equivalent Data"</w:t>
            </w:r>
          </w:p>
        </w:tc>
        <w:tc>
          <w:tcPr>
            <w:tcW w:w="5142" w:type="dxa"/>
            <w:shd w:val="clear" w:color="auto" w:fill="auto"/>
          </w:tcPr>
          <w:p w14:paraId="565373B9" w14:textId="77777777" w:rsidR="00D14A9D" w:rsidRPr="00AC5B0D" w:rsidRDefault="00E467AF">
            <w:pPr>
              <w:pBdr>
                <w:top w:val="nil"/>
                <w:left w:val="nil"/>
                <w:bottom w:val="nil"/>
                <w:right w:val="nil"/>
                <w:between w:val="nil"/>
              </w:pBdr>
              <w:tabs>
                <w:tab w:val="left" w:pos="175"/>
              </w:tabs>
              <w:spacing w:after="120"/>
              <w:jc w:val="left"/>
              <w:rPr>
                <w:rFonts w:ascii="Arial" w:eastAsia="Arial" w:hAnsi="Arial"/>
                <w:sz w:val="24"/>
                <w:szCs w:val="24"/>
              </w:rPr>
            </w:pPr>
            <w:r w:rsidRPr="00AC5B0D">
              <w:rPr>
                <w:rFonts w:ascii="Arial" w:eastAsia="Arial" w:hAnsi="Arial"/>
                <w:sz w:val="24"/>
                <w:szCs w:val="24"/>
              </w:rPr>
              <w:t>data derived from an analysis of the Comparable Rates and/or the Comparable Deliverables (as applicable) provided by the Comparison Group;</w:t>
            </w:r>
          </w:p>
        </w:tc>
      </w:tr>
      <w:tr w:rsidR="00D14A9D" w:rsidRPr="00AC5B0D" w14:paraId="5C26175D" w14:textId="77777777">
        <w:tc>
          <w:tcPr>
            <w:tcW w:w="2900" w:type="dxa"/>
            <w:shd w:val="clear" w:color="auto" w:fill="auto"/>
          </w:tcPr>
          <w:p w14:paraId="2F9169F4" w14:textId="77777777" w:rsidR="00D14A9D" w:rsidRPr="00AC5B0D" w:rsidRDefault="00E467AF">
            <w:pPr>
              <w:pBdr>
                <w:top w:val="nil"/>
                <w:left w:val="nil"/>
                <w:bottom w:val="nil"/>
                <w:right w:val="nil"/>
                <w:between w:val="nil"/>
              </w:pBdr>
              <w:spacing w:after="120"/>
              <w:ind w:left="-108"/>
              <w:jc w:val="center"/>
              <w:rPr>
                <w:rFonts w:ascii="Arial" w:eastAsia="Arial" w:hAnsi="Arial"/>
                <w:b/>
                <w:sz w:val="24"/>
                <w:szCs w:val="24"/>
              </w:rPr>
            </w:pPr>
            <w:r w:rsidRPr="00AC5B0D">
              <w:rPr>
                <w:rFonts w:ascii="Arial" w:eastAsia="Arial" w:hAnsi="Arial"/>
                <w:b/>
                <w:sz w:val="24"/>
                <w:szCs w:val="24"/>
              </w:rPr>
              <w:t>"Good Value"</w:t>
            </w:r>
          </w:p>
        </w:tc>
        <w:tc>
          <w:tcPr>
            <w:tcW w:w="5142" w:type="dxa"/>
            <w:shd w:val="clear" w:color="auto" w:fill="auto"/>
          </w:tcPr>
          <w:p w14:paraId="789A8D27" w14:textId="77777777" w:rsidR="00D14A9D" w:rsidRPr="00AC5B0D" w:rsidRDefault="00E467AF">
            <w:pPr>
              <w:pBdr>
                <w:top w:val="nil"/>
                <w:left w:val="nil"/>
                <w:bottom w:val="nil"/>
                <w:right w:val="nil"/>
                <w:between w:val="nil"/>
              </w:pBdr>
              <w:tabs>
                <w:tab w:val="left" w:pos="175"/>
              </w:tabs>
              <w:spacing w:after="120"/>
              <w:jc w:val="left"/>
              <w:rPr>
                <w:rFonts w:ascii="Arial" w:eastAsia="Arial" w:hAnsi="Arial"/>
                <w:sz w:val="24"/>
                <w:szCs w:val="24"/>
              </w:rPr>
            </w:pPr>
            <w:r w:rsidRPr="00AC5B0D">
              <w:rPr>
                <w:rFonts w:ascii="Arial" w:eastAsia="Arial" w:hAnsi="Arial"/>
                <w:sz w:val="24"/>
                <w:szCs w:val="24"/>
              </w:rPr>
              <w:t>that the Benchmarked Rates are within the Upper Quartile; and</w:t>
            </w:r>
          </w:p>
        </w:tc>
      </w:tr>
      <w:tr w:rsidR="00D14A9D" w:rsidRPr="00AC5B0D" w14:paraId="1BEA4492" w14:textId="77777777">
        <w:tc>
          <w:tcPr>
            <w:tcW w:w="2900" w:type="dxa"/>
            <w:shd w:val="clear" w:color="auto" w:fill="auto"/>
          </w:tcPr>
          <w:p w14:paraId="3C5B30EA" w14:textId="77777777" w:rsidR="00D14A9D" w:rsidRPr="00AC5B0D" w:rsidRDefault="00E467AF">
            <w:pPr>
              <w:pBdr>
                <w:top w:val="nil"/>
                <w:left w:val="nil"/>
                <w:bottom w:val="nil"/>
                <w:right w:val="nil"/>
                <w:between w:val="nil"/>
              </w:pBdr>
              <w:spacing w:after="120"/>
              <w:ind w:left="-108"/>
              <w:jc w:val="center"/>
              <w:rPr>
                <w:rFonts w:ascii="Arial" w:eastAsia="Arial" w:hAnsi="Arial"/>
                <w:b/>
                <w:sz w:val="24"/>
                <w:szCs w:val="24"/>
              </w:rPr>
            </w:pPr>
            <w:r w:rsidRPr="00AC5B0D">
              <w:rPr>
                <w:rFonts w:ascii="Arial" w:eastAsia="Arial" w:hAnsi="Arial"/>
                <w:b/>
                <w:sz w:val="24"/>
                <w:szCs w:val="24"/>
              </w:rPr>
              <w:t>"Upper Quartile"</w:t>
            </w:r>
          </w:p>
        </w:tc>
        <w:tc>
          <w:tcPr>
            <w:tcW w:w="5142" w:type="dxa"/>
            <w:shd w:val="clear" w:color="auto" w:fill="auto"/>
          </w:tcPr>
          <w:p w14:paraId="11704A97" w14:textId="77777777" w:rsidR="00D14A9D" w:rsidRPr="00AC5B0D" w:rsidRDefault="00E467AF">
            <w:pPr>
              <w:pBdr>
                <w:top w:val="nil"/>
                <w:left w:val="nil"/>
                <w:bottom w:val="nil"/>
                <w:right w:val="nil"/>
                <w:between w:val="nil"/>
              </w:pBdr>
              <w:tabs>
                <w:tab w:val="left" w:pos="175"/>
              </w:tabs>
              <w:spacing w:after="120"/>
              <w:jc w:val="left"/>
              <w:rPr>
                <w:rFonts w:ascii="Arial" w:eastAsia="Arial" w:hAnsi="Arial"/>
                <w:sz w:val="24"/>
                <w:szCs w:val="24"/>
              </w:rPr>
            </w:pPr>
            <w:r w:rsidRPr="00AC5B0D">
              <w:rPr>
                <w:rFonts w:ascii="Arial" w:eastAsia="Arial" w:hAnsi="Arial"/>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55553FC" w14:textId="77777777" w:rsidR="00D14A9D" w:rsidRPr="00AC5B0D" w:rsidRDefault="00E467AF">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AC5B0D">
        <w:rPr>
          <w:rFonts w:ascii="Arial" w:eastAsia="Arial Bold" w:hAnsi="Arial"/>
          <w:b/>
          <w:color w:val="000000"/>
          <w:sz w:val="24"/>
          <w:szCs w:val="24"/>
        </w:rPr>
        <w:lastRenderedPageBreak/>
        <w:t>When you should use this Schedule</w:t>
      </w:r>
    </w:p>
    <w:p w14:paraId="35838DD7" w14:textId="77777777" w:rsidR="00D14A9D" w:rsidRPr="00AC5B0D" w:rsidRDefault="00E467AF">
      <w:pPr>
        <w:numPr>
          <w:ilvl w:val="1"/>
          <w:numId w:val="1"/>
        </w:numPr>
        <w:pBdr>
          <w:top w:val="nil"/>
          <w:left w:val="nil"/>
          <w:bottom w:val="nil"/>
          <w:right w:val="nil"/>
          <w:between w:val="nil"/>
        </w:pBdr>
        <w:tabs>
          <w:tab w:val="left" w:pos="1134"/>
        </w:tabs>
        <w:spacing w:before="120" w:after="120"/>
        <w:ind w:hanging="360"/>
        <w:jc w:val="left"/>
        <w:rPr>
          <w:rFonts w:ascii="Arial" w:hAnsi="Arial"/>
          <w:color w:val="000000"/>
          <w:sz w:val="24"/>
          <w:szCs w:val="24"/>
        </w:rPr>
      </w:pPr>
      <w:r w:rsidRPr="00AC5B0D">
        <w:rPr>
          <w:rFonts w:ascii="Arial" w:eastAsia="Arial" w:hAnsi="Arial"/>
          <w:color w:val="000000"/>
          <w:sz w:val="24"/>
          <w:szCs w:val="24"/>
        </w:rPr>
        <w:t xml:space="preserve">The Supplier acknowledges that the Buyer wishes to ensure that the Deliverables, represent value for money to the taxpayer throughout the Contract Period.  </w:t>
      </w:r>
    </w:p>
    <w:p w14:paraId="12E539CA" w14:textId="77777777" w:rsidR="00D14A9D" w:rsidRPr="00AC5B0D" w:rsidRDefault="00E467AF">
      <w:pPr>
        <w:numPr>
          <w:ilvl w:val="1"/>
          <w:numId w:val="1"/>
        </w:numPr>
        <w:pBdr>
          <w:top w:val="nil"/>
          <w:left w:val="nil"/>
          <w:bottom w:val="nil"/>
          <w:right w:val="nil"/>
          <w:between w:val="nil"/>
        </w:pBdr>
        <w:tabs>
          <w:tab w:val="left" w:pos="1134"/>
        </w:tabs>
        <w:spacing w:before="120" w:after="120"/>
        <w:ind w:hanging="360"/>
        <w:jc w:val="left"/>
        <w:rPr>
          <w:rFonts w:ascii="Arial" w:hAnsi="Arial"/>
          <w:color w:val="000000"/>
          <w:sz w:val="24"/>
          <w:szCs w:val="24"/>
        </w:rPr>
      </w:pPr>
      <w:r w:rsidRPr="00AC5B0D">
        <w:rPr>
          <w:rFonts w:ascii="Arial" w:eastAsia="Arial" w:hAnsi="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7EE6B533" w14:textId="77777777" w:rsidR="00D14A9D" w:rsidRPr="00AC5B0D" w:rsidRDefault="00E467AF">
      <w:pPr>
        <w:numPr>
          <w:ilvl w:val="1"/>
          <w:numId w:val="1"/>
        </w:numPr>
        <w:pBdr>
          <w:top w:val="nil"/>
          <w:left w:val="nil"/>
          <w:bottom w:val="nil"/>
          <w:right w:val="nil"/>
          <w:between w:val="nil"/>
        </w:pBdr>
        <w:tabs>
          <w:tab w:val="left" w:pos="1134"/>
        </w:tabs>
        <w:spacing w:before="120" w:after="120"/>
        <w:ind w:hanging="360"/>
        <w:jc w:val="left"/>
        <w:rPr>
          <w:rFonts w:ascii="Arial" w:hAnsi="Arial"/>
          <w:color w:val="000000"/>
          <w:sz w:val="24"/>
          <w:szCs w:val="24"/>
        </w:rPr>
      </w:pPr>
      <w:r w:rsidRPr="00AC5B0D">
        <w:rPr>
          <w:rFonts w:ascii="Arial" w:eastAsia="Arial" w:hAnsi="Arial"/>
          <w:color w:val="000000"/>
          <w:sz w:val="24"/>
          <w:szCs w:val="24"/>
        </w:rPr>
        <w:t>Amounts payable under this Schedule shall not fall with the definition of a Cost.</w:t>
      </w:r>
    </w:p>
    <w:p w14:paraId="73C255EB" w14:textId="77777777" w:rsidR="00D14A9D" w:rsidRPr="00AC5B0D" w:rsidRDefault="00E467AF">
      <w:pPr>
        <w:keepNext/>
        <w:numPr>
          <w:ilvl w:val="0"/>
          <w:numId w:val="1"/>
        </w:numPr>
        <w:pBdr>
          <w:top w:val="nil"/>
          <w:left w:val="nil"/>
          <w:bottom w:val="nil"/>
          <w:right w:val="nil"/>
          <w:between w:val="nil"/>
        </w:pBdr>
        <w:tabs>
          <w:tab w:val="left" w:pos="142"/>
        </w:tabs>
        <w:spacing w:before="120"/>
        <w:jc w:val="left"/>
        <w:rPr>
          <w:rFonts w:ascii="Arial" w:eastAsia="Arial Bold" w:hAnsi="Arial"/>
          <w:b/>
          <w:color w:val="000000"/>
          <w:sz w:val="24"/>
          <w:szCs w:val="24"/>
        </w:rPr>
      </w:pPr>
      <w:r w:rsidRPr="00AC5B0D">
        <w:rPr>
          <w:rFonts w:ascii="Arial" w:eastAsia="Arial Bold" w:hAnsi="Arial"/>
          <w:b/>
          <w:color w:val="000000"/>
          <w:sz w:val="24"/>
          <w:szCs w:val="24"/>
        </w:rPr>
        <w:t>Benchmarking</w:t>
      </w:r>
    </w:p>
    <w:p w14:paraId="016703E6" w14:textId="77777777" w:rsidR="00D14A9D" w:rsidRPr="00AC5B0D" w:rsidRDefault="00E467AF">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sidRPr="00AC5B0D">
        <w:rPr>
          <w:rFonts w:ascii="Arial" w:eastAsia="Arial" w:hAnsi="Arial"/>
          <w:b/>
          <w:color w:val="000000"/>
          <w:sz w:val="24"/>
          <w:szCs w:val="24"/>
        </w:rPr>
        <w:t>How benchmarking works</w:t>
      </w:r>
    </w:p>
    <w:p w14:paraId="680D34D7"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5DB11557"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The Buyer may, by written notice to the Supplier, require a Benchmark Review of any or all of the Deliverables.</w:t>
      </w:r>
    </w:p>
    <w:p w14:paraId="6D8C8BDC"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43DE6E48"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The purpose of a Benchmark Review will be to establish whether the Benchmarked Deliverables are, individually and/or as a whole, Good Value.</w:t>
      </w:r>
    </w:p>
    <w:p w14:paraId="4739A7A2"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The Deliverables that are to be the Benchmarked Deliverables will be identified by the Buyer in writing.</w:t>
      </w:r>
    </w:p>
    <w:p w14:paraId="09E0C5C6"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0F100131"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 xml:space="preserve">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w:t>
      </w:r>
      <w:r w:rsidRPr="00AC5B0D">
        <w:rPr>
          <w:rFonts w:ascii="Arial" w:eastAsia="Arial" w:hAnsi="Arial"/>
          <w:color w:val="000000"/>
          <w:sz w:val="24"/>
          <w:szCs w:val="24"/>
        </w:rPr>
        <w:lastRenderedPageBreak/>
        <w:t>proportions as the Parties agree (acting reasonably). Invoices by the benchmarker shall be raised against the Supplier and the relevant portion shall be reimbursed by the Buyer.</w:t>
      </w:r>
    </w:p>
    <w:p w14:paraId="740A7A7B" w14:textId="77777777" w:rsidR="00D14A9D" w:rsidRPr="00AC5B0D" w:rsidRDefault="00E467AF">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sidRPr="00AC5B0D">
        <w:rPr>
          <w:rFonts w:ascii="Arial" w:eastAsia="Arial" w:hAnsi="Arial"/>
          <w:b/>
          <w:color w:val="000000"/>
          <w:sz w:val="24"/>
          <w:szCs w:val="24"/>
        </w:rPr>
        <w:t>Benchmarking Process</w:t>
      </w:r>
    </w:p>
    <w:p w14:paraId="5109BE0A" w14:textId="77777777" w:rsidR="00D14A9D" w:rsidRPr="00AC5B0D" w:rsidRDefault="00E467AF">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3" w:name="_heading=h.gjdgxs" w:colFirst="0" w:colLast="0"/>
      <w:bookmarkEnd w:id="3"/>
      <w:r w:rsidRPr="00AC5B0D">
        <w:rPr>
          <w:rFonts w:ascii="Arial" w:eastAsia="Arial" w:hAnsi="Arial"/>
          <w:color w:val="000000"/>
          <w:sz w:val="24"/>
          <w:szCs w:val="24"/>
        </w:rPr>
        <w:t>The benchmarker shall produce and send to the Buyer, for Approval, a draft plan for the Benchmark Review which must include:</w:t>
      </w:r>
    </w:p>
    <w:p w14:paraId="7DCC5B1F"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a proposed cost and timetable for the Benchmark Review;</w:t>
      </w:r>
    </w:p>
    <w:p w14:paraId="23D0BE22"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a description of the benchmarking methodology to be used which must demonstrate that the methodology to be used is capable of fulfilling the benchmarking purpose; and</w:t>
      </w:r>
    </w:p>
    <w:p w14:paraId="1A1ADA39"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 xml:space="preserve">a description of how the benchmarker will scope and identify the Comparison Group. </w:t>
      </w:r>
    </w:p>
    <w:p w14:paraId="13327535"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4" w:name="_heading=h.30j0zll" w:colFirst="0" w:colLast="0"/>
      <w:bookmarkEnd w:id="4"/>
      <w:r w:rsidRPr="00AC5B0D">
        <w:rPr>
          <w:rFonts w:ascii="Arial" w:eastAsia="Arial" w:hAnsi="Arial"/>
          <w:color w:val="000000"/>
          <w:sz w:val="24"/>
          <w:szCs w:val="24"/>
        </w:rPr>
        <w:t xml:space="preserve">The benchmarker, acting reasonably, shall be entitled to use any model to determine the achievement of value for money and to carry out the benchmarking. </w:t>
      </w:r>
    </w:p>
    <w:p w14:paraId="11C72416"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5" w:name="_heading=h.1fob9te" w:colFirst="0" w:colLast="0"/>
      <w:bookmarkEnd w:id="5"/>
      <w:r w:rsidRPr="00AC5B0D">
        <w:rPr>
          <w:rFonts w:ascii="Arial" w:eastAsia="Arial" w:hAnsi="Arial"/>
          <w:color w:val="000000"/>
          <w:sz w:val="24"/>
          <w:szCs w:val="24"/>
        </w:rP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1FC00B74"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Once both Parties have approved the draft plan then they will notify the benchmarker.  No Party may unreasonably withhold or delay its Approval of the draft plan.</w:t>
      </w:r>
    </w:p>
    <w:p w14:paraId="2584221B" w14:textId="77777777" w:rsidR="00D14A9D" w:rsidRPr="00AC5B0D" w:rsidRDefault="00E467AF">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Once it has received the Approval of the draft plan, the benchmarker shall:</w:t>
      </w:r>
    </w:p>
    <w:p w14:paraId="591D2BCA"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4F25D73F" w14:textId="77777777" w:rsidR="00D14A9D" w:rsidRPr="00AC5B0D" w:rsidRDefault="00E467AF">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sidRPr="00AC5B0D">
        <w:rPr>
          <w:rFonts w:ascii="Arial" w:eastAsia="Arial" w:hAnsi="Arial"/>
          <w:color w:val="000000"/>
          <w:sz w:val="24"/>
          <w:szCs w:val="24"/>
        </w:rPr>
        <w:t>market intelligence;</w:t>
      </w:r>
    </w:p>
    <w:p w14:paraId="79BF772E" w14:textId="77777777" w:rsidR="00D14A9D" w:rsidRPr="00AC5B0D" w:rsidRDefault="00E467AF">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sidRPr="00AC5B0D">
        <w:rPr>
          <w:rFonts w:ascii="Arial" w:eastAsia="Arial" w:hAnsi="Arial"/>
          <w:color w:val="000000"/>
          <w:sz w:val="24"/>
          <w:szCs w:val="24"/>
        </w:rPr>
        <w:t>the benchmarker’s own data and experience;</w:t>
      </w:r>
    </w:p>
    <w:p w14:paraId="414C241C" w14:textId="77777777" w:rsidR="00D14A9D" w:rsidRPr="00AC5B0D" w:rsidRDefault="00E467AF">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sidRPr="00AC5B0D">
        <w:rPr>
          <w:rFonts w:ascii="Arial" w:eastAsia="Arial" w:hAnsi="Arial"/>
          <w:color w:val="000000"/>
          <w:sz w:val="24"/>
          <w:szCs w:val="24"/>
        </w:rPr>
        <w:t>relevant published information; and</w:t>
      </w:r>
    </w:p>
    <w:p w14:paraId="21121E84" w14:textId="77777777" w:rsidR="00D14A9D" w:rsidRPr="00AC5B0D" w:rsidRDefault="00E467AF">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sidRPr="00AC5B0D">
        <w:rPr>
          <w:rFonts w:ascii="Arial" w:eastAsia="Arial" w:hAnsi="Arial"/>
          <w:color w:val="000000"/>
          <w:sz w:val="24"/>
          <w:szCs w:val="24"/>
        </w:rPr>
        <w:t>pursuant to Paragraph 3.2.6  below, information from other suppliers or purchasers on Comparable Rates;</w:t>
      </w:r>
    </w:p>
    <w:p w14:paraId="4F296759"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by applying the adjustment factors listed in Paragraph 3.2.7 and from an analysis of the Comparable Rates, derive the Equivalent Data;</w:t>
      </w:r>
    </w:p>
    <w:p w14:paraId="026EA06C"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using the Equivalent Data, calculate the Upper Quartile;</w:t>
      </w:r>
    </w:p>
    <w:p w14:paraId="690CEF9A"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lastRenderedPageBreak/>
        <w:t>determine whether or not each Benchmarked Rate is, and/or the Benchmarked Rates as a whole are, Good Value.</w:t>
      </w:r>
    </w:p>
    <w:p w14:paraId="3050D2C5"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6" w:name="_heading=h.3znysh7" w:colFirst="0" w:colLast="0"/>
      <w:bookmarkEnd w:id="6"/>
      <w:r w:rsidRPr="00AC5B0D">
        <w:rPr>
          <w:rFonts w:ascii="Arial" w:eastAsia="Arial" w:hAnsi="Arial"/>
          <w:color w:val="000000"/>
          <w:sz w:val="24"/>
          <w:szCs w:val="24"/>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27B2A8A8" w14:textId="77777777" w:rsidR="00D14A9D" w:rsidRPr="00AC5B0D" w:rsidRDefault="00E467AF">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7" w:name="_heading=h.2et92p0" w:colFirst="0" w:colLast="0"/>
      <w:bookmarkEnd w:id="7"/>
      <w:r w:rsidRPr="00AC5B0D">
        <w:rPr>
          <w:rFonts w:ascii="Arial" w:eastAsia="Arial" w:hAnsi="Arial"/>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14:paraId="0BFD0DC0"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the contractual terms and business environment under which the Comparable Rates are being provided (including the scale and geographical spread of the customers);</w:t>
      </w:r>
    </w:p>
    <w:p w14:paraId="060534A1"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exchange rates;</w:t>
      </w:r>
    </w:p>
    <w:p w14:paraId="10C0A89B"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any other factors reasonably identified by the Supplier, which, if not taken into consideration, could unfairly cause the Supplier's pricing to appear non-competitive.</w:t>
      </w:r>
    </w:p>
    <w:p w14:paraId="4A110AEA" w14:textId="77777777" w:rsidR="00D14A9D" w:rsidRPr="00AC5B0D" w:rsidRDefault="00E467AF">
      <w:pPr>
        <w:keepNext/>
        <w:numPr>
          <w:ilvl w:val="1"/>
          <w:numId w:val="1"/>
        </w:numPr>
        <w:pBdr>
          <w:top w:val="nil"/>
          <w:left w:val="nil"/>
          <w:bottom w:val="nil"/>
          <w:right w:val="nil"/>
          <w:between w:val="nil"/>
        </w:pBdr>
        <w:tabs>
          <w:tab w:val="left" w:pos="1134"/>
        </w:tabs>
        <w:spacing w:before="120" w:after="120"/>
        <w:ind w:left="648" w:hanging="216"/>
        <w:jc w:val="left"/>
        <w:rPr>
          <w:rFonts w:ascii="Arial" w:eastAsia="Arial" w:hAnsi="Arial"/>
          <w:b/>
          <w:color w:val="000000"/>
          <w:sz w:val="24"/>
          <w:szCs w:val="24"/>
        </w:rPr>
      </w:pPr>
      <w:r w:rsidRPr="00AC5B0D">
        <w:rPr>
          <w:rFonts w:ascii="Arial" w:eastAsia="Arial" w:hAnsi="Arial"/>
          <w:b/>
          <w:color w:val="000000"/>
          <w:sz w:val="24"/>
          <w:szCs w:val="24"/>
        </w:rPr>
        <w:t>Benchmarking Report</w:t>
      </w:r>
    </w:p>
    <w:p w14:paraId="0ADC8D3A"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 xml:space="preserve">For the purposes of this Schedule </w:t>
      </w:r>
      <w:r w:rsidRPr="00AC5B0D">
        <w:rPr>
          <w:rFonts w:ascii="Arial" w:eastAsia="Arial" w:hAnsi="Arial"/>
          <w:b/>
          <w:color w:val="000000"/>
          <w:sz w:val="24"/>
          <w:szCs w:val="24"/>
        </w:rPr>
        <w:t>"Benchmarking Report"</w:t>
      </w:r>
      <w:r w:rsidRPr="00AC5B0D">
        <w:rPr>
          <w:rFonts w:ascii="Arial" w:eastAsia="Arial" w:hAnsi="Arial"/>
          <w:color w:val="000000"/>
          <w:sz w:val="24"/>
          <w:szCs w:val="24"/>
        </w:rPr>
        <w:t xml:space="preserve"> shall mean the report produced by the benchmarker following the Benchmark Review and as further described in this Schedule;</w:t>
      </w:r>
    </w:p>
    <w:p w14:paraId="4A2291DB" w14:textId="77777777" w:rsidR="00D14A9D" w:rsidRPr="00AC5B0D" w:rsidRDefault="00E467AF">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The benchmarker shall prepare a Benchmarking Report and deliver it to the Buyer, at the time specified in the plan Approved pursuant to Paragraph 3.2.3, setting out its findings.  Those findings shall be required to:</w:t>
      </w:r>
    </w:p>
    <w:p w14:paraId="2B4269B5"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include a finding as to whether or not a Benchmarked Service and/or whether the Benchmarked Deliverables as a whole are, Good Value;</w:t>
      </w:r>
    </w:p>
    <w:p w14:paraId="2DDE14DB"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if any of the Benchmarked Deliverables are, individually o</w:t>
      </w:r>
      <w:r w:rsidRPr="00AC5B0D">
        <w:rPr>
          <w:rFonts w:ascii="Arial" w:eastAsia="Arial" w:hAnsi="Arial"/>
          <w:sz w:val="24"/>
          <w:szCs w:val="24"/>
        </w:rPr>
        <w:t xml:space="preserve">r </w:t>
      </w:r>
      <w:r w:rsidRPr="00AC5B0D">
        <w:rPr>
          <w:rFonts w:ascii="Arial" w:eastAsia="Arial" w:hAnsi="Arial"/>
          <w:color w:val="000000"/>
          <w:sz w:val="24"/>
          <w:szCs w:val="24"/>
        </w:rPr>
        <w:t xml:space="preserve">as a whole, not Good Value, specify the changes that would be required to make that Benchmarked Service or the Benchmarked Deliverables as a whole Good Value; and </w:t>
      </w:r>
    </w:p>
    <w:p w14:paraId="3BD2CFB4" w14:textId="77777777" w:rsidR="00D14A9D" w:rsidRPr="00AC5B0D" w:rsidRDefault="00E467AF">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AC5B0D">
        <w:rPr>
          <w:rFonts w:ascii="Arial" w:eastAsia="Arial" w:hAnsi="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2177046F" w14:textId="77777777" w:rsidR="00D14A9D" w:rsidRPr="00AC5B0D" w:rsidRDefault="00E467A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8" w:name="_heading=h.tyjcwt" w:colFirst="0" w:colLast="0"/>
      <w:bookmarkEnd w:id="8"/>
      <w:r w:rsidRPr="00AC5B0D">
        <w:rPr>
          <w:rFonts w:ascii="Arial" w:eastAsia="Arial" w:hAnsi="Arial"/>
          <w:color w:val="000000"/>
          <w:sz w:val="24"/>
          <w:szCs w:val="24"/>
        </w:rPr>
        <w:t>The Parties agree that any changes required to this Contract identified in the Benchmarking Report shall be implemented at the direction of the Buyer in accordance with Clause 2</w:t>
      </w:r>
      <w:r w:rsidRPr="00AC5B0D">
        <w:rPr>
          <w:rFonts w:ascii="Arial" w:eastAsia="Arial" w:hAnsi="Arial"/>
          <w:sz w:val="24"/>
          <w:szCs w:val="24"/>
        </w:rPr>
        <w:t>4 of the Core Terms</w:t>
      </w:r>
      <w:r w:rsidRPr="00AC5B0D">
        <w:rPr>
          <w:rFonts w:ascii="Arial" w:eastAsia="Arial" w:hAnsi="Arial"/>
          <w:color w:val="000000"/>
          <w:sz w:val="24"/>
          <w:szCs w:val="24"/>
        </w:rPr>
        <w:t xml:space="preserve"> (Changing the contract).</w:t>
      </w:r>
    </w:p>
    <w:sectPr w:rsidR="00D14A9D" w:rsidRPr="00AC5B0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AEEF8" w14:textId="77777777" w:rsidR="0004699E" w:rsidRDefault="0004699E">
      <w:pPr>
        <w:spacing w:after="0"/>
      </w:pPr>
      <w:r>
        <w:separator/>
      </w:r>
    </w:p>
  </w:endnote>
  <w:endnote w:type="continuationSeparator" w:id="0">
    <w:p w14:paraId="651867BC" w14:textId="77777777" w:rsidR="0004699E" w:rsidRDefault="00046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2084" w14:textId="77777777" w:rsidR="00047490" w:rsidRDefault="0004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1021"/>
      <w:docPartObj>
        <w:docPartGallery w:val="Page Numbers (Bottom of Page)"/>
        <w:docPartUnique/>
      </w:docPartObj>
    </w:sdtPr>
    <w:sdtEndPr/>
    <w:sdtContent>
      <w:sdt>
        <w:sdtPr>
          <w:id w:val="-1769616900"/>
          <w:docPartObj>
            <w:docPartGallery w:val="Page Numbers (Top of Page)"/>
            <w:docPartUnique/>
          </w:docPartObj>
        </w:sdtPr>
        <w:sdtEndPr/>
        <w:sdtContent>
          <w:p w14:paraId="43DD3BBA" w14:textId="77777777" w:rsidR="00047490" w:rsidRDefault="000474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49317A" w14:textId="77777777" w:rsidR="00047490" w:rsidRDefault="00047490" w:rsidP="00047490">
    <w:pPr>
      <w:pBdr>
        <w:top w:val="nil"/>
        <w:left w:val="nil"/>
        <w:bottom w:val="nil"/>
        <w:right w:val="nil"/>
        <w:between w:val="nil"/>
      </w:pBdr>
      <w:tabs>
        <w:tab w:val="center" w:pos="4513"/>
        <w:tab w:val="right" w:pos="9026"/>
      </w:tabs>
      <w:spacing w:after="0"/>
      <w:rPr>
        <w:rFonts w:ascii="Arial" w:eastAsia="Arial" w:hAnsi="Arial"/>
        <w:color w:val="000000"/>
        <w:sz w:val="20"/>
        <w:szCs w:val="20"/>
      </w:rPr>
    </w:pPr>
    <w:bookmarkStart w:id="9" w:name="_Hlk114839142"/>
    <w:bookmarkStart w:id="10" w:name="_Hlk114839143"/>
    <w:bookmarkStart w:id="11" w:name="_Hlk115854819"/>
    <w:bookmarkStart w:id="12" w:name="_Hlk115854820"/>
    <w:bookmarkStart w:id="13" w:name="_Hlk115854823"/>
    <w:bookmarkStart w:id="14" w:name="_Hlk115854824"/>
    <w:bookmarkStart w:id="15" w:name="_Hlk115854973"/>
    <w:bookmarkStart w:id="16" w:name="_Hlk115854974"/>
    <w:bookmarkStart w:id="17" w:name="_Hlk115854979"/>
    <w:bookmarkStart w:id="18" w:name="_Hlk115854980"/>
    <w:bookmarkStart w:id="19" w:name="_Hlk115855441"/>
    <w:bookmarkStart w:id="20" w:name="_Hlk115855442"/>
    <w:bookmarkStart w:id="21" w:name="_Hlk115855632"/>
    <w:bookmarkStart w:id="22" w:name="_Hlk115855633"/>
    <w:bookmarkStart w:id="23" w:name="_Hlk115856000"/>
    <w:bookmarkStart w:id="24" w:name="_Hlk115856001"/>
    <w:bookmarkStart w:id="25" w:name="_Hlk115856177"/>
    <w:bookmarkStart w:id="26" w:name="_Hlk115856178"/>
    <w:bookmarkStart w:id="27" w:name="_Hlk115856528"/>
    <w:bookmarkStart w:id="28" w:name="_Hlk115856529"/>
    <w:bookmarkStart w:id="29" w:name="_Hlk115856798"/>
    <w:bookmarkStart w:id="30" w:name="_Hlk115856799"/>
    <w:bookmarkStart w:id="31" w:name="_Hlk115856929"/>
    <w:bookmarkStart w:id="32" w:name="_Hlk115856930"/>
    <w:bookmarkStart w:id="33" w:name="_Hlk115857133"/>
    <w:bookmarkStart w:id="34" w:name="_Hlk115857134"/>
    <w:r>
      <w:rPr>
        <w:rFonts w:ascii="Arial" w:eastAsia="Arial" w:hAnsi="Arial"/>
        <w:b/>
        <w:color w:val="000000"/>
        <w:sz w:val="20"/>
        <w:szCs w:val="20"/>
      </w:rPr>
      <w:t>Call-Off Schedule 16 (Benchmarking)</w:t>
    </w:r>
  </w:p>
  <w:p w14:paraId="27FBE62B" w14:textId="77777777" w:rsidR="00047490" w:rsidRDefault="00047490" w:rsidP="00047490">
    <w:pPr>
      <w:spacing w:after="0"/>
      <w:rPr>
        <w:rFonts w:ascii="Arial" w:eastAsia="Arial" w:hAnsi="Arial"/>
        <w:sz w:val="20"/>
        <w:szCs w:val="20"/>
      </w:rPr>
    </w:pPr>
    <w:r>
      <w:rPr>
        <w:rFonts w:ascii="Arial" w:eastAsia="Arial" w:hAnsi="Arial"/>
        <w:sz w:val="20"/>
        <w:szCs w:val="20"/>
      </w:rPr>
      <w:t>Ref: RM6232</w:t>
    </w:r>
    <w:r>
      <w:rPr>
        <w:rFonts w:ascii="Arial" w:eastAsia="Arial" w:hAnsi="Arial"/>
        <w:sz w:val="20"/>
        <w:szCs w:val="20"/>
      </w:rPr>
      <w:tab/>
      <w:t xml:space="preserve">                                           </w:t>
    </w:r>
  </w:p>
  <w:p w14:paraId="05B9D917" w14:textId="77777777" w:rsidR="00D14A9D" w:rsidRPr="00047490" w:rsidRDefault="00047490" w:rsidP="00047490">
    <w:pPr>
      <w:spacing w:after="0"/>
      <w:rPr>
        <w:rFonts w:ascii="Arial" w:eastAsia="Arial" w:hAnsi="Arial"/>
        <w:sz w:val="20"/>
        <w:szCs w:val="20"/>
      </w:rPr>
    </w:pPr>
    <w:r>
      <w:rPr>
        <w:rFonts w:ascii="Arial" w:eastAsia="Arial" w:hAnsi="Arial"/>
        <w:color w:val="000000"/>
        <w:sz w:val="20"/>
        <w:szCs w:val="20"/>
      </w:rPr>
      <w:t xml:space="preserve">Crown Copyright </w:t>
    </w:r>
    <w:r>
      <w:rPr>
        <w:rFonts w:ascii="Arial" w:eastAsia="Arial" w:hAnsi="Arial"/>
        <w:sz w:val="20"/>
        <w:szCs w:val="20"/>
      </w:rPr>
      <w:t>2022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1D43" w14:textId="77777777" w:rsidR="00D14A9D" w:rsidRDefault="00E467AF">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14:paraId="00548097" w14:textId="77777777" w:rsidR="00D14A9D" w:rsidRDefault="00E467A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end"/>
    </w:r>
  </w:p>
  <w:p w14:paraId="44D5CE0A" w14:textId="77777777" w:rsidR="00D14A9D" w:rsidRDefault="00E467AF">
    <w:pPr>
      <w:tabs>
        <w:tab w:val="center" w:pos="4513"/>
        <w:tab w:val="right" w:pos="9026"/>
      </w:tabs>
      <w:spacing w:after="0"/>
    </w:pPr>
    <w:r>
      <w:rPr>
        <w:rFonts w:ascii="Arial" w:eastAsia="Arial" w:hAnsi="Arial"/>
        <w:sz w:val="20"/>
        <w:szCs w:val="20"/>
      </w:rPr>
      <w:t>Model Version: v3.0</w:t>
    </w:r>
    <w:r>
      <w:rPr>
        <w:rFonts w:ascii="Arial" w:eastAsia="Arial" w:hAnsi="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A4A65" w14:textId="77777777" w:rsidR="0004699E" w:rsidRDefault="0004699E">
      <w:pPr>
        <w:spacing w:after="0"/>
      </w:pPr>
      <w:r>
        <w:separator/>
      </w:r>
    </w:p>
  </w:footnote>
  <w:footnote w:type="continuationSeparator" w:id="0">
    <w:p w14:paraId="3CFC06A8" w14:textId="77777777" w:rsidR="0004699E" w:rsidRDefault="000469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79A3" w14:textId="77777777" w:rsidR="00047490" w:rsidRDefault="00047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BF09" w14:textId="77777777" w:rsidR="00D14A9D" w:rsidRDefault="00047490" w:rsidP="00047490">
    <w:pPr>
      <w:pBdr>
        <w:top w:val="nil"/>
        <w:left w:val="nil"/>
        <w:bottom w:val="nil"/>
        <w:right w:val="nil"/>
        <w:between w:val="nil"/>
      </w:pBdr>
      <w:tabs>
        <w:tab w:val="center" w:pos="4513"/>
        <w:tab w:val="right" w:pos="9026"/>
      </w:tabs>
      <w:spacing w:after="0"/>
      <w:jc w:val="center"/>
      <w:rPr>
        <w:rFonts w:ascii="Arial" w:eastAsia="Arial" w:hAnsi="Arial"/>
        <w:color w:val="000000"/>
        <w:sz w:val="20"/>
        <w:szCs w:val="20"/>
      </w:rPr>
    </w:pPr>
    <w:r>
      <w:rPr>
        <w:rFonts w:ascii="Arial" w:eastAsia="Arial" w:hAnsi="Arial"/>
        <w:b/>
        <w:color w:val="000000"/>
        <w:sz w:val="20"/>
        <w:szCs w:val="20"/>
      </w:rPr>
      <w:t>OFFICIAL SENSITIVE</w:t>
    </w:r>
  </w:p>
  <w:p w14:paraId="1FE490DE" w14:textId="77777777" w:rsidR="00D14A9D" w:rsidRDefault="00D14A9D">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5711" w14:textId="77777777" w:rsidR="00D14A9D" w:rsidRDefault="00E467AF">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58240" behindDoc="0" locked="0" layoutInCell="1" hidden="0" allowOverlap="1" wp14:anchorId="27695F66" wp14:editId="107D9B1B">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91661"/>
    <w:multiLevelType w:val="multilevel"/>
    <w:tmpl w:val="5B4C025A"/>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A9C7F99"/>
    <w:multiLevelType w:val="multilevel"/>
    <w:tmpl w:val="D6EA4E5A"/>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61403437">
    <w:abstractNumId w:val="0"/>
  </w:num>
  <w:num w:numId="2" w16cid:durableId="1675301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9D"/>
    <w:rsid w:val="0004699E"/>
    <w:rsid w:val="00047490"/>
    <w:rsid w:val="00386186"/>
    <w:rsid w:val="00491FFC"/>
    <w:rsid w:val="007C783B"/>
    <w:rsid w:val="00AC5B0D"/>
    <w:rsid w:val="00B13763"/>
    <w:rsid w:val="00C03609"/>
    <w:rsid w:val="00C42EC0"/>
    <w:rsid w:val="00CC704D"/>
    <w:rsid w:val="00D14A9D"/>
    <w:rsid w:val="00E46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4E6B"/>
  <w15:docId w15:val="{81101180-DED5-4E47-88DC-F6ECD55A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rPr>
      <w:color w:val="000000"/>
      <w:sz w:val="20"/>
      <w:szCs w:val="20"/>
    </w:rPr>
    <w:tblPr>
      <w:tblStyleRowBandSize w:val="1"/>
      <w:tblStyleColBandSize w:val="1"/>
      <w:tblCellMar>
        <w:left w:w="115" w:type="dxa"/>
        <w:right w:w="115" w:type="dxa"/>
      </w:tblCellMar>
    </w:tblPr>
  </w:style>
  <w:style w:type="table" w:customStyle="1" w:styleId="a1">
    <w:basedOn w:val="TableNormal"/>
    <w:pPr>
      <w:spacing w:after="0"/>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qTezk52IXaGMZJ+Z5jVVOKNDayw==">AMUW2mWt1BIRrYUEIgLeN5qU2q+DnJd9q2pi9bdxzaBHXM/xvS2NL7FykhxYsffJ3HcCNo+j1ZJZAuZQU+yjisAvewNS8iNVjfsglzdDD88rYrVnEdu3RxqQqZIm+ek2HL8w0MwMHYg4cSpNb0SNiYbqc8kIWRbOu67dJX2/w6PtcckVI7zAAxOobsNIIIAzaO2YKtGDfXolHMKOYnLlp1tjcTzkDL/8zg==</go:docsCustomData>
</go:gDocsCustomXmlDataStorage>
</file>

<file path=customXml/itemProps1.xml><?xml version="1.0" encoding="utf-8"?>
<ds:datastoreItem xmlns:ds="http://schemas.openxmlformats.org/officeDocument/2006/customXml" ds:itemID="{BB1ED8A0-A7E3-4B71-B07E-9EA3EB460B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A65726-7C42-47E9-90DA-DC6BEC8E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58510-F41D-47A1-BA26-2674DD0FFFF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Nicola Congreve</cp:lastModifiedBy>
  <cp:revision>2</cp:revision>
  <dcterms:created xsi:type="dcterms:W3CDTF">2024-05-09T08:46:00Z</dcterms:created>
  <dcterms:modified xsi:type="dcterms:W3CDTF">2024-05-09T08:46:00Z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0x0101008324F918D5154B40ADCFADD50BD2479E</vt:lpwstr>
  </property>
</Properties>
</file>