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7C4C0E8D" w:rsidR="00FE0B21" w:rsidRDefault="00CA7099" w:rsidP="00FE0B21">
      <w:pPr>
        <w:pStyle w:val="Norma"/>
        <w:rPr>
          <w:rFonts w:cs="Arial"/>
          <w:b/>
          <w:sz w:val="36"/>
          <w:szCs w:val="36"/>
        </w:rPr>
      </w:pPr>
      <w:r>
        <w:rPr>
          <w:rFonts w:cs="Arial"/>
          <w:b/>
          <w:sz w:val="36"/>
          <w:szCs w:val="36"/>
        </w:rPr>
        <w:t>Specification</w:t>
      </w:r>
      <w:r w:rsidR="00FE0B21" w:rsidRPr="00CB7AD6">
        <w:rPr>
          <w:rFonts w:cs="Arial"/>
          <w:b/>
          <w:sz w:val="36"/>
          <w:szCs w:val="36"/>
        </w:rPr>
        <w:t xml:space="preserve"> for </w:t>
      </w:r>
      <w:r w:rsidR="007831D3">
        <w:rPr>
          <w:rFonts w:cs="Arial"/>
          <w:b/>
          <w:sz w:val="36"/>
          <w:szCs w:val="36"/>
        </w:rPr>
        <w:t>analysis to determine the opt</w:t>
      </w:r>
      <w:r w:rsidR="007831D3" w:rsidRPr="007831D3">
        <w:rPr>
          <w:rFonts w:cs="Arial"/>
          <w:b/>
          <w:color w:val="000000" w:themeColor="text1"/>
          <w:sz w:val="36"/>
          <w:szCs w:val="36"/>
        </w:rPr>
        <w:t>imal UK rapid ch</w:t>
      </w:r>
      <w:bookmarkStart w:id="0" w:name="_GoBack"/>
      <w:bookmarkEnd w:id="0"/>
      <w:r w:rsidR="007831D3" w:rsidRPr="007831D3">
        <w:rPr>
          <w:rFonts w:cs="Arial"/>
          <w:b/>
          <w:color w:val="000000" w:themeColor="text1"/>
          <w:sz w:val="36"/>
          <w:szCs w:val="36"/>
        </w:rPr>
        <w:t>arging network for electric vehicles</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3CC1005B"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A558E7">
        <w:rPr>
          <w:rFonts w:cs="Arial"/>
          <w:color w:val="FF0000"/>
          <w:sz w:val="36"/>
          <w:szCs w:val="36"/>
        </w:rPr>
        <w:t>ED/0217</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010DADF7" w:rsidR="00DD15F0" w:rsidRPr="00A558E7" w:rsidRDefault="00DD15F0" w:rsidP="00A558E7">
                            <w:pPr>
                              <w:pStyle w:val="Norma"/>
                              <w:rPr>
                                <w:rFonts w:cs="Arial"/>
                                <w:color w:val="FF0000"/>
                                <w:sz w:val="24"/>
                                <w:szCs w:val="24"/>
                              </w:rPr>
                            </w:pPr>
                            <w:r w:rsidRPr="0000739E">
                              <w:rPr>
                                <w:rFonts w:cs="Arial"/>
                              </w:rPr>
                              <w:t xml:space="preserve">Invitation to Tender </w:t>
                            </w:r>
                            <w:r w:rsidR="00A558E7">
                              <w:rPr>
                                <w:rFonts w:cs="Arial"/>
                                <w:b/>
                                <w:sz w:val="24"/>
                                <w:szCs w:val="24"/>
                              </w:rPr>
                              <w:t>A</w:t>
                            </w:r>
                            <w:r w:rsidR="00A558E7" w:rsidRPr="00A558E7">
                              <w:rPr>
                                <w:rFonts w:cs="Arial"/>
                                <w:b/>
                                <w:sz w:val="24"/>
                                <w:szCs w:val="24"/>
                              </w:rPr>
                              <w:t>nalysis to determine the opt</w:t>
                            </w:r>
                            <w:r w:rsidR="00A558E7" w:rsidRPr="00A558E7">
                              <w:rPr>
                                <w:rFonts w:cs="Arial"/>
                                <w:b/>
                                <w:color w:val="000000" w:themeColor="text1"/>
                                <w:sz w:val="24"/>
                                <w:szCs w:val="24"/>
                              </w:rPr>
                              <w:t>imal UK rapid charging network for electric vehicles</w:t>
                            </w:r>
                          </w:p>
                          <w:p w14:paraId="5EA8763B" w14:textId="0571836A" w:rsidR="00DD15F0" w:rsidRPr="0000739E" w:rsidRDefault="00DD15F0" w:rsidP="00405192">
                            <w:pPr>
                              <w:pStyle w:val="Norma"/>
                              <w:rPr>
                                <w:rFonts w:cs="Arial"/>
                              </w:rPr>
                            </w:pPr>
                            <w:r>
                              <w:rPr>
                                <w:rFonts w:cs="Arial"/>
                              </w:rPr>
                              <w:t xml:space="preserve">Tender Reference Number: </w:t>
                            </w:r>
                            <w:r w:rsidR="00A558E7" w:rsidRPr="00A558E7">
                              <w:rPr>
                                <w:rFonts w:cs="Arial"/>
                                <w:b/>
                              </w:rPr>
                              <w:t>ED/0217</w:t>
                            </w:r>
                          </w:p>
                          <w:p w14:paraId="5EA8763C" w14:textId="0B5859E5" w:rsidR="00DD15F0" w:rsidRDefault="00DD15F0" w:rsidP="00405192">
                            <w:pPr>
                              <w:pStyle w:val="Norma"/>
                              <w:rPr>
                                <w:rFonts w:cs="Arial"/>
                              </w:rPr>
                            </w:pPr>
                            <w:r w:rsidRPr="0000739E">
                              <w:rPr>
                                <w:rFonts w:cs="Arial"/>
                              </w:rPr>
                              <w:t xml:space="preserve">Deadline for Tender </w:t>
                            </w:r>
                            <w:r w:rsidRPr="00C83790">
                              <w:rPr>
                                <w:rFonts w:cs="Arial"/>
                                <w:color w:val="000000" w:themeColor="text1"/>
                              </w:rPr>
                              <w:t>Responses:</w:t>
                            </w:r>
                            <w:r w:rsidRPr="00C83790">
                              <w:rPr>
                                <w:rFonts w:cs="Arial"/>
                                <w:color w:val="000000" w:themeColor="text1"/>
                                <w:sz w:val="24"/>
                                <w:szCs w:val="24"/>
                              </w:rPr>
                              <w:t xml:space="preserve"> </w:t>
                            </w:r>
                            <w:r w:rsidR="00A558E7" w:rsidRPr="00A558E7">
                              <w:rPr>
                                <w:rFonts w:cs="Arial"/>
                                <w:b/>
                                <w:color w:val="000000" w:themeColor="text1"/>
                                <w:sz w:val="24"/>
                                <w:szCs w:val="24"/>
                              </w:rPr>
                              <w:t>12 pm</w:t>
                            </w:r>
                            <w:r w:rsidR="00A558E7">
                              <w:rPr>
                                <w:rFonts w:cs="Arial"/>
                                <w:color w:val="000000" w:themeColor="text1"/>
                                <w:sz w:val="24"/>
                                <w:szCs w:val="24"/>
                              </w:rPr>
                              <w:t xml:space="preserve"> </w:t>
                            </w:r>
                            <w:r w:rsidR="00543B00" w:rsidRPr="00A558E7">
                              <w:rPr>
                                <w:rFonts w:cs="Arial"/>
                                <w:b/>
                                <w:color w:val="000000" w:themeColor="text1"/>
                                <w:sz w:val="24"/>
                                <w:szCs w:val="24"/>
                              </w:rPr>
                              <w:t>1</w:t>
                            </w:r>
                            <w:r w:rsidR="00543B00" w:rsidRPr="00A558E7">
                              <w:rPr>
                                <w:rFonts w:cs="Arial"/>
                                <w:b/>
                                <w:color w:val="000000" w:themeColor="text1"/>
                                <w:sz w:val="24"/>
                                <w:szCs w:val="24"/>
                                <w:vertAlign w:val="superscript"/>
                              </w:rPr>
                              <w:t>st</w:t>
                            </w:r>
                            <w:r w:rsidR="00543B00" w:rsidRPr="00A558E7">
                              <w:rPr>
                                <w:rFonts w:cs="Arial"/>
                                <w:b/>
                                <w:color w:val="000000" w:themeColor="text1"/>
                                <w:sz w:val="24"/>
                                <w:szCs w:val="24"/>
                              </w:rPr>
                              <w:t xml:space="preserve"> March</w:t>
                            </w:r>
                            <w:r w:rsidR="00A558E7" w:rsidRPr="00A558E7">
                              <w:rPr>
                                <w:rFonts w:cs="Arial"/>
                                <w:b/>
                                <w:color w:val="000000" w:themeColor="text1"/>
                                <w:sz w:val="24"/>
                                <w:szCs w:val="24"/>
                              </w:rPr>
                              <w:t xml:space="preserve"> 2017</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010DADF7" w:rsidR="00DD15F0" w:rsidRPr="00A558E7" w:rsidRDefault="00DD15F0" w:rsidP="00A558E7">
                      <w:pPr>
                        <w:pStyle w:val="Norma"/>
                        <w:rPr>
                          <w:rFonts w:cs="Arial"/>
                          <w:color w:val="FF0000"/>
                          <w:sz w:val="24"/>
                          <w:szCs w:val="24"/>
                        </w:rPr>
                      </w:pPr>
                      <w:r w:rsidRPr="0000739E">
                        <w:rPr>
                          <w:rFonts w:cs="Arial"/>
                        </w:rPr>
                        <w:t xml:space="preserve">Invitation to Tender </w:t>
                      </w:r>
                      <w:r w:rsidR="00A558E7">
                        <w:rPr>
                          <w:rFonts w:cs="Arial"/>
                          <w:b/>
                          <w:sz w:val="24"/>
                          <w:szCs w:val="24"/>
                        </w:rPr>
                        <w:t>A</w:t>
                      </w:r>
                      <w:r w:rsidR="00A558E7" w:rsidRPr="00A558E7">
                        <w:rPr>
                          <w:rFonts w:cs="Arial"/>
                          <w:b/>
                          <w:sz w:val="24"/>
                          <w:szCs w:val="24"/>
                        </w:rPr>
                        <w:t>nalysis to determine the opt</w:t>
                      </w:r>
                      <w:r w:rsidR="00A558E7" w:rsidRPr="00A558E7">
                        <w:rPr>
                          <w:rFonts w:cs="Arial"/>
                          <w:b/>
                          <w:color w:val="000000" w:themeColor="text1"/>
                          <w:sz w:val="24"/>
                          <w:szCs w:val="24"/>
                        </w:rPr>
                        <w:t>imal UK rapid charging network for electric vehicles</w:t>
                      </w:r>
                    </w:p>
                    <w:p w14:paraId="5EA8763B" w14:textId="0571836A" w:rsidR="00DD15F0" w:rsidRPr="0000739E" w:rsidRDefault="00DD15F0" w:rsidP="00405192">
                      <w:pPr>
                        <w:pStyle w:val="Norma"/>
                        <w:rPr>
                          <w:rFonts w:cs="Arial"/>
                        </w:rPr>
                      </w:pPr>
                      <w:r>
                        <w:rPr>
                          <w:rFonts w:cs="Arial"/>
                        </w:rPr>
                        <w:t xml:space="preserve">Tender Reference Number: </w:t>
                      </w:r>
                      <w:r w:rsidR="00A558E7" w:rsidRPr="00A558E7">
                        <w:rPr>
                          <w:rFonts w:cs="Arial"/>
                          <w:b/>
                        </w:rPr>
                        <w:t>ED/0217</w:t>
                      </w:r>
                    </w:p>
                    <w:p w14:paraId="5EA8763C" w14:textId="0B5859E5" w:rsidR="00DD15F0" w:rsidRDefault="00DD15F0" w:rsidP="00405192">
                      <w:pPr>
                        <w:pStyle w:val="Norma"/>
                        <w:rPr>
                          <w:rFonts w:cs="Arial"/>
                        </w:rPr>
                      </w:pPr>
                      <w:r w:rsidRPr="0000739E">
                        <w:rPr>
                          <w:rFonts w:cs="Arial"/>
                        </w:rPr>
                        <w:t xml:space="preserve">Deadline for Tender </w:t>
                      </w:r>
                      <w:r w:rsidRPr="00C83790">
                        <w:rPr>
                          <w:rFonts w:cs="Arial"/>
                          <w:color w:val="000000" w:themeColor="text1"/>
                        </w:rPr>
                        <w:t>Responses:</w:t>
                      </w:r>
                      <w:r w:rsidRPr="00C83790">
                        <w:rPr>
                          <w:rFonts w:cs="Arial"/>
                          <w:color w:val="000000" w:themeColor="text1"/>
                          <w:sz w:val="24"/>
                          <w:szCs w:val="24"/>
                        </w:rPr>
                        <w:t xml:space="preserve"> </w:t>
                      </w:r>
                      <w:r w:rsidR="00A558E7" w:rsidRPr="00A558E7">
                        <w:rPr>
                          <w:rFonts w:cs="Arial"/>
                          <w:b/>
                          <w:color w:val="000000" w:themeColor="text1"/>
                          <w:sz w:val="24"/>
                          <w:szCs w:val="24"/>
                        </w:rPr>
                        <w:t>12 pm</w:t>
                      </w:r>
                      <w:r w:rsidR="00A558E7">
                        <w:rPr>
                          <w:rFonts w:cs="Arial"/>
                          <w:color w:val="000000" w:themeColor="text1"/>
                          <w:sz w:val="24"/>
                          <w:szCs w:val="24"/>
                        </w:rPr>
                        <w:t xml:space="preserve"> </w:t>
                      </w:r>
                      <w:r w:rsidR="00543B00" w:rsidRPr="00A558E7">
                        <w:rPr>
                          <w:rFonts w:cs="Arial"/>
                          <w:b/>
                          <w:color w:val="000000" w:themeColor="text1"/>
                          <w:sz w:val="24"/>
                          <w:szCs w:val="24"/>
                        </w:rPr>
                        <w:t>1</w:t>
                      </w:r>
                      <w:r w:rsidR="00543B00" w:rsidRPr="00A558E7">
                        <w:rPr>
                          <w:rFonts w:cs="Arial"/>
                          <w:b/>
                          <w:color w:val="000000" w:themeColor="text1"/>
                          <w:sz w:val="24"/>
                          <w:szCs w:val="24"/>
                          <w:vertAlign w:val="superscript"/>
                        </w:rPr>
                        <w:t>st</w:t>
                      </w:r>
                      <w:r w:rsidR="00543B00" w:rsidRPr="00A558E7">
                        <w:rPr>
                          <w:rFonts w:cs="Arial"/>
                          <w:b/>
                          <w:color w:val="000000" w:themeColor="text1"/>
                          <w:sz w:val="24"/>
                          <w:szCs w:val="24"/>
                        </w:rPr>
                        <w:t xml:space="preserve"> March</w:t>
                      </w:r>
                      <w:r w:rsidR="00A558E7" w:rsidRPr="00A558E7">
                        <w:rPr>
                          <w:rFonts w:cs="Arial"/>
                          <w:b/>
                          <w:color w:val="000000" w:themeColor="text1"/>
                          <w:sz w:val="24"/>
                          <w:szCs w:val="24"/>
                        </w:rPr>
                        <w:t xml:space="preserve"> 2017</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5EA87541" w14:textId="57A48630"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DD521A">
        <w:rPr>
          <w:rFonts w:cs="Arial"/>
          <w:noProof/>
        </w:rPr>
        <w:t>Preamble</w:t>
      </w:r>
      <w:r w:rsidR="0040149D">
        <w:rPr>
          <w:noProof/>
        </w:rPr>
        <w:tab/>
      </w:r>
      <w:r w:rsidR="00F076AC">
        <w:rPr>
          <w:noProof/>
        </w:rPr>
        <w:t>3</w:t>
      </w:r>
    </w:p>
    <w:p w14:paraId="5EA87542" w14:textId="5DBCC6FD"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F076AC">
        <w:rPr>
          <w:noProof/>
        </w:rPr>
        <w:t>3</w:t>
      </w:r>
    </w:p>
    <w:p w14:paraId="5EA87543" w14:textId="2E2AB2CD"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sidR="00F076AC">
        <w:rPr>
          <w:noProof/>
        </w:rPr>
        <w:t>4</w:t>
      </w:r>
    </w:p>
    <w:p w14:paraId="5EA87544" w14:textId="371A229D"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F076AC">
        <w:rPr>
          <w:noProof/>
        </w:rPr>
        <w:t>6</w:t>
      </w:r>
    </w:p>
    <w:p w14:paraId="5EA87545" w14:textId="00AEA719"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sidR="005C757F">
        <w:rPr>
          <w:rFonts w:cs="Arial"/>
          <w:noProof/>
        </w:rPr>
        <w:t xml:space="preserve"> and Timetable</w:t>
      </w:r>
      <w:r>
        <w:rPr>
          <w:noProof/>
        </w:rPr>
        <w:tab/>
      </w:r>
      <w:r w:rsidR="00F076AC">
        <w:rPr>
          <w:noProof/>
        </w:rPr>
        <w:t>7</w:t>
      </w:r>
    </w:p>
    <w:p w14:paraId="5EA87547" w14:textId="474D1730" w:rsidR="0040149D" w:rsidRDefault="005C757F">
      <w:pPr>
        <w:pStyle w:val="TOC1"/>
        <w:rPr>
          <w:rFonts w:asciiTheme="minorHAnsi" w:eastAsiaTheme="minorEastAsia" w:hAnsiTheme="minorHAnsi" w:cstheme="minorBidi"/>
          <w:noProof/>
        </w:rPr>
      </w:pPr>
      <w:r>
        <w:rPr>
          <w:rFonts w:cs="Arial"/>
          <w:noProof/>
        </w:rPr>
        <w:t>6</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Quality Assurance</w:t>
      </w:r>
      <w:r w:rsidR="0040149D">
        <w:rPr>
          <w:noProof/>
        </w:rPr>
        <w:tab/>
      </w:r>
      <w:r w:rsidR="00F076AC">
        <w:rPr>
          <w:noProof/>
        </w:rPr>
        <w:t>8</w:t>
      </w:r>
    </w:p>
    <w:p w14:paraId="5EA87549" w14:textId="737F739D" w:rsidR="0040149D" w:rsidRDefault="005C757F">
      <w:pPr>
        <w:pStyle w:val="TOC1"/>
        <w:rPr>
          <w:rFonts w:asciiTheme="minorHAnsi" w:eastAsiaTheme="minorEastAsia" w:hAnsiTheme="minorHAnsi" w:cstheme="minorBidi"/>
          <w:noProof/>
        </w:rPr>
      </w:pPr>
      <w:r>
        <w:rPr>
          <w:rFonts w:cs="Arial"/>
          <w:noProof/>
        </w:rPr>
        <w:t>7</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Challenges</w:t>
      </w:r>
      <w:r w:rsidR="0040149D">
        <w:rPr>
          <w:noProof/>
        </w:rPr>
        <w:tab/>
      </w:r>
      <w:r w:rsidR="00F076AC">
        <w:rPr>
          <w:noProof/>
        </w:rPr>
        <w:t>9</w:t>
      </w:r>
    </w:p>
    <w:p w14:paraId="5EA8754B" w14:textId="7B8337E8" w:rsidR="0040149D" w:rsidRDefault="005C757F">
      <w:pPr>
        <w:pStyle w:val="TOC1"/>
        <w:rPr>
          <w:rFonts w:asciiTheme="minorHAnsi" w:eastAsiaTheme="minorEastAsia" w:hAnsiTheme="minorHAnsi" w:cstheme="minorBidi"/>
          <w:noProof/>
        </w:rPr>
      </w:pPr>
      <w:r>
        <w:rPr>
          <w:rFonts w:cs="Arial"/>
          <w:noProof/>
        </w:rPr>
        <w:t>8</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F076AC">
        <w:rPr>
          <w:noProof/>
        </w:rPr>
        <w:t>9</w:t>
      </w:r>
    </w:p>
    <w:p w14:paraId="5EA8754C" w14:textId="7404B271" w:rsidR="0040149D" w:rsidRDefault="005C757F">
      <w:pPr>
        <w:pStyle w:val="TOC1"/>
        <w:rPr>
          <w:rFonts w:asciiTheme="minorHAnsi" w:eastAsiaTheme="minorEastAsia" w:hAnsiTheme="minorHAnsi" w:cstheme="minorBidi"/>
          <w:noProof/>
        </w:rPr>
      </w:pPr>
      <w:r>
        <w:rPr>
          <w:rFonts w:cs="Arial"/>
          <w:noProof/>
        </w:rPr>
        <w:t>9</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sidR="0040149D">
        <w:rPr>
          <w:noProof/>
        </w:rPr>
        <w:tab/>
      </w:r>
      <w:r w:rsidR="00F076AC">
        <w:rPr>
          <w:noProof/>
        </w:rPr>
        <w:t>9</w:t>
      </w:r>
    </w:p>
    <w:p w14:paraId="5EA8754D" w14:textId="733EA04B" w:rsidR="0040149D" w:rsidRDefault="0040149D">
      <w:pPr>
        <w:pStyle w:val="TOC1"/>
        <w:rPr>
          <w:rFonts w:asciiTheme="minorHAnsi" w:eastAsiaTheme="minorEastAsia" w:hAnsiTheme="minorHAnsi" w:cstheme="minorBidi"/>
          <w:noProof/>
        </w:rPr>
      </w:pPr>
      <w:r w:rsidRPr="003B33DA">
        <w:rPr>
          <w:rFonts w:cs="Arial"/>
          <w:noProof/>
        </w:rPr>
        <w:t>1</w:t>
      </w:r>
      <w:r w:rsidR="005C757F">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sidR="00F076AC">
        <w:rPr>
          <w:noProof/>
        </w:rPr>
        <w:t>9</w:t>
      </w:r>
    </w:p>
    <w:p w14:paraId="5EA8754E" w14:textId="44985834" w:rsidR="0040149D" w:rsidRDefault="0040149D">
      <w:pPr>
        <w:pStyle w:val="TOC1"/>
        <w:rPr>
          <w:rFonts w:asciiTheme="minorHAnsi" w:eastAsiaTheme="minorEastAsia" w:hAnsiTheme="minorHAnsi" w:cstheme="minorBidi"/>
          <w:noProof/>
        </w:rPr>
      </w:pPr>
      <w:r w:rsidRPr="003B33DA">
        <w:rPr>
          <w:rFonts w:cs="Arial"/>
          <w:noProof/>
        </w:rPr>
        <w:t>1</w:t>
      </w:r>
      <w:r w:rsidR="005C757F">
        <w:rPr>
          <w:rFonts w:cs="Arial"/>
          <w:noProof/>
        </w:rPr>
        <w:t>1</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sidR="00F076AC">
        <w:rPr>
          <w:noProof/>
        </w:rPr>
        <w:t>10</w:t>
      </w:r>
    </w:p>
    <w:p w14:paraId="5EA8754F" w14:textId="237C9F94" w:rsidR="0040149D" w:rsidRDefault="0040149D">
      <w:pPr>
        <w:pStyle w:val="TOC1"/>
        <w:rPr>
          <w:rFonts w:asciiTheme="minorHAnsi" w:eastAsiaTheme="minorEastAsia" w:hAnsiTheme="minorHAnsi" w:cstheme="minorBidi"/>
          <w:noProof/>
        </w:rPr>
      </w:pPr>
      <w:r w:rsidRPr="003B33DA">
        <w:rPr>
          <w:rFonts w:cs="Arial"/>
          <w:noProof/>
        </w:rPr>
        <w:t>1</w:t>
      </w:r>
      <w:r w:rsidR="005C757F">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r>
      <w:r w:rsidR="00F076AC">
        <w:rPr>
          <w:noProof/>
        </w:rPr>
        <w:t>10</w:t>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0AD29420" w:rsidR="00FE1227" w:rsidRDefault="00EB43D8" w:rsidP="008A2F2D">
      <w:pPr>
        <w:pStyle w:val="Heading1"/>
        <w:numPr>
          <w:ilvl w:val="0"/>
          <w:numId w:val="1"/>
        </w:numPr>
        <w:rPr>
          <w:rFonts w:ascii="Arial" w:hAnsi="Arial" w:cs="Arial"/>
          <w:sz w:val="24"/>
          <w:szCs w:val="24"/>
        </w:rPr>
      </w:pPr>
      <w:r w:rsidRPr="002D4038">
        <w:br w:type="page"/>
      </w:r>
      <w:bookmarkStart w:id="3" w:name="SectionTwo"/>
      <w:r w:rsidR="00DD521A">
        <w:rPr>
          <w:rFonts w:ascii="Arial" w:hAnsi="Arial" w:cs="Arial"/>
          <w:sz w:val="24"/>
          <w:szCs w:val="24"/>
        </w:rPr>
        <w:lastRenderedPageBreak/>
        <w:t xml:space="preserve"> Preamble</w:t>
      </w:r>
    </w:p>
    <w:p w14:paraId="2B4F7458" w14:textId="77777777" w:rsidR="00DD521A" w:rsidRDefault="00DD521A" w:rsidP="00DD521A">
      <w:pPr>
        <w:pStyle w:val="Norma"/>
      </w:pPr>
    </w:p>
    <w:p w14:paraId="4F11553E" w14:textId="65F57DDB" w:rsidR="00DD521A" w:rsidRPr="007831D3" w:rsidRDefault="007831D3" w:rsidP="00DD521A">
      <w:pPr>
        <w:pStyle w:val="Norma"/>
        <w:rPr>
          <w:color w:val="000000" w:themeColor="text1"/>
        </w:rPr>
      </w:pPr>
      <w:r w:rsidRPr="007831D3">
        <w:rPr>
          <w:color w:val="000000" w:themeColor="text1"/>
        </w:rPr>
        <w:t>The Committee on Climate Change (CCC) is an independent, statutory body established under the 2008 Climate Change Act. The CCC is tasked with:</w:t>
      </w:r>
    </w:p>
    <w:p w14:paraId="2F1579FC" w14:textId="5CFAF976" w:rsidR="007831D3" w:rsidRPr="007831D3" w:rsidRDefault="007831D3" w:rsidP="008A2F2D">
      <w:pPr>
        <w:pStyle w:val="Norma"/>
        <w:numPr>
          <w:ilvl w:val="0"/>
          <w:numId w:val="4"/>
        </w:numPr>
        <w:rPr>
          <w:color w:val="000000" w:themeColor="text1"/>
        </w:rPr>
      </w:pPr>
      <w:r w:rsidRPr="007831D3">
        <w:rPr>
          <w:color w:val="000000" w:themeColor="text1"/>
        </w:rPr>
        <w:t xml:space="preserve">Providing independent advice to Government on setting and meeting carbon budgets and preparing for Climate change. </w:t>
      </w:r>
    </w:p>
    <w:p w14:paraId="2341117D" w14:textId="1248B849" w:rsidR="007831D3" w:rsidRPr="007831D3" w:rsidRDefault="007831D3" w:rsidP="008A2F2D">
      <w:pPr>
        <w:pStyle w:val="Norma"/>
        <w:numPr>
          <w:ilvl w:val="0"/>
          <w:numId w:val="4"/>
        </w:numPr>
        <w:rPr>
          <w:color w:val="000000" w:themeColor="text1"/>
        </w:rPr>
      </w:pPr>
      <w:r w:rsidRPr="007831D3">
        <w:rPr>
          <w:color w:val="000000" w:themeColor="text1"/>
        </w:rPr>
        <w:t>Monitoring progress in reducing emissions and achieving Carbon Budgets.</w:t>
      </w:r>
    </w:p>
    <w:p w14:paraId="5EA87557" w14:textId="77777777" w:rsidR="00622E6B" w:rsidRPr="00622E6B" w:rsidRDefault="00622E6B" w:rsidP="00622E6B">
      <w:pPr>
        <w:pStyle w:val="Norma"/>
      </w:pPr>
    </w:p>
    <w:p w14:paraId="5EA87558" w14:textId="77777777" w:rsidR="001F4630" w:rsidRDefault="001F4630" w:rsidP="008A2F2D">
      <w:pPr>
        <w:pStyle w:val="Heading1"/>
        <w:numPr>
          <w:ilvl w:val="0"/>
          <w:numId w:val="1"/>
        </w:numPr>
        <w:rPr>
          <w:rFonts w:ascii="Arial" w:hAnsi="Arial" w:cs="Arial"/>
          <w:sz w:val="24"/>
          <w:szCs w:val="24"/>
        </w:rPr>
      </w:pPr>
      <w:bookmarkStart w:id="4" w:name="_Ref357535668"/>
      <w:bookmarkStart w:id="5" w:name="_Toc381969507"/>
      <w:bookmarkStart w:id="6" w:name="_Toc405888456"/>
      <w:r w:rsidRPr="00C4141B">
        <w:rPr>
          <w:rFonts w:ascii="Arial" w:hAnsi="Arial" w:cs="Arial"/>
          <w:sz w:val="24"/>
          <w:szCs w:val="24"/>
        </w:rPr>
        <w:t>Background</w:t>
      </w:r>
      <w:bookmarkEnd w:id="4"/>
      <w:bookmarkEnd w:id="5"/>
      <w:bookmarkEnd w:id="6"/>
    </w:p>
    <w:p w14:paraId="1A3B8E93" w14:textId="77777777" w:rsidR="00DD521A" w:rsidRPr="003E1D06" w:rsidRDefault="00DD521A" w:rsidP="00DD521A">
      <w:pPr>
        <w:pStyle w:val="Norma"/>
        <w:rPr>
          <w:rFonts w:cs="Arial"/>
        </w:rPr>
      </w:pPr>
    </w:p>
    <w:p w14:paraId="3C51127C" w14:textId="32311DD5" w:rsidR="003E1D06" w:rsidRDefault="003E1D06" w:rsidP="003E1D06">
      <w:pPr>
        <w:pStyle w:val="Norma"/>
      </w:pPr>
      <w:r w:rsidRPr="003E1D06">
        <w:t>The CCC’s recommendation</w:t>
      </w:r>
      <w:r>
        <w:t>s on the level of the first five</w:t>
      </w:r>
      <w:r w:rsidRPr="003E1D06">
        <w:t xml:space="preserve"> carbon budgets are based on a set of scenarios demonstrating how the CCC’s trajector</w:t>
      </w:r>
      <w:r w:rsidR="00383D42">
        <w:t>ies</w:t>
      </w:r>
      <w:r w:rsidRPr="003E1D06">
        <w:t xml:space="preserve"> of emissions reductions can be achieved in each sector of the economy, thr</w:t>
      </w:r>
      <w:r w:rsidR="008D35BA">
        <w:t>ough deployment of technologies to reduce greenhouse gas emissions</w:t>
      </w:r>
      <w:r w:rsidRPr="003E1D06">
        <w:t xml:space="preserve">. </w:t>
      </w:r>
      <w:r w:rsidR="008D35BA">
        <w:t xml:space="preserve">The CCC has a statutory duty to advise </w:t>
      </w:r>
      <w:r w:rsidR="00383D42">
        <w:t>the Government</w:t>
      </w:r>
      <w:r w:rsidR="008D35BA">
        <w:t xml:space="preserve"> on the most cost-effective path to decarbonisation</w:t>
      </w:r>
      <w:r w:rsidR="00AF51DC">
        <w:t>, taking account of the range of criteria in the Climate Cha</w:t>
      </w:r>
      <w:r w:rsidR="00124B92">
        <w:t>n</w:t>
      </w:r>
      <w:r w:rsidR="00AF51DC">
        <w:t>ge Act</w:t>
      </w:r>
      <w:r w:rsidR="008D35BA">
        <w:t xml:space="preserve">. </w:t>
      </w:r>
    </w:p>
    <w:p w14:paraId="096F2C30" w14:textId="77777777" w:rsidR="003E1D06" w:rsidRDefault="003E1D06" w:rsidP="001C2002">
      <w:pPr>
        <w:pStyle w:val="Norma"/>
      </w:pPr>
    </w:p>
    <w:p w14:paraId="350182F0" w14:textId="6B5C255C" w:rsidR="003E1D06" w:rsidRDefault="00CD5F6F" w:rsidP="001C2002">
      <w:pPr>
        <w:pStyle w:val="Norma"/>
        <w:rPr>
          <w:rFonts w:cs="Arial"/>
        </w:rPr>
      </w:pPr>
      <w:r>
        <w:rPr>
          <w:rFonts w:cs="Arial"/>
        </w:rPr>
        <w:t xml:space="preserve">The UK is legally bound by the Climate Change Act to reduce its emissions by </w:t>
      </w:r>
      <w:r w:rsidR="00AF51DC">
        <w:rPr>
          <w:rFonts w:cs="Arial"/>
        </w:rPr>
        <w:t xml:space="preserve">at least </w:t>
      </w:r>
      <w:r>
        <w:rPr>
          <w:rFonts w:cs="Arial"/>
        </w:rPr>
        <w:t xml:space="preserve">80% below 1990 levels by 2050. </w:t>
      </w:r>
      <w:r w:rsidR="003E1D06" w:rsidRPr="003E1D06">
        <w:rPr>
          <w:rFonts w:cs="Arial"/>
        </w:rPr>
        <w:t>In some sectors of the economy, such as agriculture and industry, it is more challenging and costly to reduce emissions than in others, such as power.</w:t>
      </w:r>
      <w:r>
        <w:rPr>
          <w:rFonts w:cs="Arial"/>
        </w:rPr>
        <w:t xml:space="preserve"> </w:t>
      </w:r>
      <w:r w:rsidR="00383D42">
        <w:rPr>
          <w:rFonts w:cs="Arial"/>
        </w:rPr>
        <w:t>S</w:t>
      </w:r>
      <w:r w:rsidR="00AF51DC">
        <w:rPr>
          <w:rFonts w:cs="Arial"/>
        </w:rPr>
        <w:t>ome</w:t>
      </w:r>
      <w:r w:rsidR="003E1D06" w:rsidRPr="003E1D06">
        <w:rPr>
          <w:rFonts w:cs="Arial"/>
        </w:rPr>
        <w:t xml:space="preserve"> sectors, </w:t>
      </w:r>
      <w:r w:rsidR="009A186B">
        <w:rPr>
          <w:rFonts w:cs="Arial"/>
        </w:rPr>
        <w:t xml:space="preserve">including transport, </w:t>
      </w:r>
      <w:r>
        <w:rPr>
          <w:rFonts w:cs="Arial"/>
        </w:rPr>
        <w:t>must</w:t>
      </w:r>
      <w:r w:rsidR="003E1D06" w:rsidRPr="003E1D06">
        <w:rPr>
          <w:rFonts w:cs="Arial"/>
        </w:rPr>
        <w:t xml:space="preserve"> reduce emissions by up to 90% to achieve an economy-wide 80% reduction.</w:t>
      </w:r>
      <w:r w:rsidR="003E1D06">
        <w:rPr>
          <w:rFonts w:cs="Arial"/>
        </w:rPr>
        <w:t xml:space="preserve"> This implies that in the </w:t>
      </w:r>
      <w:r w:rsidR="003E1D06" w:rsidRPr="003E1D06">
        <w:rPr>
          <w:rFonts w:cs="Arial"/>
        </w:rPr>
        <w:t>road transport sector the car, van</w:t>
      </w:r>
      <w:r>
        <w:rPr>
          <w:rFonts w:cs="Arial"/>
        </w:rPr>
        <w:t>, bus</w:t>
      </w:r>
      <w:r w:rsidR="003E1D06" w:rsidRPr="003E1D06">
        <w:rPr>
          <w:rFonts w:cs="Arial"/>
        </w:rPr>
        <w:t xml:space="preserve"> and HGV fleets would need to be almost entirely zero or ultra-low carbon by 2050.</w:t>
      </w:r>
    </w:p>
    <w:p w14:paraId="4FDB5039" w14:textId="77777777" w:rsidR="001C2002" w:rsidRPr="003E1D06" w:rsidRDefault="001C2002" w:rsidP="001C2002">
      <w:pPr>
        <w:pStyle w:val="Norma"/>
        <w:rPr>
          <w:rFonts w:cs="Arial"/>
        </w:rPr>
      </w:pPr>
    </w:p>
    <w:p w14:paraId="7844D164" w14:textId="52221E0B" w:rsidR="004127E1" w:rsidRDefault="003E1D06" w:rsidP="00DD521A">
      <w:pPr>
        <w:pStyle w:val="Norma"/>
      </w:pPr>
      <w:r>
        <w:rPr>
          <w:rFonts w:cs="Arial"/>
        </w:rPr>
        <w:t>For its advice on the Fifth Carbon Budget period (2028-2032</w:t>
      </w:r>
      <w:r w:rsidRPr="003E1D06">
        <w:rPr>
          <w:rFonts w:cs="Arial"/>
        </w:rPr>
        <w:t>), the CCC developed a central scenario (the Medium Abatement scenario) for road transport emissions</w:t>
      </w:r>
      <w:r w:rsidR="001C2002">
        <w:rPr>
          <w:rFonts w:cs="Arial"/>
        </w:rPr>
        <w:t>.</w:t>
      </w:r>
      <w:r w:rsidRPr="003E1D06">
        <w:rPr>
          <w:rFonts w:cs="Arial"/>
        </w:rPr>
        <w:t xml:space="preserve"> This scenario is designed to be consistent with the objective of delivering car, van</w:t>
      </w:r>
      <w:r w:rsidR="001C2002">
        <w:rPr>
          <w:rFonts w:cs="Arial"/>
        </w:rPr>
        <w:t>, bus</w:t>
      </w:r>
      <w:r w:rsidRPr="003E1D06">
        <w:rPr>
          <w:rFonts w:cs="Arial"/>
        </w:rPr>
        <w:t xml:space="preserve"> and HGV fleets that are almost entirely zero or ultra-low carbon by 2050.</w:t>
      </w:r>
      <w:r w:rsidR="00006192">
        <w:t xml:space="preserve"> </w:t>
      </w:r>
    </w:p>
    <w:p w14:paraId="47EECDCF" w14:textId="77777777" w:rsidR="004127E1" w:rsidRDefault="004127E1" w:rsidP="00DD521A">
      <w:pPr>
        <w:pStyle w:val="Norma"/>
      </w:pPr>
    </w:p>
    <w:p w14:paraId="415414EC" w14:textId="69D84205" w:rsidR="00DF1DF8" w:rsidRPr="001046F1" w:rsidRDefault="0031424E" w:rsidP="00DD521A">
      <w:pPr>
        <w:pStyle w:val="Norma"/>
        <w:rPr>
          <w:rFonts w:cs="Arial"/>
        </w:rPr>
      </w:pPr>
      <w:r>
        <w:t>Ultra-low emission vehicles (</w:t>
      </w:r>
      <w:r w:rsidR="00006192">
        <w:t>ULEVs</w:t>
      </w:r>
      <w:r>
        <w:t>)</w:t>
      </w:r>
      <w:r w:rsidR="00006192">
        <w:t xml:space="preserve"> are vehicles with zero or near-zero tailpipe emissions which make use of electricity from an increasingly decarbonised power sector. </w:t>
      </w:r>
      <w:r w:rsidR="004127E1">
        <w:t>Two types of ULEV are plug-in hybrid electric vehicles (PHEVs) or battery electric vehicles (BEVs), collectively referred to as electric vehicles (EVs). P</w:t>
      </w:r>
      <w:r>
        <w:t>HEVs</w:t>
      </w:r>
      <w:r w:rsidR="004127E1">
        <w:t xml:space="preserve"> have both an electric motor and an internal combustion engine. They can be recharged using a plug or refuelled using petrol or diesel. B</w:t>
      </w:r>
      <w:r>
        <w:t>EV</w:t>
      </w:r>
      <w:r w:rsidR="004127E1">
        <w:t xml:space="preserve">s only use electric motors and derive all power from battery packs, which are recharged using a plug.  </w:t>
      </w:r>
    </w:p>
    <w:p w14:paraId="2E7BBABD" w14:textId="77777777" w:rsidR="00006192" w:rsidRDefault="00006192" w:rsidP="00DD521A">
      <w:pPr>
        <w:pStyle w:val="Norma"/>
      </w:pPr>
    </w:p>
    <w:p w14:paraId="5BB7BD86" w14:textId="3E489BF8" w:rsidR="00006192" w:rsidRDefault="00AF7979" w:rsidP="00006192">
      <w:pPr>
        <w:pStyle w:val="Norma"/>
      </w:pPr>
      <w:r>
        <w:t>A survey of public attitudes towards electric vehicles by DfT i</w:t>
      </w:r>
      <w:r w:rsidR="00006192" w:rsidRPr="00006192">
        <w:t xml:space="preserve">n 2016 identified </w:t>
      </w:r>
      <w:r w:rsidRPr="00006192">
        <w:t xml:space="preserve">recharging </w:t>
      </w:r>
      <w:r w:rsidR="00006192" w:rsidRPr="00006192">
        <w:t>as the most important factor deterring people from buying an electric car or van.</w:t>
      </w:r>
      <w:r w:rsidR="00124B92">
        <w:t xml:space="preserve"> 45% of driving license holders surveyed reported charging as a deterring factor. These license holders listed concerns about the availability of charging points, including lack of charging points in their area and lack of knowledge of where charging points are.</w:t>
      </w:r>
      <w:r w:rsidR="00006192" w:rsidRPr="00006192">
        <w:t xml:space="preserve"> </w:t>
      </w:r>
    </w:p>
    <w:p w14:paraId="033BAA08" w14:textId="77777777" w:rsidR="00034F5B" w:rsidRDefault="00034F5B" w:rsidP="00006192">
      <w:pPr>
        <w:pStyle w:val="Norma"/>
        <w:sectPr w:rsidR="00034F5B" w:rsidSect="005F738A">
          <w:footerReference w:type="default" r:id="rId12"/>
          <w:headerReference w:type="first" r:id="rId13"/>
          <w:pgSz w:w="11906" w:h="16838"/>
          <w:pgMar w:top="1440" w:right="1440" w:bottom="1440" w:left="1440" w:header="708" w:footer="708" w:gutter="0"/>
          <w:cols w:space="708"/>
          <w:titlePg/>
          <w:docGrid w:linePitch="360"/>
        </w:sectPr>
      </w:pPr>
    </w:p>
    <w:p w14:paraId="69BC4CF0" w14:textId="48FBE98D" w:rsidR="004127E1" w:rsidRDefault="004127E1" w:rsidP="00006192">
      <w:pPr>
        <w:pStyle w:val="Norma"/>
      </w:pPr>
    </w:p>
    <w:p w14:paraId="77E07065" w14:textId="2869AEDB" w:rsidR="004127E1" w:rsidRDefault="0047480A" w:rsidP="00006192">
      <w:pPr>
        <w:pStyle w:val="Norma"/>
      </w:pPr>
      <w:r>
        <w:t>Currently available e</w:t>
      </w:r>
      <w:r w:rsidR="004127E1">
        <w:t xml:space="preserve">lectric vehicle chargers can broadly be classified in </w:t>
      </w:r>
      <w:r w:rsidR="005C757F">
        <w:t>3</w:t>
      </w:r>
      <w:r w:rsidR="00FB3593">
        <w:t xml:space="preserve"> m</w:t>
      </w:r>
      <w:r w:rsidR="004127E1">
        <w:t xml:space="preserve">ain categories: Slow chargers, </w:t>
      </w:r>
      <w:r>
        <w:t xml:space="preserve">Fast chargers and </w:t>
      </w:r>
      <w:r w:rsidR="004127E1">
        <w:t xml:space="preserve">Rapid </w:t>
      </w:r>
      <w:r>
        <w:t>chargers. The naming scheme is indicative of the amount of time it would take each type of charger to charge a vehicle, with rapid chargers delivering the most power in the shortest available time. Cheaper slow chargers tend to be installed in places where cars are likely to be parked for long periods (i.e. home or workplace). Rapid chargers are significantly more expensive</w:t>
      </w:r>
      <w:r w:rsidR="00D8694D">
        <w:t>,</w:t>
      </w:r>
      <w:r>
        <w:t xml:space="preserve"> but offer a valuable decrease in charging time, making driving long distances a practical option. Not all electric vehicles currently on the market can charge using rapid chargers, especially in the case of plug-in hybrids where it is generally accepted that long distances would be driven using the internal </w:t>
      </w:r>
      <w:r>
        <w:lastRenderedPageBreak/>
        <w:t>combustion engine. However, some plug-in hybrids (e.</w:t>
      </w:r>
      <w:r w:rsidR="00D8694D">
        <w:t>g.</w:t>
      </w:r>
      <w:r>
        <w:t xml:space="preserve"> Mitsubishi Outlander) do have rapid charging capability, indicating that this is a desirable feature for some drivers. </w:t>
      </w:r>
    </w:p>
    <w:p w14:paraId="14E507BE" w14:textId="77777777" w:rsidR="00006192" w:rsidRPr="00006192" w:rsidRDefault="00006192" w:rsidP="00006192">
      <w:pPr>
        <w:pStyle w:val="Norma"/>
      </w:pPr>
    </w:p>
    <w:p w14:paraId="130E68EB" w14:textId="77777777" w:rsidR="00034F5B" w:rsidRDefault="00034F5B" w:rsidP="00006192">
      <w:pPr>
        <w:pStyle w:val="Norma"/>
        <w:sectPr w:rsidR="00034F5B" w:rsidSect="00034F5B">
          <w:footerReference w:type="default" r:id="rId14"/>
          <w:type w:val="continuous"/>
          <w:pgSz w:w="11906" w:h="16838"/>
          <w:pgMar w:top="1440" w:right="1440" w:bottom="1440" w:left="1440" w:header="708" w:footer="708" w:gutter="0"/>
          <w:cols w:space="708"/>
          <w:titlePg/>
          <w:docGrid w:linePitch="360"/>
        </w:sectPr>
      </w:pPr>
    </w:p>
    <w:p w14:paraId="4EAACA2F" w14:textId="4BE10876" w:rsidR="006C0D22" w:rsidRDefault="00A702AF" w:rsidP="00006192">
      <w:pPr>
        <w:pStyle w:val="Norma"/>
      </w:pPr>
      <w:r>
        <w:lastRenderedPageBreak/>
        <w:t>A rapid charging network model was developed for the CCC in 2013 by Element Energy. This</w:t>
      </w:r>
      <w:r w:rsidR="00153093">
        <w:t xml:space="preserve"> was based on a model developed for the H2Mobility Phase 1 report.</w:t>
      </w:r>
      <w:r w:rsidR="00124B92" w:rsidRPr="00124B92">
        <w:rPr>
          <w:vertAlign w:val="superscript"/>
        </w:rPr>
        <w:t>1</w:t>
      </w:r>
      <w:r w:rsidR="006C0D22">
        <w:t xml:space="preserve"> </w:t>
      </w:r>
      <w:proofErr w:type="gramStart"/>
      <w:r w:rsidR="006C0D22">
        <w:t>This</w:t>
      </w:r>
      <w:proofErr w:type="gramEnd"/>
      <w:r w:rsidR="006C0D22">
        <w:t xml:space="preserve"> report assessed consumer reactions to hydrogen refuelling and the use of Fuel Cell Electric Vehicles (FCEVs). Local and national refuelling ability was identified as an important influence on consumer perceptions. Hence, a model was built to determine a suitable Hydrogen refuelling station (HRS) network to create accessibility for the maximum number of consumers and provide the best possible return on investment.  </w:t>
      </w:r>
    </w:p>
    <w:p w14:paraId="7A0E678D" w14:textId="77777777" w:rsidR="006C0D22" w:rsidRDefault="006C0D22" w:rsidP="00006192">
      <w:pPr>
        <w:pStyle w:val="Norma"/>
      </w:pPr>
    </w:p>
    <w:p w14:paraId="4ED673D9" w14:textId="284CBD36" w:rsidR="00153093" w:rsidRDefault="00153093" w:rsidP="00006192">
      <w:pPr>
        <w:pStyle w:val="Norma"/>
      </w:pPr>
      <w:r>
        <w:t>The H2Mobility model was a spati</w:t>
      </w:r>
      <w:r w:rsidR="006C0D22">
        <w:t>al and temporal GIS-based model</w:t>
      </w:r>
      <w:r w:rsidR="00A702AF">
        <w:t>, based on a traffic flow analysis</w:t>
      </w:r>
      <w:r w:rsidR="006C0D22">
        <w:t xml:space="preserve">. A key finding from the project was that the optimal roll-out strategy involved placing hydrogen refuelling stations in selected localities and along major roads, to ensure high population coverage and enable principal journeys between population centres. By 2030, the model identified that almost all of the UK population should have a hydrogen refuelling station in their local area, with the majority of the population having access to more than one locally. </w:t>
      </w:r>
    </w:p>
    <w:p w14:paraId="15A785D6" w14:textId="77777777" w:rsidR="006C0D22" w:rsidRDefault="006C0D22" w:rsidP="00006192">
      <w:pPr>
        <w:pStyle w:val="Norma"/>
      </w:pPr>
    </w:p>
    <w:p w14:paraId="23039896" w14:textId="18C14692" w:rsidR="00A702AF" w:rsidRDefault="00A702AF" w:rsidP="00006192">
      <w:pPr>
        <w:pStyle w:val="Norma"/>
      </w:pPr>
      <w:r>
        <w:t xml:space="preserve">The CCC-Element Energy report used </w:t>
      </w:r>
      <w:r w:rsidR="00096888">
        <w:t>a modified version of this</w:t>
      </w:r>
      <w:r>
        <w:t xml:space="preserve"> model to determine the optimal number of rapid chargers across the UK</w:t>
      </w:r>
      <w:r w:rsidR="00096888">
        <w:t>. As t</w:t>
      </w:r>
      <w:r>
        <w:t>he driving range of</w:t>
      </w:r>
      <w:r w:rsidR="004127E1">
        <w:t xml:space="preserve"> battery electric vehicles</w:t>
      </w:r>
      <w:r>
        <w:t xml:space="preserve"> is shorter than for hydrogen vehicles and there is a consumer perception that frequent recharging will be required, the presumed coverage of each refuelling station/rapid charger was reduced</w:t>
      </w:r>
      <w:r w:rsidR="00FB3593">
        <w:t>.</w:t>
      </w:r>
      <w:r w:rsidR="00096888">
        <w:t xml:space="preserve"> </w:t>
      </w:r>
    </w:p>
    <w:p w14:paraId="0864C4BF" w14:textId="77777777" w:rsidR="00A702AF" w:rsidRDefault="00A702AF" w:rsidP="00006192">
      <w:pPr>
        <w:pStyle w:val="Norma"/>
      </w:pPr>
    </w:p>
    <w:p w14:paraId="4332A09E" w14:textId="52ECAA17" w:rsidR="00C03C07" w:rsidRDefault="00A702AF" w:rsidP="00006192">
      <w:pPr>
        <w:pStyle w:val="Norma"/>
      </w:pPr>
      <w:r>
        <w:t>The model identifie</w:t>
      </w:r>
      <w:r w:rsidR="00C03C07">
        <w:t>d</w:t>
      </w:r>
      <w:r w:rsidR="002F03B9">
        <w:t xml:space="preserve"> </w:t>
      </w:r>
      <w:r>
        <w:t xml:space="preserve">that </w:t>
      </w:r>
      <w:r w:rsidRPr="00006192">
        <w:t>20</w:t>
      </w:r>
      <w:r w:rsidR="00DF1DF8">
        <w:t>,</w:t>
      </w:r>
      <w:r w:rsidRPr="00006192">
        <w:t>000 rapid chargers at 2</w:t>
      </w:r>
      <w:r w:rsidR="00DF1DF8">
        <w:t>,</w:t>
      </w:r>
      <w:r w:rsidRPr="00006192">
        <w:t>100 sites would be required across all UK regions by 2030, although the majority of charging would be overnight in off-street parking spaces. This assum</w:t>
      </w:r>
      <w:r w:rsidR="00C03C07">
        <w:t>ed</w:t>
      </w:r>
      <w:r w:rsidRPr="00006192">
        <w:t xml:space="preserve"> that the real world driving range would reach 300km for large cars by 2030. </w:t>
      </w:r>
      <w:r>
        <w:t xml:space="preserve">It is </w:t>
      </w:r>
      <w:r w:rsidR="00DF1DF8">
        <w:t>important</w:t>
      </w:r>
      <w:r>
        <w:t xml:space="preserve"> </w:t>
      </w:r>
      <w:r w:rsidR="00DF1DF8">
        <w:t>to</w:t>
      </w:r>
      <w:r>
        <w:t xml:space="preserve"> note that this number </w:t>
      </w:r>
      <w:r w:rsidR="00DF1DF8">
        <w:t>reflects</w:t>
      </w:r>
      <w:r>
        <w:t xml:space="preserve"> the </w:t>
      </w:r>
      <w:r w:rsidRPr="002F03B9">
        <w:rPr>
          <w:u w:val="single"/>
        </w:rPr>
        <w:t>perceived</w:t>
      </w:r>
      <w:r>
        <w:t xml:space="preserve"> coverage required</w:t>
      </w:r>
      <w:r w:rsidR="00096888">
        <w:t xml:space="preserve"> to overcome range anxiety</w:t>
      </w:r>
      <w:r>
        <w:t xml:space="preserve">, which is almost double the number identified as sufficient </w:t>
      </w:r>
      <w:r w:rsidR="002F03B9">
        <w:t>to provide an effective charging service</w:t>
      </w:r>
      <w:r>
        <w:t>.</w:t>
      </w:r>
    </w:p>
    <w:p w14:paraId="688C2694" w14:textId="77777777" w:rsidR="00C03C07" w:rsidRDefault="00C03C07" w:rsidP="00006192">
      <w:pPr>
        <w:pStyle w:val="Norma"/>
      </w:pPr>
    </w:p>
    <w:p w14:paraId="3166CA28" w14:textId="3E72EBD6" w:rsidR="00006192" w:rsidRDefault="00A702AF" w:rsidP="00006192">
      <w:pPr>
        <w:pStyle w:val="Norma"/>
      </w:pPr>
      <w:r w:rsidRPr="00006192">
        <w:t xml:space="preserve">Zap-Map, a UK-wide map of charging points, lists 958 rapid charging sites with a total of 2142 rapid connectors in November 2016. </w:t>
      </w:r>
    </w:p>
    <w:p w14:paraId="10BB4E6D" w14:textId="77777777" w:rsidR="005C757F" w:rsidRDefault="005C757F" w:rsidP="00006192">
      <w:pPr>
        <w:pStyle w:val="Norma"/>
      </w:pPr>
    </w:p>
    <w:p w14:paraId="130AC0F5" w14:textId="77777777" w:rsidR="00C03C07" w:rsidRDefault="000B2253" w:rsidP="00DD521A">
      <w:pPr>
        <w:pStyle w:val="Norma"/>
      </w:pPr>
      <w:r>
        <w:t>Latest information on driving ranges shows that t</w:t>
      </w:r>
      <w:r w:rsidR="00006192" w:rsidRPr="00006192">
        <w:t>he Tesla Model 3 has a minimum electric range of 346 km (EPA)</w:t>
      </w:r>
      <w:r w:rsidR="00171E5C">
        <w:t xml:space="preserve"> </w:t>
      </w:r>
      <w:r w:rsidR="00006192" w:rsidRPr="00006192">
        <w:t>and the latest Renault Zoe has a range of 400km (NEDC).</w:t>
      </w:r>
      <w:r>
        <w:t xml:space="preserve"> </w:t>
      </w:r>
      <w:r w:rsidR="00171E5C">
        <w:t>Both</w:t>
      </w:r>
      <w:r w:rsidR="00006192" w:rsidRPr="00006192">
        <w:t xml:space="preserve"> of these vehicles </w:t>
      </w:r>
      <w:r w:rsidR="002F03B9">
        <w:t>are likely to</w:t>
      </w:r>
      <w:r w:rsidR="00006192" w:rsidRPr="00006192">
        <w:t xml:space="preserve"> be available in 2017</w:t>
      </w:r>
      <w:r w:rsidR="00171E5C">
        <w:t xml:space="preserve">. The Chevrolet Bolt has a range of 383km (EPA) or 500km (NEDC) and is currently being sold in the US (although is not expected to reach the UK soon). The Hyundai IONIQ and the Nissan Leaf are planned to have an electric range of greater than 300km by 2018. </w:t>
      </w:r>
    </w:p>
    <w:p w14:paraId="612A72FF" w14:textId="77777777" w:rsidR="00034F5B" w:rsidRDefault="00034F5B" w:rsidP="00DD521A">
      <w:pPr>
        <w:pStyle w:val="Norma"/>
        <w:sectPr w:rsidR="00034F5B" w:rsidSect="00034F5B">
          <w:type w:val="continuous"/>
          <w:pgSz w:w="11906" w:h="16838"/>
          <w:pgMar w:top="1440" w:right="1440" w:bottom="1440" w:left="1440" w:header="708" w:footer="708" w:gutter="0"/>
          <w:cols w:space="708"/>
          <w:titlePg/>
          <w:docGrid w:linePitch="360"/>
        </w:sectPr>
      </w:pPr>
    </w:p>
    <w:p w14:paraId="74FCA27B" w14:textId="24D381E2" w:rsidR="00C03C07" w:rsidRDefault="00C03C07" w:rsidP="00DD521A">
      <w:pPr>
        <w:pStyle w:val="Norma"/>
      </w:pPr>
    </w:p>
    <w:p w14:paraId="297E4D83" w14:textId="180A39FB" w:rsidR="00746BB2" w:rsidRDefault="00171E5C" w:rsidP="00DD521A">
      <w:pPr>
        <w:pStyle w:val="Norma"/>
      </w:pPr>
      <w:r>
        <w:t>E</w:t>
      </w:r>
      <w:r w:rsidR="00006192" w:rsidRPr="00006192">
        <w:t>ven with the gap between the test cycle driving range and real world range, it seems that a 300km electric range will be reached significantly before 2030</w:t>
      </w:r>
      <w:r>
        <w:t xml:space="preserve"> for most </w:t>
      </w:r>
      <w:r w:rsidR="0047480A">
        <w:t>cars</w:t>
      </w:r>
      <w:r w:rsidR="00006192" w:rsidRPr="00006192">
        <w:t xml:space="preserve">. </w:t>
      </w:r>
      <w:r w:rsidR="000B2253">
        <w:t xml:space="preserve">As the driving range will </w:t>
      </w:r>
      <w:r w:rsidR="00006192" w:rsidRPr="00006192">
        <w:t xml:space="preserve">impact on the amount and type of charging infrastructure required, </w:t>
      </w:r>
      <w:r w:rsidR="000B2253">
        <w:t>CCC wants to update the Element Energy analysis</w:t>
      </w:r>
      <w:r w:rsidR="00006192" w:rsidRPr="00006192">
        <w:t xml:space="preserve"> to </w:t>
      </w:r>
      <w:r w:rsidR="000B2253">
        <w:t xml:space="preserve">take account of this and other recent developments to </w:t>
      </w:r>
      <w:r w:rsidR="00006192" w:rsidRPr="00006192">
        <w:t xml:space="preserve">ensure </w:t>
      </w:r>
      <w:r w:rsidR="000B2253">
        <w:t>its</w:t>
      </w:r>
      <w:r w:rsidR="00006192" w:rsidRPr="00006192">
        <w:t xml:space="preserve"> recommendations </w:t>
      </w:r>
      <w:r w:rsidR="00BC6CB3">
        <w:t xml:space="preserve">and assessments of progress </w:t>
      </w:r>
      <w:r w:rsidR="00006192" w:rsidRPr="00006192">
        <w:t>are based on the latest available data.</w:t>
      </w:r>
    </w:p>
    <w:p w14:paraId="5EA87559" w14:textId="77777777" w:rsidR="009C2990" w:rsidRPr="007831D3" w:rsidRDefault="009C2990" w:rsidP="009C2990">
      <w:pPr>
        <w:pStyle w:val="Norma"/>
        <w:rPr>
          <w:color w:val="000000" w:themeColor="text1"/>
        </w:rPr>
      </w:pPr>
    </w:p>
    <w:p w14:paraId="5EA8755A" w14:textId="77777777" w:rsidR="00FE1227" w:rsidRDefault="00016416" w:rsidP="008A2F2D">
      <w:pPr>
        <w:pStyle w:val="Heading1"/>
        <w:numPr>
          <w:ilvl w:val="0"/>
          <w:numId w:val="1"/>
        </w:numPr>
        <w:jc w:val="both"/>
        <w:rPr>
          <w:rFonts w:ascii="Arial" w:hAnsi="Arial" w:cs="Arial"/>
          <w:sz w:val="24"/>
          <w:szCs w:val="24"/>
        </w:rPr>
      </w:pPr>
      <w:bookmarkStart w:id="7" w:name="_Ref357535689"/>
      <w:bookmarkStart w:id="8" w:name="_Toc381969508"/>
      <w:bookmarkStart w:id="9" w:name="_Toc405888457"/>
      <w:r w:rsidRPr="007963DA">
        <w:rPr>
          <w:rFonts w:ascii="Arial" w:hAnsi="Arial" w:cs="Arial"/>
          <w:sz w:val="24"/>
          <w:szCs w:val="24"/>
        </w:rPr>
        <w:t>Aims and Objectives</w:t>
      </w:r>
      <w:bookmarkEnd w:id="7"/>
      <w:bookmarkEnd w:id="8"/>
      <w:bookmarkEnd w:id="9"/>
    </w:p>
    <w:p w14:paraId="19343453" w14:textId="77777777" w:rsidR="00DD521A" w:rsidRDefault="00DD521A" w:rsidP="00DD521A">
      <w:pPr>
        <w:pStyle w:val="Norma"/>
      </w:pPr>
    </w:p>
    <w:p w14:paraId="426F0AA0" w14:textId="2A5B2E9C" w:rsidR="00034F5B" w:rsidRDefault="00682A0B" w:rsidP="00DD521A">
      <w:pPr>
        <w:pStyle w:val="Norma"/>
        <w:sectPr w:rsidR="00034F5B" w:rsidSect="00034F5B">
          <w:footerReference w:type="default" r:id="rId15"/>
          <w:type w:val="continuous"/>
          <w:pgSz w:w="11906" w:h="16838"/>
          <w:pgMar w:top="1440" w:right="1440" w:bottom="1440" w:left="1440" w:header="708" w:footer="708" w:gutter="0"/>
          <w:cols w:space="708"/>
          <w:titlePg/>
          <w:docGrid w:linePitch="360"/>
        </w:sectPr>
      </w:pPr>
      <w:r>
        <w:t xml:space="preserve">The </w:t>
      </w:r>
      <w:r w:rsidR="00FC28E5">
        <w:t xml:space="preserve">aim of the current project is to update analysis of the infrastructure needed to support </w:t>
      </w:r>
      <w:r w:rsidR="00FC28E5">
        <w:lastRenderedPageBreak/>
        <w:t>the uptake of electric vehicles to 2030</w:t>
      </w:r>
      <w:r w:rsidR="009B7ECD">
        <w:t xml:space="preserve"> and to consider progress towards that requirement</w:t>
      </w:r>
      <w:r w:rsidR="00FC28E5">
        <w:t>. The key questions are</w:t>
      </w:r>
      <w:r>
        <w:t xml:space="preserve">. </w:t>
      </w:r>
    </w:p>
    <w:p w14:paraId="095F9D13" w14:textId="348A8DCF" w:rsidR="00682A0B" w:rsidRDefault="00682A0B" w:rsidP="00DD521A">
      <w:pPr>
        <w:pStyle w:val="Norma"/>
      </w:pPr>
    </w:p>
    <w:p w14:paraId="224593C0" w14:textId="39C961EA" w:rsidR="00300FD6" w:rsidRDefault="00300FD6" w:rsidP="00300FD6">
      <w:pPr>
        <w:numPr>
          <w:ilvl w:val="0"/>
          <w:numId w:val="5"/>
        </w:numPr>
        <w:spacing w:before="240" w:after="120" w:line="276" w:lineRule="auto"/>
        <w:rPr>
          <w:rFonts w:ascii="Arial" w:hAnsi="Arial" w:cs="Arial"/>
          <w:sz w:val="22"/>
          <w:szCs w:val="22"/>
        </w:rPr>
      </w:pPr>
      <w:r>
        <w:rPr>
          <w:rFonts w:ascii="Arial" w:hAnsi="Arial" w:cs="Arial"/>
          <w:sz w:val="22"/>
          <w:szCs w:val="22"/>
        </w:rPr>
        <w:t xml:space="preserve">What is the latest evidence on potential EV buyers’ </w:t>
      </w:r>
      <w:r w:rsidRPr="00682A0B">
        <w:rPr>
          <w:rFonts w:ascii="Arial" w:hAnsi="Arial" w:cs="Arial"/>
          <w:sz w:val="22"/>
          <w:szCs w:val="22"/>
        </w:rPr>
        <w:t xml:space="preserve">range anxiety concerns </w:t>
      </w:r>
      <w:r>
        <w:rPr>
          <w:rFonts w:ascii="Arial" w:hAnsi="Arial" w:cs="Arial"/>
          <w:sz w:val="22"/>
          <w:szCs w:val="22"/>
        </w:rPr>
        <w:t xml:space="preserve">and how does this </w:t>
      </w:r>
      <w:r w:rsidRPr="00682A0B">
        <w:rPr>
          <w:rFonts w:ascii="Arial" w:hAnsi="Arial" w:cs="Arial"/>
          <w:sz w:val="22"/>
          <w:szCs w:val="22"/>
        </w:rPr>
        <w:t xml:space="preserve">compare with those underlying the EV model? </w:t>
      </w:r>
    </w:p>
    <w:p w14:paraId="313E4FA7" w14:textId="636E0E55" w:rsidR="00682A0B" w:rsidRPr="00682A0B" w:rsidRDefault="00171E5C" w:rsidP="008A2F2D">
      <w:pPr>
        <w:numPr>
          <w:ilvl w:val="0"/>
          <w:numId w:val="5"/>
        </w:numPr>
        <w:spacing w:before="240" w:after="120" w:line="276" w:lineRule="auto"/>
        <w:rPr>
          <w:rFonts w:ascii="Arial" w:hAnsi="Arial" w:cs="Arial"/>
          <w:sz w:val="22"/>
          <w:szCs w:val="22"/>
        </w:rPr>
      </w:pPr>
      <w:r>
        <w:rPr>
          <w:rFonts w:ascii="Arial" w:hAnsi="Arial" w:cs="Arial"/>
          <w:sz w:val="22"/>
          <w:szCs w:val="22"/>
        </w:rPr>
        <w:t>How many rapid chargers are required</w:t>
      </w:r>
      <w:r w:rsidR="00682A0B" w:rsidRPr="00682A0B">
        <w:rPr>
          <w:rFonts w:ascii="Arial" w:hAnsi="Arial" w:cs="Arial"/>
          <w:sz w:val="22"/>
          <w:szCs w:val="22"/>
        </w:rPr>
        <w:t xml:space="preserve"> to overcome range anxiety given the latest evidence on</w:t>
      </w:r>
      <w:r w:rsidR="00300FD6">
        <w:rPr>
          <w:rFonts w:ascii="Arial" w:hAnsi="Arial" w:cs="Arial"/>
          <w:sz w:val="22"/>
          <w:szCs w:val="22"/>
        </w:rPr>
        <w:t xml:space="preserve"> range anxiety and</w:t>
      </w:r>
      <w:r w:rsidR="00682A0B" w:rsidRPr="00682A0B">
        <w:rPr>
          <w:rFonts w:ascii="Arial" w:hAnsi="Arial" w:cs="Arial"/>
          <w:sz w:val="22"/>
          <w:szCs w:val="22"/>
        </w:rPr>
        <w:t xml:space="preserve"> </w:t>
      </w:r>
      <w:r w:rsidR="00300FD6">
        <w:rPr>
          <w:rFonts w:ascii="Arial" w:hAnsi="Arial" w:cs="Arial"/>
          <w:sz w:val="22"/>
          <w:szCs w:val="22"/>
        </w:rPr>
        <w:t xml:space="preserve">expected </w:t>
      </w:r>
      <w:r w:rsidR="00682A0B" w:rsidRPr="00682A0B">
        <w:rPr>
          <w:rFonts w:ascii="Arial" w:hAnsi="Arial" w:cs="Arial"/>
          <w:sz w:val="22"/>
          <w:szCs w:val="22"/>
        </w:rPr>
        <w:t>range of EVs</w:t>
      </w:r>
      <w:r w:rsidR="007524CC">
        <w:rPr>
          <w:rFonts w:ascii="Arial" w:hAnsi="Arial" w:cs="Arial"/>
          <w:sz w:val="22"/>
          <w:szCs w:val="22"/>
        </w:rPr>
        <w:t xml:space="preserve"> in 2020, 2025 and 2030</w:t>
      </w:r>
      <w:r w:rsidR="00682A0B" w:rsidRPr="00682A0B">
        <w:rPr>
          <w:rFonts w:ascii="Arial" w:hAnsi="Arial" w:cs="Arial"/>
          <w:sz w:val="22"/>
          <w:szCs w:val="22"/>
        </w:rPr>
        <w:t>?</w:t>
      </w:r>
      <w:r w:rsidR="00682A0B">
        <w:rPr>
          <w:rFonts w:ascii="Arial" w:hAnsi="Arial" w:cs="Arial"/>
          <w:sz w:val="22"/>
          <w:szCs w:val="22"/>
        </w:rPr>
        <w:t xml:space="preserve"> </w:t>
      </w:r>
      <w:r>
        <w:rPr>
          <w:rFonts w:ascii="Arial" w:hAnsi="Arial" w:cs="Arial"/>
          <w:sz w:val="22"/>
          <w:szCs w:val="22"/>
        </w:rPr>
        <w:t>Where should the rapid chargers be located?</w:t>
      </w:r>
    </w:p>
    <w:p w14:paraId="3E829289" w14:textId="5C46177C" w:rsidR="00682A0B" w:rsidRDefault="00682A0B" w:rsidP="008A2F2D">
      <w:pPr>
        <w:numPr>
          <w:ilvl w:val="0"/>
          <w:numId w:val="5"/>
        </w:numPr>
        <w:spacing w:before="240" w:after="120" w:line="276" w:lineRule="auto"/>
        <w:rPr>
          <w:rFonts w:ascii="Arial" w:hAnsi="Arial" w:cs="Arial"/>
          <w:sz w:val="22"/>
          <w:szCs w:val="22"/>
        </w:rPr>
      </w:pPr>
      <w:r w:rsidRPr="00682A0B">
        <w:rPr>
          <w:rFonts w:ascii="Arial" w:hAnsi="Arial" w:cs="Arial"/>
          <w:sz w:val="22"/>
          <w:szCs w:val="22"/>
        </w:rPr>
        <w:t xml:space="preserve">How </w:t>
      </w:r>
      <w:r w:rsidR="007524CC">
        <w:rPr>
          <w:rFonts w:ascii="Arial" w:hAnsi="Arial" w:cs="Arial"/>
          <w:sz w:val="22"/>
          <w:szCs w:val="22"/>
        </w:rPr>
        <w:t xml:space="preserve">does the current number of rapid chargers in 2017 compare </w:t>
      </w:r>
      <w:r w:rsidR="00545B02">
        <w:rPr>
          <w:rFonts w:ascii="Arial" w:hAnsi="Arial" w:cs="Arial"/>
          <w:sz w:val="22"/>
          <w:szCs w:val="22"/>
        </w:rPr>
        <w:t>with</w:t>
      </w:r>
      <w:r w:rsidR="007524CC">
        <w:rPr>
          <w:rFonts w:ascii="Arial" w:hAnsi="Arial" w:cs="Arial"/>
          <w:sz w:val="22"/>
          <w:szCs w:val="22"/>
        </w:rPr>
        <w:t xml:space="preserve"> the number of rapid chargers required in 2020, 2025 and 2030?</w:t>
      </w:r>
      <w:r w:rsidR="005801D4">
        <w:rPr>
          <w:rFonts w:ascii="Arial" w:hAnsi="Arial" w:cs="Arial"/>
          <w:sz w:val="22"/>
          <w:szCs w:val="22"/>
        </w:rPr>
        <w:t xml:space="preserve"> Are the locations of rapid chargers currently installed </w:t>
      </w:r>
      <w:r w:rsidR="00456C73">
        <w:rPr>
          <w:rFonts w:ascii="Arial" w:hAnsi="Arial" w:cs="Arial"/>
          <w:sz w:val="22"/>
          <w:szCs w:val="22"/>
        </w:rPr>
        <w:t>representative of</w:t>
      </w:r>
      <w:r w:rsidR="005801D4">
        <w:rPr>
          <w:rFonts w:ascii="Arial" w:hAnsi="Arial" w:cs="Arial"/>
          <w:sz w:val="22"/>
          <w:szCs w:val="22"/>
        </w:rPr>
        <w:t xml:space="preserve"> the locations that will be required in 2020, 2025 and 2030 (i.e. are there areas of the country that are not attracting sufficient investment)?</w:t>
      </w:r>
    </w:p>
    <w:p w14:paraId="78B59089" w14:textId="7DBE12A4" w:rsidR="00746BB2" w:rsidRPr="00746BB2" w:rsidRDefault="00746BB2" w:rsidP="00746BB2">
      <w:pPr>
        <w:pStyle w:val="Norma"/>
        <w:numPr>
          <w:ilvl w:val="0"/>
          <w:numId w:val="5"/>
        </w:numPr>
      </w:pPr>
      <w:r>
        <w:t xml:space="preserve">Vans have different trip patterns and payloads to cars. An optimal rapid charging network </w:t>
      </w:r>
      <w:r w:rsidR="00300FD6">
        <w:t>would</w:t>
      </w:r>
      <w:r>
        <w:t xml:space="preserve"> increase the share of fleet managers (of both car and van fleets) that consider a battery electric vehicle to meet their operational requirements. How does an optimal network for vans compare to an optimal network for cars in 2020, 2025 and 2030?</w:t>
      </w:r>
    </w:p>
    <w:p w14:paraId="323C5595" w14:textId="21A36FFE" w:rsidR="00682A0B" w:rsidRPr="00171E5C" w:rsidRDefault="00682A0B" w:rsidP="008A2F2D">
      <w:pPr>
        <w:numPr>
          <w:ilvl w:val="0"/>
          <w:numId w:val="5"/>
        </w:numPr>
        <w:spacing w:before="240" w:after="120" w:line="276" w:lineRule="auto"/>
        <w:rPr>
          <w:rFonts w:ascii="Arial" w:hAnsi="Arial" w:cs="Arial"/>
          <w:sz w:val="22"/>
          <w:szCs w:val="22"/>
        </w:rPr>
      </w:pPr>
      <w:r w:rsidRPr="00682A0B">
        <w:rPr>
          <w:rFonts w:ascii="Arial" w:hAnsi="Arial" w:cs="Arial"/>
          <w:sz w:val="22"/>
          <w:szCs w:val="22"/>
        </w:rPr>
        <w:t>How might ultra-fast charging affect this?</w:t>
      </w:r>
      <w:r w:rsidR="00171E5C" w:rsidRPr="00171E5C">
        <w:t xml:space="preserve"> </w:t>
      </w:r>
      <w:r w:rsidR="00171E5C" w:rsidRPr="00171E5C">
        <w:rPr>
          <w:rFonts w:ascii="Arial" w:hAnsi="Arial" w:cs="Arial"/>
          <w:sz w:val="22"/>
          <w:szCs w:val="22"/>
        </w:rPr>
        <w:t xml:space="preserve">Recently invented </w:t>
      </w:r>
      <w:proofErr w:type="spellStart"/>
      <w:r w:rsidR="00171E5C" w:rsidRPr="00171E5C">
        <w:rPr>
          <w:rFonts w:ascii="Arial" w:hAnsi="Arial" w:cs="Arial"/>
          <w:sz w:val="22"/>
          <w:szCs w:val="22"/>
        </w:rPr>
        <w:t>Ultra Fast</w:t>
      </w:r>
      <w:proofErr w:type="spellEnd"/>
      <w:r w:rsidR="00171E5C" w:rsidRPr="00171E5C">
        <w:rPr>
          <w:rFonts w:ascii="Arial" w:hAnsi="Arial" w:cs="Arial"/>
          <w:sz w:val="22"/>
          <w:szCs w:val="22"/>
        </w:rPr>
        <w:t xml:space="preserve"> chargers have a power output of up to 350kW, more than twice the capacity of the most powerful DC fast-chargers currently available. Currently, no passenger electric cars are capable of charging at such a high rate, with Tesla’s vehicles having the highest capacity of 120kW. However, if cars were designed with the capability to charge at this rate, around 300km of range could be supplied in about 20 minutes, an experience more comparable to a standard petrol or diesel station.</w:t>
      </w:r>
    </w:p>
    <w:p w14:paraId="4D080BA9" w14:textId="73DE70E5" w:rsidR="007F4C0E" w:rsidRDefault="00B722D7" w:rsidP="007F4C0E">
      <w:pPr>
        <w:pStyle w:val="ListParagraph"/>
        <w:numPr>
          <w:ilvl w:val="0"/>
          <w:numId w:val="5"/>
        </w:numPr>
        <w:spacing w:before="240" w:after="120"/>
        <w:rPr>
          <w:rFonts w:ascii="Arial" w:hAnsi="Arial" w:cs="Arial"/>
        </w:rPr>
      </w:pPr>
      <w:r w:rsidRPr="0037176F">
        <w:rPr>
          <w:rFonts w:ascii="Arial" w:hAnsi="Arial" w:cs="Arial"/>
        </w:rPr>
        <w:t>How does the</w:t>
      </w:r>
      <w:r w:rsidR="00FC28E5" w:rsidRPr="0037176F">
        <w:rPr>
          <w:rFonts w:ascii="Arial" w:hAnsi="Arial" w:cs="Arial"/>
        </w:rPr>
        <w:t xml:space="preserve"> interoperability between </w:t>
      </w:r>
      <w:r w:rsidRPr="0037176F">
        <w:rPr>
          <w:rFonts w:ascii="Arial" w:hAnsi="Arial" w:cs="Arial"/>
        </w:rPr>
        <w:t xml:space="preserve">EVs and the charging infrastructure </w:t>
      </w:r>
      <w:r w:rsidR="00FC28E5" w:rsidRPr="0037176F">
        <w:rPr>
          <w:rFonts w:ascii="Arial" w:hAnsi="Arial" w:cs="Arial"/>
        </w:rPr>
        <w:t xml:space="preserve">grid </w:t>
      </w:r>
      <w:r w:rsidRPr="0037176F">
        <w:rPr>
          <w:rFonts w:ascii="Arial" w:hAnsi="Arial" w:cs="Arial"/>
        </w:rPr>
        <w:t xml:space="preserve">affect the type of network required? What key issues around hardware and information exchange protocols would need to be resolved for an optimum network to be </w:t>
      </w:r>
      <w:r w:rsidR="00300FD6">
        <w:rPr>
          <w:rFonts w:ascii="Arial" w:hAnsi="Arial" w:cs="Arial"/>
        </w:rPr>
        <w:t xml:space="preserve">more firmly </w:t>
      </w:r>
      <w:r w:rsidRPr="0037176F">
        <w:rPr>
          <w:rFonts w:ascii="Arial" w:hAnsi="Arial" w:cs="Arial"/>
        </w:rPr>
        <w:t>established?</w:t>
      </w:r>
    </w:p>
    <w:p w14:paraId="379DE54C" w14:textId="54DAB08F" w:rsidR="007F4C0E" w:rsidRPr="008A0D47" w:rsidRDefault="007F4C0E" w:rsidP="007F4C0E">
      <w:pPr>
        <w:pStyle w:val="ListParagraph"/>
        <w:numPr>
          <w:ilvl w:val="0"/>
          <w:numId w:val="5"/>
        </w:numPr>
        <w:spacing w:before="240" w:after="120"/>
        <w:rPr>
          <w:rFonts w:ascii="Arial" w:hAnsi="Arial" w:cs="Arial"/>
        </w:rPr>
      </w:pPr>
      <w:r>
        <w:rPr>
          <w:rFonts w:ascii="Arial" w:hAnsi="Arial" w:cs="Arial"/>
        </w:rPr>
        <w:t>As an illustrative scenario, if electric vehicle owners living in homes without off street parking charged their vehicle using only rapid chargers (i.e. assuming they do not have access to on street slow charging or workplace slow charging), how many additional rapid chargers would be required and where</w:t>
      </w:r>
      <w:r w:rsidR="00737A18">
        <w:rPr>
          <w:rFonts w:ascii="Arial" w:hAnsi="Arial" w:cs="Arial"/>
        </w:rPr>
        <w:t>?</w:t>
      </w:r>
      <w:r>
        <w:rPr>
          <w:rFonts w:ascii="Arial" w:hAnsi="Arial" w:cs="Arial"/>
        </w:rPr>
        <w:t xml:space="preserve"> It is likely that the need for rapid chargers for this purpose would be concentrat</w:t>
      </w:r>
      <w:r w:rsidR="00737A18">
        <w:rPr>
          <w:rFonts w:ascii="Arial" w:hAnsi="Arial" w:cs="Arial"/>
        </w:rPr>
        <w:t xml:space="preserve">ed in urban areas where there </w:t>
      </w:r>
      <w:proofErr w:type="gramStart"/>
      <w:r w:rsidR="00737A18">
        <w:rPr>
          <w:rFonts w:ascii="Arial" w:hAnsi="Arial" w:cs="Arial"/>
        </w:rPr>
        <w:t>is</w:t>
      </w:r>
      <w:proofErr w:type="gramEnd"/>
      <w:r w:rsidR="00737A18">
        <w:rPr>
          <w:rFonts w:ascii="Arial" w:hAnsi="Arial" w:cs="Arial"/>
        </w:rPr>
        <w:t xml:space="preserve"> a larger proportion</w:t>
      </w:r>
      <w:r>
        <w:rPr>
          <w:rFonts w:ascii="Arial" w:hAnsi="Arial" w:cs="Arial"/>
        </w:rPr>
        <w:t xml:space="preserve"> of houses without</w:t>
      </w:r>
      <w:r w:rsidR="00737A18">
        <w:rPr>
          <w:rFonts w:ascii="Arial" w:hAnsi="Arial" w:cs="Arial"/>
        </w:rPr>
        <w:t xml:space="preserve"> off-street parking. This would be similar to the way conventional car owners refuel their car at petrol stations and would provide an upper bound for the number of rapid chargers likely to be necessary in urban areas (as it is likely some electric vehicle owners  will have access to on-street or workplace charging).</w:t>
      </w:r>
    </w:p>
    <w:p w14:paraId="46D1987D" w14:textId="1CFDBB52" w:rsidR="009E282D" w:rsidRPr="00682A0B" w:rsidRDefault="003C298E" w:rsidP="008633F2">
      <w:pPr>
        <w:spacing w:before="240" w:after="120" w:line="276" w:lineRule="auto"/>
        <w:rPr>
          <w:rFonts w:ascii="Arial" w:hAnsi="Arial" w:cs="Arial"/>
          <w:sz w:val="22"/>
          <w:szCs w:val="22"/>
        </w:rPr>
      </w:pPr>
      <w:r>
        <w:rPr>
          <w:rFonts w:ascii="Arial" w:hAnsi="Arial" w:cs="Arial"/>
          <w:sz w:val="22"/>
          <w:szCs w:val="22"/>
        </w:rPr>
        <w:t xml:space="preserve">Data from the Department for Transport (and Transport departments of the devolved administrations) should be used to define distributions of trips undertaken across the UK, to include the trip length, departure point and destination. </w:t>
      </w:r>
      <w:r w:rsidR="008633F2">
        <w:rPr>
          <w:rFonts w:ascii="Arial" w:hAnsi="Arial" w:cs="Arial"/>
          <w:sz w:val="22"/>
          <w:szCs w:val="22"/>
        </w:rPr>
        <w:t xml:space="preserve">As the </w:t>
      </w:r>
      <w:r w:rsidR="00545B02">
        <w:rPr>
          <w:rFonts w:ascii="Arial" w:hAnsi="Arial" w:cs="Arial"/>
          <w:sz w:val="22"/>
          <w:szCs w:val="22"/>
        </w:rPr>
        <w:t>project</w:t>
      </w:r>
      <w:r w:rsidR="008633F2">
        <w:rPr>
          <w:rFonts w:ascii="Arial" w:hAnsi="Arial" w:cs="Arial"/>
          <w:sz w:val="22"/>
          <w:szCs w:val="22"/>
        </w:rPr>
        <w:t xml:space="preserve"> will need to take account of as many as possible use</w:t>
      </w:r>
      <w:r w:rsidR="00300FD6">
        <w:rPr>
          <w:rFonts w:ascii="Arial" w:hAnsi="Arial" w:cs="Arial"/>
          <w:sz w:val="22"/>
          <w:szCs w:val="22"/>
        </w:rPr>
        <w:t>s</w:t>
      </w:r>
      <w:r w:rsidR="008633F2">
        <w:rPr>
          <w:rFonts w:ascii="Arial" w:hAnsi="Arial" w:cs="Arial"/>
          <w:sz w:val="22"/>
          <w:szCs w:val="22"/>
        </w:rPr>
        <w:t xml:space="preserve"> of electric vehicles, averages of the distribution</w:t>
      </w:r>
      <w:r w:rsidR="009E282D">
        <w:rPr>
          <w:rFonts w:ascii="Arial" w:hAnsi="Arial" w:cs="Arial"/>
          <w:sz w:val="22"/>
          <w:szCs w:val="22"/>
        </w:rPr>
        <w:t>s</w:t>
      </w:r>
      <w:r w:rsidR="008633F2">
        <w:rPr>
          <w:rFonts w:ascii="Arial" w:hAnsi="Arial" w:cs="Arial"/>
          <w:sz w:val="22"/>
          <w:szCs w:val="22"/>
        </w:rPr>
        <w:t xml:space="preserve"> </w:t>
      </w:r>
      <w:r w:rsidR="00300FD6">
        <w:rPr>
          <w:rFonts w:ascii="Arial" w:hAnsi="Arial" w:cs="Arial"/>
          <w:sz w:val="22"/>
          <w:szCs w:val="22"/>
        </w:rPr>
        <w:t>of trip</w:t>
      </w:r>
      <w:r w:rsidR="009E282D">
        <w:rPr>
          <w:rFonts w:ascii="Arial" w:hAnsi="Arial" w:cs="Arial"/>
          <w:sz w:val="22"/>
          <w:szCs w:val="22"/>
        </w:rPr>
        <w:t xml:space="preserve"> </w:t>
      </w:r>
      <w:r w:rsidR="009E282D">
        <w:rPr>
          <w:rFonts w:ascii="Arial" w:hAnsi="Arial" w:cs="Arial"/>
          <w:sz w:val="22"/>
          <w:szCs w:val="22"/>
        </w:rPr>
        <w:lastRenderedPageBreak/>
        <w:t>lengths</w:t>
      </w:r>
      <w:r w:rsidR="00300FD6">
        <w:rPr>
          <w:rFonts w:ascii="Arial" w:hAnsi="Arial" w:cs="Arial"/>
          <w:sz w:val="22"/>
          <w:szCs w:val="22"/>
        </w:rPr>
        <w:t xml:space="preserve"> </w:t>
      </w:r>
      <w:r w:rsidR="008633F2">
        <w:rPr>
          <w:rFonts w:ascii="Arial" w:hAnsi="Arial" w:cs="Arial"/>
          <w:sz w:val="22"/>
          <w:szCs w:val="22"/>
        </w:rPr>
        <w:t>are not sufficient and the</w:t>
      </w:r>
      <w:r w:rsidR="009E282D">
        <w:rPr>
          <w:rFonts w:ascii="Arial" w:hAnsi="Arial" w:cs="Arial"/>
          <w:sz w:val="22"/>
          <w:szCs w:val="22"/>
        </w:rPr>
        <w:t xml:space="preserve"> </w:t>
      </w:r>
      <w:r w:rsidR="008633F2">
        <w:rPr>
          <w:rFonts w:ascii="Arial" w:hAnsi="Arial" w:cs="Arial"/>
          <w:sz w:val="22"/>
          <w:szCs w:val="22"/>
        </w:rPr>
        <w:t xml:space="preserve">tails should be considered.  </w:t>
      </w:r>
      <w:r w:rsidR="009E282D">
        <w:rPr>
          <w:rFonts w:ascii="Arial" w:hAnsi="Arial" w:cs="Arial"/>
          <w:sz w:val="22"/>
          <w:szCs w:val="22"/>
        </w:rPr>
        <w:t>Data from the transport departments should also be used to define the volume of traffic.</w:t>
      </w:r>
    </w:p>
    <w:p w14:paraId="5EA8755B" w14:textId="23F2E233" w:rsidR="007963DA" w:rsidRDefault="00624E5D" w:rsidP="007963DA">
      <w:pPr>
        <w:pStyle w:val="Norma"/>
      </w:pPr>
      <w:r>
        <w:t>The project will need to take account of:</w:t>
      </w:r>
    </w:p>
    <w:p w14:paraId="51953372" w14:textId="77777777" w:rsidR="007D3671" w:rsidRDefault="007D3671" w:rsidP="007963DA">
      <w:pPr>
        <w:pStyle w:val="Norma"/>
      </w:pPr>
    </w:p>
    <w:p w14:paraId="29398EB2" w14:textId="6B2FC3B0" w:rsidR="00624E5D" w:rsidRPr="00034F5B" w:rsidRDefault="00034F5B" w:rsidP="007963DA">
      <w:pPr>
        <w:pStyle w:val="Norma"/>
        <w:rPr>
          <w:b/>
        </w:rPr>
      </w:pPr>
      <w:r w:rsidRPr="00034F5B">
        <w:rPr>
          <w:b/>
        </w:rPr>
        <w:t>Essential</w:t>
      </w:r>
    </w:p>
    <w:p w14:paraId="5E8B601B" w14:textId="3AED1A59" w:rsidR="00624E5D" w:rsidRPr="00624E5D" w:rsidRDefault="00624E5D" w:rsidP="00624E5D">
      <w:pPr>
        <w:pStyle w:val="ListParagraph"/>
        <w:numPr>
          <w:ilvl w:val="0"/>
          <w:numId w:val="6"/>
        </w:numPr>
      </w:pPr>
      <w:r>
        <w:rPr>
          <w:rFonts w:ascii="Arial" w:hAnsi="Arial" w:cs="Arial"/>
        </w:rPr>
        <w:t>Current and potential future distances travelled by electric vehicles on a single charge</w:t>
      </w:r>
      <w:r w:rsidR="00CD706C">
        <w:rPr>
          <w:rFonts w:ascii="Arial" w:hAnsi="Arial" w:cs="Arial"/>
        </w:rPr>
        <w:t xml:space="preserve"> (to include both cars and vans)</w:t>
      </w:r>
      <w:r w:rsidR="00545B02">
        <w:rPr>
          <w:rFonts w:ascii="Arial" w:hAnsi="Arial" w:cs="Arial"/>
        </w:rPr>
        <w:t>;</w:t>
      </w:r>
    </w:p>
    <w:p w14:paraId="202414F0" w14:textId="351889D2" w:rsidR="00624E5D" w:rsidRPr="00CD706C" w:rsidRDefault="00624E5D" w:rsidP="00624E5D">
      <w:pPr>
        <w:pStyle w:val="ListParagraph"/>
        <w:numPr>
          <w:ilvl w:val="0"/>
          <w:numId w:val="6"/>
        </w:numPr>
      </w:pPr>
      <w:r>
        <w:rPr>
          <w:rFonts w:ascii="Arial" w:hAnsi="Arial" w:cs="Arial"/>
        </w:rPr>
        <w:t>A range of scenarios of electric vehicle uptake (in line with CCC trajectories to 2050)</w:t>
      </w:r>
      <w:r w:rsidR="00545B02">
        <w:rPr>
          <w:rFonts w:ascii="Arial" w:hAnsi="Arial" w:cs="Arial"/>
        </w:rPr>
        <w:t xml:space="preserve"> and agreed with CCC at the kick-off meeting;</w:t>
      </w:r>
    </w:p>
    <w:p w14:paraId="2F326468" w14:textId="096C0DB1" w:rsidR="00CD706C" w:rsidRPr="00624E5D" w:rsidRDefault="00CD706C" w:rsidP="00624E5D">
      <w:pPr>
        <w:pStyle w:val="ListParagraph"/>
        <w:numPr>
          <w:ilvl w:val="0"/>
          <w:numId w:val="6"/>
        </w:numPr>
      </w:pPr>
      <w:r>
        <w:rPr>
          <w:rFonts w:ascii="Arial" w:hAnsi="Arial" w:cs="Arial"/>
        </w:rPr>
        <w:t>A range of scenarios of proportions of plug-in hybrids and battery electric vehicles (in line with CCC trajectories to 2050)</w:t>
      </w:r>
      <w:r w:rsidR="00545B02">
        <w:rPr>
          <w:rFonts w:ascii="Arial" w:hAnsi="Arial" w:cs="Arial"/>
        </w:rPr>
        <w:t>;</w:t>
      </w:r>
    </w:p>
    <w:p w14:paraId="22733711" w14:textId="4A42DABF" w:rsidR="00034F5B" w:rsidRPr="007B4F0B" w:rsidRDefault="00624E5D" w:rsidP="00034F5B">
      <w:pPr>
        <w:pStyle w:val="ListParagraph"/>
        <w:numPr>
          <w:ilvl w:val="0"/>
          <w:numId w:val="6"/>
        </w:numPr>
      </w:pPr>
      <w:r>
        <w:rPr>
          <w:rFonts w:ascii="Arial" w:hAnsi="Arial" w:cs="Arial"/>
        </w:rPr>
        <w:t>Current and potential future charging times (using a range spanning from rapid chargers to ultra-fast chargers).</w:t>
      </w:r>
    </w:p>
    <w:p w14:paraId="25ED09C4" w14:textId="77777777" w:rsidR="00A413F3" w:rsidRPr="008F7A1F" w:rsidRDefault="00A413F3" w:rsidP="00A413F3">
      <w:pPr>
        <w:pStyle w:val="ListParagraph"/>
        <w:numPr>
          <w:ilvl w:val="0"/>
          <w:numId w:val="6"/>
        </w:numPr>
        <w:rPr>
          <w:i/>
        </w:rPr>
      </w:pPr>
      <w:r>
        <w:rPr>
          <w:rFonts w:ascii="Arial" w:hAnsi="Arial" w:cs="Arial"/>
        </w:rPr>
        <w:t>Any other factors that potential bidders think it is important to take account of.</w:t>
      </w:r>
    </w:p>
    <w:p w14:paraId="3DDA40FD" w14:textId="77777777" w:rsidR="00A413F3" w:rsidRPr="00034F5B" w:rsidRDefault="00A413F3" w:rsidP="007B4F0B"/>
    <w:p w14:paraId="01CEB56C" w14:textId="72129027" w:rsidR="00034F5B" w:rsidRDefault="00034F5B" w:rsidP="00034F5B">
      <w:pPr>
        <w:rPr>
          <w:rFonts w:ascii="Arial" w:hAnsi="Arial" w:cs="Arial"/>
          <w:b/>
          <w:sz w:val="22"/>
          <w:szCs w:val="22"/>
        </w:rPr>
      </w:pPr>
      <w:r w:rsidRPr="00034F5B">
        <w:rPr>
          <w:rFonts w:ascii="Arial" w:hAnsi="Arial" w:cs="Arial"/>
          <w:b/>
          <w:sz w:val="22"/>
          <w:szCs w:val="22"/>
        </w:rPr>
        <w:t>Optional</w:t>
      </w:r>
    </w:p>
    <w:p w14:paraId="344F9F23" w14:textId="77777777" w:rsidR="007B4F0B" w:rsidRDefault="007B4F0B" w:rsidP="00034F5B">
      <w:pPr>
        <w:rPr>
          <w:b/>
          <w:sz w:val="22"/>
          <w:szCs w:val="22"/>
        </w:rPr>
      </w:pPr>
    </w:p>
    <w:p w14:paraId="27BE21C6" w14:textId="715916D2" w:rsidR="00B8238B" w:rsidRDefault="00B8238B" w:rsidP="00034F5B">
      <w:pPr>
        <w:rPr>
          <w:rFonts w:ascii="Arial" w:hAnsi="Arial" w:cs="Arial"/>
          <w:sz w:val="22"/>
          <w:szCs w:val="22"/>
        </w:rPr>
      </w:pPr>
      <w:r w:rsidRPr="002B78FD">
        <w:rPr>
          <w:rFonts w:ascii="Arial" w:hAnsi="Arial" w:cs="Arial"/>
          <w:sz w:val="22"/>
          <w:szCs w:val="22"/>
        </w:rPr>
        <w:t xml:space="preserve">CCC would also like to </w:t>
      </w:r>
      <w:r>
        <w:rPr>
          <w:rFonts w:ascii="Arial" w:hAnsi="Arial" w:cs="Arial"/>
          <w:sz w:val="22"/>
          <w:szCs w:val="22"/>
        </w:rPr>
        <w:t xml:space="preserve">consider two additional scenarios in this project. However, these are more uncertain and depend on the availability of data and whether analysis in this area would provide useful insights into the design of the optimum charging network, or change any conclusions emerging from the essential analysis above. Tenderers should give an indication of whether they think these are feasible, given current understanding and evidence in these areas.   </w:t>
      </w:r>
    </w:p>
    <w:p w14:paraId="0492C82A" w14:textId="77777777" w:rsidR="00B8238B" w:rsidRPr="002B78FD" w:rsidRDefault="00B8238B" w:rsidP="00034F5B">
      <w:pPr>
        <w:rPr>
          <w:rFonts w:ascii="Arial" w:hAnsi="Arial" w:cs="Arial"/>
          <w:sz w:val="22"/>
          <w:szCs w:val="22"/>
        </w:rPr>
      </w:pPr>
    </w:p>
    <w:p w14:paraId="0CE07EA1" w14:textId="3A76A13E" w:rsidR="00624E5D" w:rsidRPr="00257700" w:rsidRDefault="00624E5D" w:rsidP="00624E5D">
      <w:pPr>
        <w:pStyle w:val="ListParagraph"/>
        <w:numPr>
          <w:ilvl w:val="0"/>
          <w:numId w:val="6"/>
        </w:numPr>
      </w:pPr>
      <w:r>
        <w:rPr>
          <w:rFonts w:ascii="Arial" w:hAnsi="Arial" w:cs="Arial"/>
        </w:rPr>
        <w:t xml:space="preserve">Different types of rapid chargers (i.e. </w:t>
      </w:r>
      <w:proofErr w:type="spellStart"/>
      <w:r>
        <w:rPr>
          <w:rFonts w:ascii="Arial" w:hAnsi="Arial" w:cs="Arial"/>
        </w:rPr>
        <w:t>CHAdeMO</w:t>
      </w:r>
      <w:proofErr w:type="spellEnd"/>
      <w:r>
        <w:rPr>
          <w:rFonts w:ascii="Arial" w:hAnsi="Arial" w:cs="Arial"/>
        </w:rPr>
        <w:t>, CCS,</w:t>
      </w:r>
      <w:r w:rsidR="00C03FA9">
        <w:rPr>
          <w:rFonts w:ascii="Arial" w:hAnsi="Arial" w:cs="Arial"/>
        </w:rPr>
        <w:t xml:space="preserve"> Type 2 AC,</w:t>
      </w:r>
      <w:r>
        <w:rPr>
          <w:rFonts w:ascii="Arial" w:hAnsi="Arial" w:cs="Arial"/>
        </w:rPr>
        <w:t xml:space="preserve"> Superchargers) are not compatible with all cars</w:t>
      </w:r>
      <w:r w:rsidR="00C03FA9">
        <w:rPr>
          <w:rFonts w:ascii="Arial" w:hAnsi="Arial" w:cs="Arial"/>
        </w:rPr>
        <w:t xml:space="preserve">. Assumptions must be used about when/if a unifying standard will be used and whether adaptors will be available for all car types. </w:t>
      </w:r>
      <w:r>
        <w:rPr>
          <w:rFonts w:ascii="Arial" w:hAnsi="Arial" w:cs="Arial"/>
        </w:rPr>
        <w:t xml:space="preserve"> </w:t>
      </w:r>
    </w:p>
    <w:p w14:paraId="492DEE5D" w14:textId="034EDD3C" w:rsidR="008633F2" w:rsidRPr="005801D4" w:rsidRDefault="00624E5D" w:rsidP="00034F5B">
      <w:pPr>
        <w:pStyle w:val="ListParagraph"/>
        <w:numPr>
          <w:ilvl w:val="0"/>
          <w:numId w:val="6"/>
        </w:numPr>
      </w:pPr>
      <w:r w:rsidRPr="005801D4">
        <w:rPr>
          <w:rFonts w:ascii="Arial" w:hAnsi="Arial" w:cs="Arial"/>
        </w:rPr>
        <w:t xml:space="preserve">A scenario with </w:t>
      </w:r>
      <w:r w:rsidR="00BD0806">
        <w:rPr>
          <w:rFonts w:ascii="Arial" w:hAnsi="Arial" w:cs="Arial"/>
        </w:rPr>
        <w:t xml:space="preserve">some penetration of </w:t>
      </w:r>
      <w:r w:rsidRPr="005801D4">
        <w:rPr>
          <w:rFonts w:ascii="Arial" w:hAnsi="Arial" w:cs="Arial"/>
        </w:rPr>
        <w:t>driverless automated vehicles post-2025</w:t>
      </w:r>
      <w:r w:rsidR="00A413F3">
        <w:rPr>
          <w:rFonts w:ascii="Arial" w:hAnsi="Arial" w:cs="Arial"/>
        </w:rPr>
        <w:t>.</w:t>
      </w:r>
    </w:p>
    <w:p w14:paraId="5EA8755C" w14:textId="77777777" w:rsidR="00C4141B" w:rsidRDefault="00E85ED1" w:rsidP="008A2F2D">
      <w:pPr>
        <w:pStyle w:val="Heading1"/>
        <w:numPr>
          <w:ilvl w:val="0"/>
          <w:numId w:val="3"/>
        </w:numPr>
        <w:rPr>
          <w:rFonts w:ascii="Arial" w:hAnsi="Arial" w:cs="Arial"/>
          <w:sz w:val="24"/>
          <w:szCs w:val="24"/>
        </w:rPr>
      </w:pPr>
      <w:bookmarkStart w:id="10" w:name="_Toc381969509"/>
      <w:bookmarkStart w:id="11" w:name="_Toc405888458"/>
      <w:r w:rsidRPr="00E85ED1">
        <w:rPr>
          <w:rFonts w:ascii="Arial" w:hAnsi="Arial" w:cs="Arial"/>
          <w:sz w:val="24"/>
          <w:szCs w:val="24"/>
        </w:rPr>
        <w:t>Methodology</w:t>
      </w:r>
      <w:bookmarkEnd w:id="10"/>
      <w:bookmarkEnd w:id="11"/>
    </w:p>
    <w:p w14:paraId="5A1BB8BA" w14:textId="77777777" w:rsidR="00DD521A" w:rsidRDefault="00DD521A" w:rsidP="00DD521A">
      <w:pPr>
        <w:pStyle w:val="Norma"/>
      </w:pPr>
    </w:p>
    <w:p w14:paraId="0275C0D7" w14:textId="35D8B4CF" w:rsidR="001C2002" w:rsidRDefault="00EC7710" w:rsidP="005C757F">
      <w:pPr>
        <w:pStyle w:val="Norma"/>
        <w:spacing w:line="276" w:lineRule="auto"/>
      </w:pPr>
      <w:r>
        <w:t>The project should aim to construct a model</w:t>
      </w:r>
      <w:r w:rsidR="00034F5B">
        <w:t xml:space="preserve"> or adapt an existing model</w:t>
      </w:r>
      <w:r>
        <w:t xml:space="preserve"> t</w:t>
      </w:r>
      <w:r w:rsidR="00034F5B">
        <w:t>o</w:t>
      </w:r>
      <w:r>
        <w:t xml:space="preserve"> analyses the optimum charging infrastructure required, in different scenarios and with the ability to flex different assumptions. </w:t>
      </w:r>
      <w:r w:rsidR="008633F2">
        <w:t xml:space="preserve">As part of your tender, you should set out your preferred modelling approach. The key features of the model should be set out. </w:t>
      </w:r>
    </w:p>
    <w:p w14:paraId="7E31F23A" w14:textId="77777777" w:rsidR="008F7A1F" w:rsidRDefault="008F7A1F" w:rsidP="005C757F">
      <w:pPr>
        <w:pStyle w:val="Norma"/>
        <w:spacing w:line="276" w:lineRule="auto"/>
      </w:pPr>
    </w:p>
    <w:p w14:paraId="5D26A6CF" w14:textId="41511273" w:rsidR="008F7A1F" w:rsidRPr="008F7A1F" w:rsidRDefault="008F7A1F" w:rsidP="005C757F">
      <w:pPr>
        <w:pStyle w:val="Norma"/>
        <w:spacing w:line="276" w:lineRule="auto"/>
      </w:pPr>
      <w:r>
        <w:rPr>
          <w:b/>
        </w:rPr>
        <w:t xml:space="preserve">Task 1: </w:t>
      </w:r>
      <w:r w:rsidR="00756D4C" w:rsidRPr="005C757F">
        <w:rPr>
          <w:b/>
        </w:rPr>
        <w:t>D</w:t>
      </w:r>
      <w:r w:rsidRPr="005C757F">
        <w:rPr>
          <w:b/>
        </w:rPr>
        <w:t xml:space="preserve">evelop a set of scenarios </w:t>
      </w:r>
      <w:r w:rsidR="007867CD">
        <w:rPr>
          <w:b/>
        </w:rPr>
        <w:t xml:space="preserve">of charging points </w:t>
      </w:r>
      <w:r w:rsidRPr="005C757F">
        <w:rPr>
          <w:b/>
        </w:rPr>
        <w:t>to be modelled and agree with the CCC.</w:t>
      </w:r>
      <w:r>
        <w:t xml:space="preserve"> </w:t>
      </w:r>
    </w:p>
    <w:p w14:paraId="6894CD07" w14:textId="77777777" w:rsidR="008F7A1F" w:rsidRDefault="008F7A1F" w:rsidP="005C757F">
      <w:pPr>
        <w:pStyle w:val="Norma"/>
        <w:spacing w:line="276" w:lineRule="auto"/>
        <w:rPr>
          <w:rFonts w:cs="Arial"/>
        </w:rPr>
      </w:pPr>
    </w:p>
    <w:p w14:paraId="217B6753" w14:textId="77777777" w:rsidR="003A647A" w:rsidRDefault="008F7A1F" w:rsidP="005C757F">
      <w:pPr>
        <w:pStyle w:val="Norma"/>
        <w:spacing w:line="276" w:lineRule="auto"/>
        <w:rPr>
          <w:rFonts w:cs="Arial"/>
        </w:rPr>
      </w:pPr>
      <w:r>
        <w:rPr>
          <w:rFonts w:cs="Arial"/>
        </w:rPr>
        <w:t>The starting point of the modelling will be to define the set of scenarios that will be considered</w:t>
      </w:r>
      <w:r w:rsidR="003A647A">
        <w:rPr>
          <w:rFonts w:cs="Arial"/>
        </w:rPr>
        <w:t xml:space="preserve"> and a set of assumptions that can be flexed to deliver the scenario</w:t>
      </w:r>
      <w:r>
        <w:rPr>
          <w:rFonts w:cs="Arial"/>
        </w:rPr>
        <w:t>.</w:t>
      </w:r>
    </w:p>
    <w:p w14:paraId="6FDCE053" w14:textId="2BD274AD" w:rsidR="003A647A" w:rsidRDefault="003A647A" w:rsidP="005C757F">
      <w:pPr>
        <w:pStyle w:val="Norma"/>
        <w:spacing w:line="276" w:lineRule="auto"/>
        <w:rPr>
          <w:rFonts w:cs="Arial"/>
        </w:rPr>
      </w:pPr>
      <w:r>
        <w:rPr>
          <w:rFonts w:cs="Arial"/>
        </w:rPr>
        <w:t>The scenario</w:t>
      </w:r>
      <w:r w:rsidR="0037176F">
        <w:rPr>
          <w:rFonts w:cs="Arial"/>
        </w:rPr>
        <w:t>s</w:t>
      </w:r>
      <w:r>
        <w:rPr>
          <w:rFonts w:cs="Arial"/>
        </w:rPr>
        <w:t xml:space="preserve"> </w:t>
      </w:r>
      <w:r w:rsidR="00BD0806">
        <w:rPr>
          <w:rFonts w:cs="Arial"/>
        </w:rPr>
        <w:t>should reflect</w:t>
      </w:r>
      <w:r>
        <w:rPr>
          <w:rFonts w:cs="Arial"/>
        </w:rPr>
        <w:t xml:space="preserve"> levels of electric vehicle uptake</w:t>
      </w:r>
      <w:r w:rsidR="0037176F">
        <w:rPr>
          <w:rFonts w:cs="Arial"/>
        </w:rPr>
        <w:t xml:space="preserve"> in line with CCC trajectories. The proportion of electric vehicles in the model that are plug-in hybrids and the proportion that are battery electric vehicles should be defined for each scenario. </w:t>
      </w:r>
    </w:p>
    <w:p w14:paraId="0DD0EFCF" w14:textId="77777777" w:rsidR="0037176F" w:rsidRDefault="0037176F" w:rsidP="005C757F">
      <w:pPr>
        <w:pStyle w:val="Norma"/>
        <w:spacing w:line="276" w:lineRule="auto"/>
        <w:rPr>
          <w:rFonts w:cs="Arial"/>
        </w:rPr>
      </w:pPr>
    </w:p>
    <w:p w14:paraId="69504A22" w14:textId="43D2E67E" w:rsidR="008F7A1F" w:rsidRDefault="002819EB" w:rsidP="005C757F">
      <w:pPr>
        <w:pStyle w:val="Norma"/>
        <w:spacing w:line="276" w:lineRule="auto"/>
        <w:rPr>
          <w:rFonts w:cs="Arial"/>
        </w:rPr>
      </w:pPr>
      <w:r>
        <w:rPr>
          <w:rFonts w:cs="Arial"/>
        </w:rPr>
        <w:t xml:space="preserve">The latest evidence from CCC work, industry and academia should be </w:t>
      </w:r>
      <w:r w:rsidR="00756D4C">
        <w:rPr>
          <w:rFonts w:cs="Arial"/>
        </w:rPr>
        <w:t>assessed</w:t>
      </w:r>
      <w:r>
        <w:rPr>
          <w:rFonts w:cs="Arial"/>
        </w:rPr>
        <w:t xml:space="preserve"> to define a range of</w:t>
      </w:r>
      <w:r w:rsidR="0037176F">
        <w:rPr>
          <w:rFonts w:cs="Arial"/>
        </w:rPr>
        <w:t xml:space="preserve"> flexible assumptions used to deliver the scenarios</w:t>
      </w:r>
      <w:r w:rsidR="00CD706C">
        <w:rPr>
          <w:rFonts w:cs="Arial"/>
        </w:rPr>
        <w:t>:</w:t>
      </w:r>
    </w:p>
    <w:p w14:paraId="0E5E808C" w14:textId="2E30922E" w:rsidR="002819EB" w:rsidRDefault="002819EB" w:rsidP="005C757F">
      <w:pPr>
        <w:pStyle w:val="Norma"/>
        <w:numPr>
          <w:ilvl w:val="0"/>
          <w:numId w:val="10"/>
        </w:numPr>
        <w:spacing w:line="276" w:lineRule="auto"/>
        <w:rPr>
          <w:rFonts w:cs="Arial"/>
        </w:rPr>
      </w:pPr>
      <w:r w:rsidRPr="005C757F">
        <w:rPr>
          <w:rFonts w:cs="Arial"/>
          <w:b/>
        </w:rPr>
        <w:t>Current and potential future distances travelled</w:t>
      </w:r>
      <w:r>
        <w:rPr>
          <w:rFonts w:cs="Arial"/>
        </w:rPr>
        <w:t xml:space="preserve"> by electric vehicles on a single </w:t>
      </w:r>
      <w:r>
        <w:rPr>
          <w:rFonts w:cs="Arial"/>
        </w:rPr>
        <w:lastRenderedPageBreak/>
        <w:t>charge.</w:t>
      </w:r>
      <w:r w:rsidR="00CD706C">
        <w:rPr>
          <w:rFonts w:cs="Arial"/>
        </w:rPr>
        <w:t xml:space="preserve"> A couple of different potential future distances travelled by an electric vehicle on a single charge should be defined and the model sh</w:t>
      </w:r>
      <w:r w:rsidR="00776DA3">
        <w:rPr>
          <w:rFonts w:cs="Arial"/>
        </w:rPr>
        <w:t>ould be flexible enough that scenarios can be generated for each variation of these input assumptions</w:t>
      </w:r>
      <w:r w:rsidR="00CD706C">
        <w:rPr>
          <w:rFonts w:cs="Arial"/>
        </w:rPr>
        <w:t xml:space="preserve">. </w:t>
      </w:r>
    </w:p>
    <w:p w14:paraId="30BF0D67" w14:textId="77777777" w:rsidR="00776DA3" w:rsidRDefault="002819EB" w:rsidP="005C757F">
      <w:pPr>
        <w:pStyle w:val="Norma"/>
        <w:numPr>
          <w:ilvl w:val="0"/>
          <w:numId w:val="10"/>
        </w:numPr>
        <w:spacing w:line="276" w:lineRule="auto"/>
        <w:rPr>
          <w:rFonts w:cs="Arial"/>
        </w:rPr>
      </w:pPr>
      <w:r w:rsidRPr="005C757F">
        <w:rPr>
          <w:rFonts w:cs="Arial"/>
          <w:b/>
        </w:rPr>
        <w:t>Current and potential future charging times</w:t>
      </w:r>
      <w:r w:rsidR="007D1430" w:rsidRPr="00776DA3">
        <w:rPr>
          <w:rFonts w:cs="Arial"/>
        </w:rPr>
        <w:t xml:space="preserve"> (which will incorporate assumptions about the power transfer rate in kWh and battery size</w:t>
      </w:r>
      <w:r w:rsidR="0037176F" w:rsidRPr="00776DA3">
        <w:rPr>
          <w:rFonts w:cs="Arial"/>
        </w:rPr>
        <w:t xml:space="preserve"> for both plug-in hybrid vehicles and battery electric vehicles</w:t>
      </w:r>
      <w:r w:rsidR="007D1430" w:rsidRPr="00776DA3">
        <w:rPr>
          <w:rFonts w:cs="Arial"/>
        </w:rPr>
        <w:t>)</w:t>
      </w:r>
      <w:r w:rsidRPr="00776DA3">
        <w:rPr>
          <w:rFonts w:cs="Arial"/>
        </w:rPr>
        <w:t xml:space="preserve">. </w:t>
      </w:r>
      <w:r w:rsidR="00CD706C" w:rsidRPr="00776DA3">
        <w:rPr>
          <w:rFonts w:cs="Arial"/>
        </w:rPr>
        <w:t xml:space="preserve">A couple of different potential future charging times for an electric vehicles should be defined and </w:t>
      </w:r>
      <w:r w:rsidR="00776DA3">
        <w:rPr>
          <w:rFonts w:cs="Arial"/>
        </w:rPr>
        <w:t xml:space="preserve">the model should be flexible enough that scenarios can be generated for each variation of these input assumptions. </w:t>
      </w:r>
    </w:p>
    <w:p w14:paraId="4557C072" w14:textId="77777777" w:rsidR="00776DA3" w:rsidRDefault="0037176F" w:rsidP="005C757F">
      <w:pPr>
        <w:pStyle w:val="Norma"/>
        <w:numPr>
          <w:ilvl w:val="0"/>
          <w:numId w:val="10"/>
        </w:numPr>
        <w:spacing w:line="276" w:lineRule="auto"/>
        <w:rPr>
          <w:rFonts w:cs="Arial"/>
        </w:rPr>
      </w:pPr>
      <w:r w:rsidRPr="005C757F">
        <w:rPr>
          <w:rFonts w:cs="Arial"/>
          <w:b/>
        </w:rPr>
        <w:t>The likelihood of electric vehicles having the capability to use rapid chargers in future.</w:t>
      </w:r>
      <w:r w:rsidRPr="00776DA3">
        <w:rPr>
          <w:rFonts w:cs="Arial"/>
        </w:rPr>
        <w:t xml:space="preserve"> (Differing assumptions should be used for plug-in hybrid vehicles and battery electric vehicles). </w:t>
      </w:r>
      <w:r w:rsidR="00CD706C" w:rsidRPr="00776DA3">
        <w:rPr>
          <w:rFonts w:cs="Arial"/>
        </w:rPr>
        <w:t xml:space="preserve">Several different likelihoods should be used and </w:t>
      </w:r>
      <w:r w:rsidR="00776DA3">
        <w:rPr>
          <w:rFonts w:cs="Arial"/>
        </w:rPr>
        <w:t xml:space="preserve">the model should be flexible enough that scenarios can be generated for each variation of these input assumptions. </w:t>
      </w:r>
    </w:p>
    <w:p w14:paraId="34CC5054" w14:textId="34BFD59E" w:rsidR="00CD706C" w:rsidRPr="00776DA3" w:rsidRDefault="00756D4C" w:rsidP="00756D4C">
      <w:pPr>
        <w:pStyle w:val="Norma"/>
        <w:numPr>
          <w:ilvl w:val="0"/>
          <w:numId w:val="10"/>
        </w:numPr>
        <w:jc w:val="both"/>
        <w:rPr>
          <w:rFonts w:cs="Arial"/>
        </w:rPr>
      </w:pPr>
      <w:r w:rsidRPr="005C757F">
        <w:rPr>
          <w:rFonts w:cs="Arial"/>
          <w:b/>
        </w:rPr>
        <w:t>The number of c</w:t>
      </w:r>
      <w:r w:rsidR="007D1430" w:rsidRPr="005C757F">
        <w:rPr>
          <w:rFonts w:cs="Arial"/>
          <w:b/>
        </w:rPr>
        <w:t>harger</w:t>
      </w:r>
      <w:r w:rsidRPr="005C757F">
        <w:rPr>
          <w:rFonts w:cs="Arial"/>
          <w:b/>
        </w:rPr>
        <w:t>s</w:t>
      </w:r>
      <w:r w:rsidR="007D1430" w:rsidRPr="00756D4C">
        <w:rPr>
          <w:rFonts w:cs="Arial"/>
        </w:rPr>
        <w:t xml:space="preserve"> </w:t>
      </w:r>
      <w:r w:rsidR="007D1430" w:rsidRPr="00776DA3">
        <w:rPr>
          <w:rFonts w:cs="Arial"/>
        </w:rPr>
        <w:t>required to combat range anxiety.</w:t>
      </w:r>
      <w:r w:rsidR="00CD706C" w:rsidRPr="00776DA3">
        <w:rPr>
          <w:rFonts w:cs="Arial"/>
        </w:rPr>
        <w:t xml:space="preserve"> The latest literature should be used to understand range anxiety. As </w:t>
      </w:r>
      <w:proofErr w:type="gramStart"/>
      <w:r w:rsidR="00CD706C" w:rsidRPr="00776DA3">
        <w:rPr>
          <w:rFonts w:cs="Arial"/>
        </w:rPr>
        <w:t>a flexibility</w:t>
      </w:r>
      <w:proofErr w:type="gramEnd"/>
      <w:r w:rsidR="00CD706C" w:rsidRPr="00776DA3">
        <w:rPr>
          <w:rFonts w:cs="Arial"/>
        </w:rPr>
        <w:t xml:space="preserve"> in the model, it should be possible to remove range anxiety. </w:t>
      </w:r>
    </w:p>
    <w:p w14:paraId="69097D63" w14:textId="77777777" w:rsidR="00756D4C" w:rsidRDefault="00756D4C" w:rsidP="005C757F">
      <w:pPr>
        <w:pStyle w:val="Norma"/>
        <w:spacing w:line="276" w:lineRule="auto"/>
        <w:rPr>
          <w:rFonts w:cs="Arial"/>
        </w:rPr>
      </w:pPr>
    </w:p>
    <w:p w14:paraId="4C74E142" w14:textId="784D698E" w:rsidR="00CD706C" w:rsidRDefault="00E16339" w:rsidP="005C757F">
      <w:pPr>
        <w:pStyle w:val="Norma"/>
        <w:spacing w:line="276" w:lineRule="auto"/>
        <w:rPr>
          <w:rFonts w:cs="Arial"/>
        </w:rPr>
      </w:pPr>
      <w:r>
        <w:rPr>
          <w:rFonts w:cs="Arial"/>
        </w:rPr>
        <w:t xml:space="preserve">Assumptions around the length of trips </w:t>
      </w:r>
      <w:r w:rsidR="004B330B">
        <w:rPr>
          <w:rFonts w:cs="Arial"/>
        </w:rPr>
        <w:t>undertaken by cars and vans</w:t>
      </w:r>
      <w:r w:rsidR="001C2002">
        <w:rPr>
          <w:rFonts w:cs="Arial"/>
        </w:rPr>
        <w:t xml:space="preserve"> should be developed based on available data from the Department for Transport and the transport departments of the devolved administrations, as well as any other relevant data sources (i.e. academic literature).</w:t>
      </w:r>
      <w:r w:rsidR="00CD706C">
        <w:rPr>
          <w:rFonts w:cs="Arial"/>
        </w:rPr>
        <w:t xml:space="preserve"> These assumptions should consider</w:t>
      </w:r>
      <w:r w:rsidR="004B330B">
        <w:rPr>
          <w:rFonts w:cs="Arial"/>
        </w:rPr>
        <w:t xml:space="preserve"> not just the average length of trips but also</w:t>
      </w:r>
      <w:r w:rsidR="00CD706C">
        <w:rPr>
          <w:rFonts w:cs="Arial"/>
        </w:rPr>
        <w:t xml:space="preserve"> the tail of the</w:t>
      </w:r>
      <w:r w:rsidR="004B330B">
        <w:rPr>
          <w:rFonts w:cs="Arial"/>
        </w:rPr>
        <w:t xml:space="preserve"> </w:t>
      </w:r>
      <w:r w:rsidR="00CD706C">
        <w:rPr>
          <w:rFonts w:cs="Arial"/>
        </w:rPr>
        <w:t>trip</w:t>
      </w:r>
      <w:r w:rsidR="004B330B">
        <w:rPr>
          <w:rFonts w:cs="Arial"/>
        </w:rPr>
        <w:t xml:space="preserve"> length</w:t>
      </w:r>
      <w:r w:rsidR="00CD706C">
        <w:rPr>
          <w:rFonts w:cs="Arial"/>
        </w:rPr>
        <w:t xml:space="preserve"> distribution</w:t>
      </w:r>
      <w:r w:rsidR="009C602B">
        <w:rPr>
          <w:rFonts w:cs="Arial"/>
        </w:rPr>
        <w:t>.</w:t>
      </w:r>
      <w:r w:rsidR="000B6BA2">
        <w:rPr>
          <w:rFonts w:cs="Arial"/>
        </w:rPr>
        <w:t xml:space="preserve"> Different distributions will be required for cars and for vans.</w:t>
      </w:r>
      <w:r w:rsidR="00CD706C">
        <w:rPr>
          <w:rFonts w:cs="Arial"/>
        </w:rPr>
        <w:t xml:space="preserve"> </w:t>
      </w:r>
      <w:r w:rsidR="000B6BA2">
        <w:rPr>
          <w:rFonts w:cs="Arial"/>
        </w:rPr>
        <w:t xml:space="preserve"> </w:t>
      </w:r>
      <w:r w:rsidR="00CD706C">
        <w:rPr>
          <w:rFonts w:cs="Arial"/>
        </w:rPr>
        <w:t xml:space="preserve">As </w:t>
      </w:r>
      <w:proofErr w:type="gramStart"/>
      <w:r w:rsidR="00CD706C">
        <w:rPr>
          <w:rFonts w:cs="Arial"/>
        </w:rPr>
        <w:t>a flexibility</w:t>
      </w:r>
      <w:proofErr w:type="gramEnd"/>
      <w:r w:rsidR="00CD706C">
        <w:rPr>
          <w:rFonts w:cs="Arial"/>
        </w:rPr>
        <w:t xml:space="preserve"> in the model, it should be possible to deal with the tail in multiple ways (i.e. including all </w:t>
      </w:r>
      <w:r w:rsidR="004B330B">
        <w:rPr>
          <w:rFonts w:cs="Arial"/>
        </w:rPr>
        <w:t>trip lengths</w:t>
      </w:r>
      <w:r w:rsidR="00CD706C">
        <w:rPr>
          <w:rFonts w:cs="Arial"/>
        </w:rPr>
        <w:t xml:space="preserve">, ignoring 5% of </w:t>
      </w:r>
      <w:r w:rsidR="004B330B">
        <w:rPr>
          <w:rFonts w:cs="Arial"/>
        </w:rPr>
        <w:t>the longest trips</w:t>
      </w:r>
      <w:r w:rsidR="00CD706C">
        <w:rPr>
          <w:rFonts w:cs="Arial"/>
        </w:rPr>
        <w:t xml:space="preserve">, ignoring 10% of </w:t>
      </w:r>
      <w:r w:rsidR="004B330B">
        <w:rPr>
          <w:rFonts w:cs="Arial"/>
        </w:rPr>
        <w:t>the longest trips</w:t>
      </w:r>
      <w:r w:rsidR="00CD706C">
        <w:rPr>
          <w:rFonts w:cs="Arial"/>
        </w:rPr>
        <w:t xml:space="preserve"> etc.) </w:t>
      </w:r>
      <w:r w:rsidR="006B71DF">
        <w:rPr>
          <w:rFonts w:cs="Arial"/>
        </w:rPr>
        <w:t>Data</w:t>
      </w:r>
      <w:r w:rsidR="007F4C0E">
        <w:rPr>
          <w:rFonts w:cs="Arial"/>
        </w:rPr>
        <w:t xml:space="preserve"> or projections</w:t>
      </w:r>
      <w:r w:rsidR="006B71DF">
        <w:rPr>
          <w:rFonts w:cs="Arial"/>
        </w:rPr>
        <w:t xml:space="preserve"> from transport departments should also be used to define the volume of travel in each year considered. </w:t>
      </w:r>
    </w:p>
    <w:p w14:paraId="0BB0ABB6" w14:textId="77777777" w:rsidR="004B330B" w:rsidRDefault="004B330B" w:rsidP="005C757F">
      <w:pPr>
        <w:pStyle w:val="Norma"/>
        <w:spacing w:line="276" w:lineRule="auto"/>
        <w:rPr>
          <w:rFonts w:cs="Arial"/>
        </w:rPr>
      </w:pPr>
    </w:p>
    <w:p w14:paraId="13B8209D" w14:textId="7CFDE494" w:rsidR="004B330B" w:rsidRDefault="004B330B" w:rsidP="005C757F">
      <w:pPr>
        <w:pStyle w:val="Norma"/>
        <w:spacing w:line="276" w:lineRule="auto"/>
        <w:rPr>
          <w:rFonts w:cs="Arial"/>
        </w:rPr>
      </w:pPr>
      <w:r>
        <w:rPr>
          <w:rFonts w:cs="Arial"/>
        </w:rPr>
        <w:t>Two different use cases of rapid chargers should be considered in the model:</w:t>
      </w:r>
    </w:p>
    <w:p w14:paraId="19C7E30E" w14:textId="2B002202" w:rsidR="004B330B" w:rsidRDefault="004B330B" w:rsidP="008A0D47">
      <w:pPr>
        <w:pStyle w:val="Norma"/>
        <w:numPr>
          <w:ilvl w:val="0"/>
          <w:numId w:val="12"/>
        </w:numPr>
        <w:spacing w:line="276" w:lineRule="auto"/>
        <w:rPr>
          <w:rFonts w:cs="Arial"/>
        </w:rPr>
      </w:pPr>
      <w:r>
        <w:rPr>
          <w:rFonts w:cs="Arial"/>
        </w:rPr>
        <w:t xml:space="preserve">Where the electric vehicle owner has access to charging overnight </w:t>
      </w:r>
      <w:r w:rsidR="007F4C0E">
        <w:rPr>
          <w:rFonts w:cs="Arial"/>
        </w:rPr>
        <w:t xml:space="preserve">but will </w:t>
      </w:r>
      <w:r>
        <w:rPr>
          <w:rFonts w:cs="Arial"/>
        </w:rPr>
        <w:t xml:space="preserve">need to use rapid chargers on long trips. </w:t>
      </w:r>
    </w:p>
    <w:p w14:paraId="333700FF" w14:textId="26AA5138" w:rsidR="004B330B" w:rsidRDefault="007F4C0E" w:rsidP="008A0D47">
      <w:pPr>
        <w:pStyle w:val="Norma"/>
        <w:numPr>
          <w:ilvl w:val="0"/>
          <w:numId w:val="12"/>
        </w:numPr>
        <w:spacing w:line="276" w:lineRule="auto"/>
        <w:rPr>
          <w:rFonts w:cs="Arial"/>
        </w:rPr>
      </w:pPr>
      <w:r>
        <w:rPr>
          <w:rFonts w:cs="Arial"/>
        </w:rPr>
        <w:t>An illustrative scenario, w</w:t>
      </w:r>
      <w:r w:rsidR="004B330B">
        <w:rPr>
          <w:rFonts w:cs="Arial"/>
        </w:rPr>
        <w:t xml:space="preserve">here the electric vehicle owner does not have access to overnight charging (i.e. they may live in a house without suitable off street parking) and will need to use rapid chargers for all their charging needs. </w:t>
      </w:r>
    </w:p>
    <w:p w14:paraId="597ADDD0" w14:textId="1E3BE8A7" w:rsidR="004B330B" w:rsidRDefault="004B330B" w:rsidP="004B330B">
      <w:pPr>
        <w:pStyle w:val="Norma"/>
        <w:spacing w:line="276" w:lineRule="auto"/>
        <w:rPr>
          <w:rFonts w:cs="Arial"/>
        </w:rPr>
      </w:pPr>
      <w:r>
        <w:rPr>
          <w:rFonts w:cs="Arial"/>
        </w:rPr>
        <w:t xml:space="preserve">The model should be able to provide outputs for both use cases and for use case 1 only. </w:t>
      </w:r>
      <w:r w:rsidR="003C298E">
        <w:rPr>
          <w:rFonts w:cs="Arial"/>
        </w:rPr>
        <w:t>For use case 1, it will not be sufficient to consider only the parts of the journey on the strategic road network</w:t>
      </w:r>
      <w:r w:rsidR="009C602B">
        <w:rPr>
          <w:rFonts w:cs="Arial"/>
        </w:rPr>
        <w:t xml:space="preserve"> (SRN)</w:t>
      </w:r>
      <w:r w:rsidR="003C298E">
        <w:rPr>
          <w:rFonts w:cs="Arial"/>
        </w:rPr>
        <w:t xml:space="preserve">, as the distance travelled to access the SRN or after departing the SRN must also be included. </w:t>
      </w:r>
    </w:p>
    <w:p w14:paraId="6EFAA4E3" w14:textId="77777777" w:rsidR="007F4C0E" w:rsidRDefault="007F4C0E" w:rsidP="004B330B">
      <w:pPr>
        <w:pStyle w:val="Norma"/>
        <w:spacing w:line="276" w:lineRule="auto"/>
        <w:rPr>
          <w:rFonts w:cs="Arial"/>
        </w:rPr>
      </w:pPr>
    </w:p>
    <w:p w14:paraId="2094869D" w14:textId="6AD5039E" w:rsidR="007F4C0E" w:rsidRDefault="007F4C0E" w:rsidP="004B330B">
      <w:pPr>
        <w:pStyle w:val="Norma"/>
        <w:spacing w:line="276" w:lineRule="auto"/>
        <w:rPr>
          <w:rFonts w:cs="Arial"/>
        </w:rPr>
      </w:pPr>
      <w:r>
        <w:rPr>
          <w:rFonts w:cs="Arial"/>
        </w:rPr>
        <w:t>For the illustrative scenario in use case 2, it should be assumed that all electric vehicle owners without suitable off street parking will use rapid chargers and do not have access to on street slow charging or workplace slow charging. Developing a model with these assumptions will provide an upper bound to the amount of rapid chargers that may be required in urban areas</w:t>
      </w:r>
      <w:r w:rsidR="00D053C4">
        <w:rPr>
          <w:rFonts w:cs="Arial"/>
        </w:rPr>
        <w:t xml:space="preserve"> (as it is likely some electric vehicle owners will have access to on street charging or workplace charging)</w:t>
      </w:r>
      <w:r>
        <w:rPr>
          <w:rFonts w:cs="Arial"/>
        </w:rPr>
        <w:t xml:space="preserve">. A simple model based upon the frequency </w:t>
      </w:r>
      <w:r w:rsidR="00EC7B72">
        <w:rPr>
          <w:rFonts w:cs="Arial"/>
        </w:rPr>
        <w:t xml:space="preserve">these </w:t>
      </w:r>
      <w:r>
        <w:rPr>
          <w:rFonts w:cs="Arial"/>
        </w:rPr>
        <w:t xml:space="preserve">electric vehicle owners </w:t>
      </w:r>
      <w:r w:rsidR="00EC7B72">
        <w:rPr>
          <w:rFonts w:cs="Arial"/>
        </w:rPr>
        <w:t>will need to recharge is preferable, with suitable assumptions about the locations of drivers without access to off street parking (likely to be in urban areas). The model should provide approximate locations where rapid chargers wi</w:t>
      </w:r>
      <w:r w:rsidR="00D053C4">
        <w:rPr>
          <w:rFonts w:cs="Arial"/>
        </w:rPr>
        <w:t xml:space="preserve">ll be required for this purpose. Whilst we expect these rapid chargers to be placed at shopping and leisure </w:t>
      </w:r>
      <w:r w:rsidR="00D053C4">
        <w:rPr>
          <w:rFonts w:cs="Arial"/>
        </w:rPr>
        <w:lastRenderedPageBreak/>
        <w:t>locations, it is not necessary to provide potential locations and the general area they should be located is a sufficient level of detail.</w:t>
      </w:r>
    </w:p>
    <w:p w14:paraId="58649DC1" w14:textId="77777777" w:rsidR="00EC7B72" w:rsidRDefault="00EC7B72" w:rsidP="004B330B">
      <w:pPr>
        <w:pStyle w:val="Norma"/>
        <w:spacing w:line="276" w:lineRule="auto"/>
        <w:rPr>
          <w:rFonts w:cs="Arial"/>
        </w:rPr>
      </w:pPr>
    </w:p>
    <w:p w14:paraId="2704D699" w14:textId="2EC936F0" w:rsidR="00EC7B72" w:rsidRDefault="00EC7B72" w:rsidP="004B330B">
      <w:pPr>
        <w:pStyle w:val="Norma"/>
        <w:spacing w:line="276" w:lineRule="auto"/>
        <w:rPr>
          <w:rFonts w:cs="Arial"/>
        </w:rPr>
      </w:pPr>
      <w:r>
        <w:rPr>
          <w:rFonts w:cs="Arial"/>
        </w:rPr>
        <w:t xml:space="preserve">Assumptions around the location of electric vehicle owners without access to off street parking should be developed using the latest evidence from government, industry and academia. </w:t>
      </w:r>
      <w:r w:rsidR="00D053C4">
        <w:rPr>
          <w:rFonts w:cs="Arial"/>
        </w:rPr>
        <w:t>Any bid should specify how precisely they are able to state the potential location of rapid charging hubs (i.e. at a city level, areas within cities, to within a 10 mile radius etc.)</w:t>
      </w:r>
    </w:p>
    <w:p w14:paraId="44B22BF9" w14:textId="77777777" w:rsidR="001C2002" w:rsidRDefault="001C2002" w:rsidP="005C757F">
      <w:pPr>
        <w:pStyle w:val="Norma"/>
        <w:spacing w:line="276" w:lineRule="auto"/>
        <w:rPr>
          <w:rFonts w:cs="Arial"/>
        </w:rPr>
      </w:pPr>
    </w:p>
    <w:p w14:paraId="024DC7F4" w14:textId="4F3F148C" w:rsidR="001C2002" w:rsidRDefault="001C2002" w:rsidP="005C757F">
      <w:pPr>
        <w:pStyle w:val="Norma"/>
        <w:spacing w:line="276" w:lineRule="auto"/>
        <w:rPr>
          <w:rFonts w:cs="Arial"/>
        </w:rPr>
      </w:pPr>
      <w:r>
        <w:rPr>
          <w:rFonts w:cs="Arial"/>
        </w:rPr>
        <w:t xml:space="preserve">Where there is conflicting evidence or there are gaps in the literature available, consultants should use their judgement to develop a set of assumptions for each scenario, setting out clearly the reasoning behind these assumptions. </w:t>
      </w:r>
    </w:p>
    <w:p w14:paraId="266DA27D" w14:textId="77777777" w:rsidR="00E16339" w:rsidRDefault="00E16339" w:rsidP="005C757F">
      <w:pPr>
        <w:pStyle w:val="Norma"/>
        <w:spacing w:line="276" w:lineRule="auto"/>
        <w:rPr>
          <w:rFonts w:cs="Arial"/>
        </w:rPr>
      </w:pPr>
    </w:p>
    <w:p w14:paraId="56FF6A27" w14:textId="255BCC1F" w:rsidR="00E16339" w:rsidRDefault="00E16339" w:rsidP="005C757F">
      <w:pPr>
        <w:pStyle w:val="Norma"/>
        <w:spacing w:line="276" w:lineRule="auto"/>
        <w:rPr>
          <w:rFonts w:cs="Arial"/>
        </w:rPr>
      </w:pPr>
      <w:r>
        <w:rPr>
          <w:rFonts w:cs="Arial"/>
          <w:b/>
        </w:rPr>
        <w:t xml:space="preserve">Task 2: </w:t>
      </w:r>
      <w:r w:rsidRPr="005C757F">
        <w:rPr>
          <w:rFonts w:cs="Arial"/>
          <w:b/>
        </w:rPr>
        <w:t>To model the</w:t>
      </w:r>
      <w:r w:rsidR="007D1430" w:rsidRPr="005C757F">
        <w:rPr>
          <w:rFonts w:cs="Arial"/>
          <w:b/>
        </w:rPr>
        <w:t xml:space="preserve"> required</w:t>
      </w:r>
      <w:r w:rsidRPr="005C757F">
        <w:rPr>
          <w:rFonts w:cs="Arial"/>
          <w:b/>
        </w:rPr>
        <w:t xml:space="preserve"> rapid charging network in the years 2020, 2025 and 2030</w:t>
      </w:r>
    </w:p>
    <w:p w14:paraId="140112D9" w14:textId="77777777" w:rsidR="007D1430" w:rsidRDefault="007D1430" w:rsidP="005C757F">
      <w:pPr>
        <w:pStyle w:val="Norma"/>
        <w:spacing w:line="276" w:lineRule="auto"/>
        <w:rPr>
          <w:rFonts w:cs="Arial"/>
        </w:rPr>
      </w:pPr>
    </w:p>
    <w:p w14:paraId="2DFC7051" w14:textId="77777777" w:rsidR="00BD0806" w:rsidRDefault="007D1430" w:rsidP="00034F5B">
      <w:pPr>
        <w:rPr>
          <w:rFonts w:ascii="Arial" w:hAnsi="Arial" w:cs="Arial"/>
          <w:sz w:val="22"/>
          <w:szCs w:val="22"/>
        </w:rPr>
      </w:pPr>
      <w:r w:rsidRPr="00034F5B">
        <w:rPr>
          <w:rFonts w:ascii="Arial" w:hAnsi="Arial" w:cs="Arial"/>
          <w:sz w:val="22"/>
          <w:szCs w:val="22"/>
        </w:rPr>
        <w:t>The model should demonstrate the n</w:t>
      </w:r>
      <w:r w:rsidR="00CF6820" w:rsidRPr="00034F5B">
        <w:rPr>
          <w:rFonts w:ascii="Arial" w:hAnsi="Arial" w:cs="Arial"/>
          <w:sz w:val="22"/>
          <w:szCs w:val="22"/>
        </w:rPr>
        <w:t>umber and location of chargers in a range of scenarios</w:t>
      </w:r>
      <w:r w:rsidR="007867CD" w:rsidRPr="00034F5B">
        <w:rPr>
          <w:rFonts w:ascii="Arial" w:hAnsi="Arial" w:cs="Arial"/>
          <w:sz w:val="22"/>
          <w:szCs w:val="22"/>
        </w:rPr>
        <w:t xml:space="preserve"> and sensitivities on key inputs</w:t>
      </w:r>
      <w:r w:rsidR="00CF6820" w:rsidRPr="00034F5B">
        <w:rPr>
          <w:rFonts w:ascii="Arial" w:hAnsi="Arial" w:cs="Arial"/>
          <w:sz w:val="22"/>
          <w:szCs w:val="22"/>
        </w:rPr>
        <w:t xml:space="preserve">. </w:t>
      </w:r>
      <w:r w:rsidR="007867CD" w:rsidRPr="00034F5B">
        <w:rPr>
          <w:rFonts w:ascii="Arial" w:hAnsi="Arial" w:cs="Arial"/>
          <w:sz w:val="22"/>
          <w:szCs w:val="22"/>
        </w:rPr>
        <w:t>They</w:t>
      </w:r>
      <w:r w:rsidR="00CF6820" w:rsidRPr="00034F5B">
        <w:rPr>
          <w:rFonts w:ascii="Arial" w:hAnsi="Arial" w:cs="Arial"/>
          <w:sz w:val="22"/>
          <w:szCs w:val="22"/>
        </w:rPr>
        <w:t xml:space="preserve"> should be presented in a transparent excel spreadsheet. </w:t>
      </w:r>
      <w:r w:rsidR="00BD0806" w:rsidRPr="00034F5B">
        <w:rPr>
          <w:rFonts w:ascii="Arial" w:hAnsi="Arial" w:cs="Arial"/>
          <w:sz w:val="22"/>
          <w:szCs w:val="22"/>
        </w:rPr>
        <w:t>The inputs should be all the factors considered to be important in determining the optimum charging points needed and the model should be capable of flexing the assumptions for a given scenario. For example the sensitivity of assumptions around key inputs such as driving range, range anxiety, distance travelled, should be capable of being flexed in the model.</w:t>
      </w:r>
    </w:p>
    <w:p w14:paraId="6771B8BD" w14:textId="77777777" w:rsidR="00D053C4" w:rsidRDefault="00D053C4" w:rsidP="00034F5B">
      <w:pPr>
        <w:rPr>
          <w:rFonts w:ascii="Arial" w:hAnsi="Arial" w:cs="Arial"/>
          <w:sz w:val="22"/>
          <w:szCs w:val="22"/>
        </w:rPr>
      </w:pPr>
    </w:p>
    <w:p w14:paraId="10C91151" w14:textId="3B069AD6" w:rsidR="00D053C4" w:rsidRPr="00034F5B" w:rsidRDefault="00D053C4" w:rsidP="00034F5B">
      <w:pPr>
        <w:rPr>
          <w:rFonts w:ascii="Arial" w:hAnsi="Arial" w:cs="Arial"/>
          <w:i/>
        </w:rPr>
      </w:pPr>
      <w:r>
        <w:rPr>
          <w:rFonts w:ascii="Arial" w:hAnsi="Arial" w:cs="Arial"/>
          <w:sz w:val="22"/>
          <w:szCs w:val="22"/>
        </w:rPr>
        <w:t>Rapid chargers along the strategic road network should be located at existing</w:t>
      </w:r>
      <w:r w:rsidR="00C36DE2">
        <w:rPr>
          <w:rFonts w:ascii="Arial" w:hAnsi="Arial" w:cs="Arial"/>
          <w:sz w:val="22"/>
          <w:szCs w:val="22"/>
        </w:rPr>
        <w:t xml:space="preserve"> or planned motorway service areas (including those along A-roads).</w:t>
      </w:r>
    </w:p>
    <w:p w14:paraId="083CC71B" w14:textId="49D48A9A" w:rsidR="007D1430" w:rsidRDefault="007D1430" w:rsidP="005C757F">
      <w:pPr>
        <w:pStyle w:val="Norma"/>
        <w:spacing w:line="276" w:lineRule="auto"/>
        <w:rPr>
          <w:rFonts w:cs="Arial"/>
        </w:rPr>
      </w:pPr>
    </w:p>
    <w:p w14:paraId="698F1A0F" w14:textId="77777777" w:rsidR="00E16339" w:rsidRDefault="00E16339" w:rsidP="005C757F">
      <w:pPr>
        <w:pStyle w:val="Norma"/>
        <w:spacing w:line="276" w:lineRule="auto"/>
        <w:rPr>
          <w:rFonts w:cs="Arial"/>
        </w:rPr>
      </w:pPr>
    </w:p>
    <w:p w14:paraId="1FDF2D9E" w14:textId="56D76207" w:rsidR="00E16339" w:rsidRDefault="007D1430" w:rsidP="005C757F">
      <w:pPr>
        <w:pStyle w:val="Norma"/>
        <w:spacing w:line="276" w:lineRule="auto"/>
        <w:rPr>
          <w:rFonts w:cs="Arial"/>
        </w:rPr>
      </w:pPr>
      <w:r>
        <w:rPr>
          <w:rFonts w:cs="Arial"/>
          <w:b/>
        </w:rPr>
        <w:t xml:space="preserve">Task 3: </w:t>
      </w:r>
      <w:r w:rsidRPr="005C757F">
        <w:rPr>
          <w:rFonts w:cs="Arial"/>
          <w:b/>
        </w:rPr>
        <w:t xml:space="preserve">To compare the rapid charging network in 2017 </w:t>
      </w:r>
      <w:r w:rsidR="007867CD" w:rsidRPr="005C757F">
        <w:rPr>
          <w:rFonts w:cs="Arial"/>
          <w:b/>
        </w:rPr>
        <w:t>with</w:t>
      </w:r>
      <w:r w:rsidRPr="005C757F">
        <w:rPr>
          <w:rFonts w:cs="Arial"/>
          <w:b/>
        </w:rPr>
        <w:t xml:space="preserve"> the modelled output</w:t>
      </w:r>
      <w:r>
        <w:rPr>
          <w:rFonts w:cs="Arial"/>
        </w:rPr>
        <w:t xml:space="preserve">. </w:t>
      </w:r>
    </w:p>
    <w:p w14:paraId="6758CE5C" w14:textId="77777777" w:rsidR="007D1430" w:rsidRDefault="007D1430" w:rsidP="005C757F">
      <w:pPr>
        <w:pStyle w:val="Norma"/>
        <w:spacing w:line="276" w:lineRule="auto"/>
        <w:rPr>
          <w:rFonts w:cs="Arial"/>
        </w:rPr>
      </w:pPr>
    </w:p>
    <w:p w14:paraId="7693A3AD" w14:textId="6D7A9D35" w:rsidR="00EC7B72" w:rsidRDefault="007D1430" w:rsidP="005C757F">
      <w:pPr>
        <w:pStyle w:val="Norma"/>
        <w:spacing w:line="276" w:lineRule="auto"/>
        <w:rPr>
          <w:rFonts w:cs="Arial"/>
        </w:rPr>
      </w:pPr>
      <w:r>
        <w:rPr>
          <w:rFonts w:cs="Arial"/>
        </w:rPr>
        <w:t xml:space="preserve">The comparison must include both a comparison of the number of chargers and the location of chargers. Underserved areas should be identified. </w:t>
      </w:r>
      <w:r w:rsidR="00CF6820">
        <w:rPr>
          <w:rFonts w:cs="Arial"/>
        </w:rPr>
        <w:t>This comparison should be presented in a transparent excel spreadsheet</w:t>
      </w:r>
      <w:r w:rsidR="00034F5B">
        <w:rPr>
          <w:rFonts w:cs="Arial"/>
        </w:rPr>
        <w:t xml:space="preserve"> or an alternative format to be agreed with the CCC</w:t>
      </w:r>
      <w:r w:rsidR="00CF6820">
        <w:rPr>
          <w:rFonts w:cs="Arial"/>
        </w:rPr>
        <w:t xml:space="preserve">. </w:t>
      </w:r>
    </w:p>
    <w:p w14:paraId="6155D4A9" w14:textId="77777777" w:rsidR="00CD706C" w:rsidRPr="007D1430" w:rsidRDefault="00CD706C" w:rsidP="005C757F">
      <w:pPr>
        <w:pStyle w:val="Norma"/>
        <w:spacing w:line="276" w:lineRule="auto"/>
        <w:rPr>
          <w:rFonts w:cs="Arial"/>
        </w:rPr>
      </w:pPr>
    </w:p>
    <w:p w14:paraId="70432F6D" w14:textId="77777777" w:rsidR="007867CD" w:rsidRDefault="0037176F" w:rsidP="005C757F">
      <w:pPr>
        <w:pStyle w:val="Norma"/>
        <w:spacing w:line="276" w:lineRule="auto"/>
        <w:rPr>
          <w:rFonts w:cs="Arial"/>
        </w:rPr>
      </w:pPr>
      <w:r w:rsidRPr="00047D19">
        <w:rPr>
          <w:rFonts w:cs="Arial"/>
          <w:b/>
        </w:rPr>
        <w:t>Task 4</w:t>
      </w:r>
      <w:r w:rsidRPr="00047D19">
        <w:rPr>
          <w:rFonts w:cs="Arial"/>
        </w:rPr>
        <w:t xml:space="preserve">: </w:t>
      </w:r>
      <w:r w:rsidRPr="005C757F">
        <w:rPr>
          <w:rFonts w:cs="Arial"/>
          <w:b/>
        </w:rPr>
        <w:t xml:space="preserve">To develop an understanding of </w:t>
      </w:r>
      <w:r w:rsidR="007867CD" w:rsidRPr="005C757F">
        <w:rPr>
          <w:rFonts w:cs="Arial"/>
          <w:b/>
        </w:rPr>
        <w:t>interoperability issues.</w:t>
      </w:r>
    </w:p>
    <w:p w14:paraId="1F9F29BE" w14:textId="77777777" w:rsidR="007867CD" w:rsidRDefault="007867CD" w:rsidP="005C757F">
      <w:pPr>
        <w:pStyle w:val="Norma"/>
        <w:spacing w:line="276" w:lineRule="auto"/>
        <w:rPr>
          <w:rFonts w:cs="Arial"/>
        </w:rPr>
      </w:pPr>
    </w:p>
    <w:p w14:paraId="69E81BAE" w14:textId="6B00EAC8" w:rsidR="0037176F" w:rsidRPr="00047D19" w:rsidRDefault="007867CD" w:rsidP="005C757F">
      <w:pPr>
        <w:pStyle w:val="Norma"/>
        <w:spacing w:line="276" w:lineRule="auto"/>
        <w:rPr>
          <w:rFonts w:cs="Arial"/>
        </w:rPr>
      </w:pPr>
      <w:r>
        <w:rPr>
          <w:rFonts w:cs="Arial"/>
        </w:rPr>
        <w:t xml:space="preserve">This task should use existing information to identify </w:t>
      </w:r>
      <w:r w:rsidR="0037176F" w:rsidRPr="00047D19">
        <w:rPr>
          <w:rFonts w:cs="Arial"/>
        </w:rPr>
        <w:t xml:space="preserve">the key issues around hardware and information exchange protocols which would need to be resolved to develop </w:t>
      </w:r>
      <w:r>
        <w:rPr>
          <w:rFonts w:cs="Arial"/>
        </w:rPr>
        <w:t>an</w:t>
      </w:r>
      <w:r w:rsidR="0037176F" w:rsidRPr="00047D19">
        <w:rPr>
          <w:rFonts w:cs="Arial"/>
        </w:rPr>
        <w:t xml:space="preserve"> optimum </w:t>
      </w:r>
      <w:r>
        <w:rPr>
          <w:rFonts w:cs="Arial"/>
        </w:rPr>
        <w:t xml:space="preserve">charging </w:t>
      </w:r>
      <w:r w:rsidR="0037176F" w:rsidRPr="00047D19">
        <w:rPr>
          <w:rFonts w:cs="Arial"/>
        </w:rPr>
        <w:t>network</w:t>
      </w:r>
      <w:r>
        <w:rPr>
          <w:rFonts w:cs="Arial"/>
        </w:rPr>
        <w:t>, taking account of different types of chargers, manufacturers and charging systems.</w:t>
      </w:r>
    </w:p>
    <w:p w14:paraId="61910135" w14:textId="77777777" w:rsidR="0037176F" w:rsidRPr="00047D19" w:rsidRDefault="0037176F" w:rsidP="005C757F">
      <w:pPr>
        <w:pStyle w:val="Norma"/>
        <w:spacing w:line="276" w:lineRule="auto"/>
        <w:rPr>
          <w:rFonts w:cs="Arial"/>
        </w:rPr>
      </w:pPr>
    </w:p>
    <w:p w14:paraId="087ADE39" w14:textId="77777777" w:rsidR="0037176F" w:rsidRPr="00047D19" w:rsidRDefault="0037176F" w:rsidP="005C757F">
      <w:pPr>
        <w:pStyle w:val="Norma"/>
        <w:spacing w:line="276" w:lineRule="auto"/>
        <w:rPr>
          <w:rFonts w:cs="Arial"/>
          <w:b/>
        </w:rPr>
      </w:pPr>
    </w:p>
    <w:p w14:paraId="17276A3A" w14:textId="755B3343" w:rsidR="0037176F" w:rsidRPr="00047D19" w:rsidRDefault="0037176F" w:rsidP="005C757F">
      <w:pPr>
        <w:pStyle w:val="Norma"/>
        <w:spacing w:line="276" w:lineRule="auto"/>
        <w:rPr>
          <w:rFonts w:cs="Arial"/>
          <w:b/>
        </w:rPr>
      </w:pPr>
      <w:r w:rsidRPr="00047D19">
        <w:rPr>
          <w:rFonts w:cs="Arial"/>
          <w:b/>
        </w:rPr>
        <w:t>Task 5:</w:t>
      </w:r>
      <w:r w:rsidR="00047D19" w:rsidRPr="00047D19">
        <w:rPr>
          <w:rFonts w:cs="Arial"/>
          <w:b/>
        </w:rPr>
        <w:t xml:space="preserve"> </w:t>
      </w:r>
      <w:r w:rsidR="00CD706C" w:rsidRPr="005C757F">
        <w:rPr>
          <w:rFonts w:cs="Arial"/>
          <w:b/>
        </w:rPr>
        <w:t>Produce</w:t>
      </w:r>
      <w:r w:rsidR="00047D19" w:rsidRPr="005C757F">
        <w:rPr>
          <w:rFonts w:cs="Arial"/>
          <w:b/>
        </w:rPr>
        <w:t xml:space="preserve"> a technical report</w:t>
      </w:r>
    </w:p>
    <w:p w14:paraId="5A23A86A" w14:textId="77777777" w:rsidR="00047D19" w:rsidRPr="00047D19" w:rsidRDefault="00047D19" w:rsidP="005C757F">
      <w:pPr>
        <w:pStyle w:val="Norma"/>
        <w:spacing w:line="276" w:lineRule="auto"/>
        <w:rPr>
          <w:rFonts w:cs="Arial"/>
        </w:rPr>
      </w:pPr>
    </w:p>
    <w:p w14:paraId="2C399C52" w14:textId="181382B9" w:rsidR="00047D19" w:rsidRPr="00047D19" w:rsidRDefault="00047D19" w:rsidP="005C757F">
      <w:pPr>
        <w:pStyle w:val="Norma"/>
        <w:spacing w:line="276" w:lineRule="auto"/>
        <w:rPr>
          <w:rFonts w:cs="Arial"/>
        </w:rPr>
      </w:pPr>
      <w:r w:rsidRPr="00047D19">
        <w:rPr>
          <w:rFonts w:cs="Arial"/>
        </w:rPr>
        <w:t>The report should set out the assumptions and scenarios used in the project and should summarise the outputs. The report should also highlight the key barriers to developing this optimum network.</w:t>
      </w:r>
    </w:p>
    <w:p w14:paraId="5EA8755E" w14:textId="006548F1" w:rsidR="0034658D" w:rsidRDefault="0034658D" w:rsidP="008A2F2D">
      <w:pPr>
        <w:pStyle w:val="Heading1"/>
        <w:numPr>
          <w:ilvl w:val="0"/>
          <w:numId w:val="3"/>
        </w:numPr>
        <w:rPr>
          <w:rFonts w:ascii="Arial" w:hAnsi="Arial" w:cs="Arial"/>
          <w:sz w:val="24"/>
          <w:szCs w:val="24"/>
        </w:rPr>
      </w:pPr>
      <w:bookmarkStart w:id="12" w:name="_Ref357541705"/>
      <w:bookmarkStart w:id="13" w:name="_Toc381969510"/>
      <w:bookmarkStart w:id="14"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12"/>
      <w:bookmarkEnd w:id="13"/>
      <w:bookmarkEnd w:id="14"/>
      <w:r w:rsidR="007524CC">
        <w:rPr>
          <w:rFonts w:ascii="Arial" w:hAnsi="Arial" w:cs="Arial"/>
          <w:sz w:val="24"/>
          <w:szCs w:val="24"/>
        </w:rPr>
        <w:t xml:space="preserve"> and Timetable</w:t>
      </w:r>
    </w:p>
    <w:p w14:paraId="6C38745F" w14:textId="77777777" w:rsidR="008E4854" w:rsidRPr="008E4854" w:rsidRDefault="008E4854" w:rsidP="008E4854">
      <w:pPr>
        <w:pStyle w:val="Norma"/>
      </w:pPr>
    </w:p>
    <w:p w14:paraId="43CF41D9" w14:textId="77777777" w:rsidR="008E4854" w:rsidRDefault="008E4854" w:rsidP="008E4854">
      <w:pPr>
        <w:rPr>
          <w:rFonts w:ascii="Arial" w:hAnsi="Arial" w:cs="Arial"/>
          <w:sz w:val="22"/>
          <w:szCs w:val="22"/>
        </w:rPr>
      </w:pPr>
      <w:r>
        <w:rPr>
          <w:rFonts w:ascii="Arial" w:hAnsi="Arial" w:cs="Arial"/>
          <w:sz w:val="22"/>
          <w:szCs w:val="22"/>
        </w:rPr>
        <w:lastRenderedPageBreak/>
        <w:t>The outputs from the project will include:</w:t>
      </w:r>
    </w:p>
    <w:p w14:paraId="011DF0E3" w14:textId="15E4132C" w:rsidR="008E4854" w:rsidRPr="008E4854" w:rsidRDefault="008E4854" w:rsidP="008E4854">
      <w:pPr>
        <w:pStyle w:val="ListParagraph"/>
        <w:numPr>
          <w:ilvl w:val="0"/>
          <w:numId w:val="7"/>
        </w:numPr>
        <w:rPr>
          <w:i/>
        </w:rPr>
      </w:pPr>
      <w:r>
        <w:rPr>
          <w:rFonts w:ascii="Arial" w:hAnsi="Arial" w:cs="Arial"/>
        </w:rPr>
        <w:t>Presentation of the interim and final results of the</w:t>
      </w:r>
      <w:r w:rsidR="007D1430">
        <w:rPr>
          <w:rFonts w:ascii="Arial" w:hAnsi="Arial" w:cs="Arial"/>
        </w:rPr>
        <w:t xml:space="preserve"> project to members of the CCC secretariat</w:t>
      </w:r>
      <w:r>
        <w:rPr>
          <w:rFonts w:ascii="Arial" w:hAnsi="Arial" w:cs="Arial"/>
        </w:rPr>
        <w:t xml:space="preserve"> and other interested parties</w:t>
      </w:r>
    </w:p>
    <w:p w14:paraId="675D55B7" w14:textId="1E929870" w:rsidR="004B48B3" w:rsidRPr="00047D19" w:rsidRDefault="008E4854" w:rsidP="008E4854">
      <w:pPr>
        <w:pStyle w:val="ListParagraph"/>
        <w:numPr>
          <w:ilvl w:val="0"/>
          <w:numId w:val="7"/>
        </w:numPr>
        <w:rPr>
          <w:i/>
        </w:rPr>
      </w:pPr>
      <w:r>
        <w:rPr>
          <w:rFonts w:ascii="Arial" w:hAnsi="Arial" w:cs="Arial"/>
        </w:rPr>
        <w:t xml:space="preserve">Transparent excel spreadsheets </w:t>
      </w:r>
      <w:r w:rsidR="00EC7710">
        <w:rPr>
          <w:rFonts w:ascii="Arial" w:hAnsi="Arial" w:cs="Arial"/>
        </w:rPr>
        <w:t>with the output being</w:t>
      </w:r>
      <w:r>
        <w:rPr>
          <w:rFonts w:ascii="Arial" w:hAnsi="Arial" w:cs="Arial"/>
        </w:rPr>
        <w:t xml:space="preserve"> the number of rapid chargers required in 2020, 2025 and 2030</w:t>
      </w:r>
      <w:r w:rsidR="004B48B3">
        <w:rPr>
          <w:rFonts w:ascii="Arial" w:hAnsi="Arial" w:cs="Arial"/>
        </w:rPr>
        <w:t xml:space="preserve"> for the different scenarios.</w:t>
      </w:r>
      <w:r>
        <w:rPr>
          <w:rFonts w:ascii="Arial" w:hAnsi="Arial" w:cs="Arial"/>
        </w:rPr>
        <w:t xml:space="preserve"> </w:t>
      </w:r>
    </w:p>
    <w:p w14:paraId="74AED9C7" w14:textId="0E95C24D" w:rsidR="008E4854" w:rsidRPr="008E4854" w:rsidRDefault="004B48B3" w:rsidP="008E4854">
      <w:pPr>
        <w:pStyle w:val="ListParagraph"/>
        <w:numPr>
          <w:ilvl w:val="0"/>
          <w:numId w:val="7"/>
        </w:numPr>
        <w:rPr>
          <w:i/>
        </w:rPr>
      </w:pPr>
      <w:r>
        <w:rPr>
          <w:rFonts w:ascii="Arial" w:hAnsi="Arial" w:cs="Arial"/>
        </w:rPr>
        <w:t>A</w:t>
      </w:r>
      <w:r w:rsidR="008E4854">
        <w:rPr>
          <w:rFonts w:ascii="Arial" w:hAnsi="Arial" w:cs="Arial"/>
        </w:rPr>
        <w:t xml:space="preserve"> comparison to the current number </w:t>
      </w:r>
      <w:r w:rsidR="00BD0806">
        <w:rPr>
          <w:rFonts w:ascii="Arial" w:hAnsi="Arial" w:cs="Arial"/>
        </w:rPr>
        <w:t xml:space="preserve">and location </w:t>
      </w:r>
      <w:r w:rsidR="008E4854">
        <w:rPr>
          <w:rFonts w:ascii="Arial" w:hAnsi="Arial" w:cs="Arial"/>
        </w:rPr>
        <w:t>of chargers in 2017.</w:t>
      </w:r>
      <w:r w:rsidR="00EC7710">
        <w:rPr>
          <w:rFonts w:ascii="Arial" w:hAnsi="Arial" w:cs="Arial"/>
        </w:rPr>
        <w:t xml:space="preserve"> </w:t>
      </w:r>
    </w:p>
    <w:p w14:paraId="5EA8755F" w14:textId="4DB291CF" w:rsidR="00A469D8" w:rsidRPr="008E4854" w:rsidRDefault="008E4854" w:rsidP="008E4854">
      <w:pPr>
        <w:pStyle w:val="ListParagraph"/>
        <w:numPr>
          <w:ilvl w:val="0"/>
          <w:numId w:val="7"/>
        </w:numPr>
        <w:rPr>
          <w:i/>
        </w:rPr>
      </w:pPr>
      <w:r>
        <w:rPr>
          <w:rFonts w:ascii="Arial" w:hAnsi="Arial" w:cs="Arial"/>
        </w:rPr>
        <w:t>A</w:t>
      </w:r>
      <w:r w:rsidR="007D1430">
        <w:rPr>
          <w:rFonts w:ascii="Arial" w:hAnsi="Arial" w:cs="Arial"/>
        </w:rPr>
        <w:t xml:space="preserve"> technical</w:t>
      </w:r>
      <w:r>
        <w:rPr>
          <w:rFonts w:ascii="Arial" w:hAnsi="Arial" w:cs="Arial"/>
        </w:rPr>
        <w:t xml:space="preserve"> report setting out the assumptions and scenarios used in the project and summarising the outputs. </w:t>
      </w:r>
    </w:p>
    <w:p w14:paraId="530A6DB7" w14:textId="41206012" w:rsidR="008E4854" w:rsidRDefault="008E4854" w:rsidP="008E4854">
      <w:pPr>
        <w:rPr>
          <w:rFonts w:ascii="Arial" w:hAnsi="Arial" w:cs="Arial"/>
          <w:sz w:val="22"/>
          <w:szCs w:val="22"/>
        </w:rPr>
      </w:pPr>
      <w:r>
        <w:rPr>
          <w:rFonts w:ascii="Arial" w:hAnsi="Arial" w:cs="Arial"/>
          <w:sz w:val="22"/>
          <w:szCs w:val="22"/>
        </w:rPr>
        <w:t xml:space="preserve">The proposed timetable for the project is set out in the following table. </w:t>
      </w:r>
    </w:p>
    <w:p w14:paraId="69C03BAD" w14:textId="162CE737" w:rsidR="007D1430" w:rsidRDefault="00C83790" w:rsidP="007D1430">
      <w:pPr>
        <w:pStyle w:val="ListParagraph"/>
        <w:numPr>
          <w:ilvl w:val="0"/>
          <w:numId w:val="11"/>
        </w:numPr>
        <w:rPr>
          <w:rFonts w:ascii="Arial" w:hAnsi="Arial" w:cs="Arial"/>
        </w:rPr>
      </w:pPr>
      <w:r>
        <w:rPr>
          <w:rFonts w:ascii="Arial" w:hAnsi="Arial" w:cs="Arial"/>
        </w:rPr>
        <w:t>At least 35</w:t>
      </w:r>
      <w:r w:rsidR="007D1430">
        <w:rPr>
          <w:rFonts w:ascii="Arial" w:hAnsi="Arial" w:cs="Arial"/>
        </w:rPr>
        <w:t>% of the project should be completed by end March 2017, with the remainder to be completed by the end of May.</w:t>
      </w:r>
    </w:p>
    <w:p w14:paraId="415A526E" w14:textId="2DFDA3A7" w:rsidR="007D1430" w:rsidRPr="007D1430" w:rsidRDefault="007D1430" w:rsidP="007D1430">
      <w:pPr>
        <w:pStyle w:val="ListParagraph"/>
        <w:numPr>
          <w:ilvl w:val="0"/>
          <w:numId w:val="11"/>
        </w:numPr>
        <w:rPr>
          <w:rFonts w:ascii="Arial" w:hAnsi="Arial" w:cs="Arial"/>
        </w:rPr>
      </w:pPr>
      <w:r>
        <w:rPr>
          <w:rFonts w:ascii="Arial" w:hAnsi="Arial" w:cs="Arial"/>
        </w:rPr>
        <w:t xml:space="preserve">Interim results and/or final results for a limited number of scenarios to be completed in time (i.e. late April) to feed into the CCC’s annual progress report (published end June 2017). </w:t>
      </w:r>
    </w:p>
    <w:p w14:paraId="12127885" w14:textId="77777777" w:rsidR="008E4854" w:rsidRDefault="008E4854" w:rsidP="008E4854">
      <w:pPr>
        <w:rPr>
          <w:rFonts w:ascii="Arial" w:hAnsi="Arial" w:cs="Arial"/>
          <w:sz w:val="22"/>
          <w:szCs w:val="22"/>
        </w:rPr>
      </w:pPr>
    </w:p>
    <w:tbl>
      <w:tblPr>
        <w:tblStyle w:val="TableGrid"/>
        <w:tblW w:w="0" w:type="auto"/>
        <w:tblLook w:val="04A0" w:firstRow="1" w:lastRow="0" w:firstColumn="1" w:lastColumn="0" w:noHBand="0" w:noVBand="1"/>
      </w:tblPr>
      <w:tblGrid>
        <w:gridCol w:w="4621"/>
        <w:gridCol w:w="4621"/>
      </w:tblGrid>
      <w:tr w:rsidR="00543B00" w14:paraId="3F59F386" w14:textId="77777777" w:rsidTr="00543B00">
        <w:tc>
          <w:tcPr>
            <w:tcW w:w="4621" w:type="dxa"/>
            <w:shd w:val="clear" w:color="auto" w:fill="808080" w:themeFill="background1" w:themeFillShade="80"/>
            <w:hideMark/>
          </w:tcPr>
          <w:p w14:paraId="43B0C7D5" w14:textId="77777777" w:rsidR="00543B00" w:rsidRPr="00543B00" w:rsidRDefault="00543B00">
            <w:pPr>
              <w:rPr>
                <w:rFonts w:ascii="Arial" w:hAnsi="Arial" w:cs="Arial"/>
                <w:b/>
              </w:rPr>
            </w:pPr>
            <w:r w:rsidRPr="00543B00">
              <w:rPr>
                <w:rFonts w:ascii="Arial" w:hAnsi="Arial" w:cs="Arial"/>
                <w:b/>
              </w:rPr>
              <w:t>Date</w:t>
            </w:r>
          </w:p>
        </w:tc>
        <w:tc>
          <w:tcPr>
            <w:tcW w:w="4621" w:type="dxa"/>
            <w:shd w:val="clear" w:color="auto" w:fill="808080" w:themeFill="background1" w:themeFillShade="80"/>
            <w:hideMark/>
          </w:tcPr>
          <w:p w14:paraId="6FEF032E" w14:textId="77777777" w:rsidR="00543B00" w:rsidRPr="00543B00" w:rsidRDefault="00543B00">
            <w:pPr>
              <w:rPr>
                <w:rFonts w:ascii="Arial" w:hAnsi="Arial" w:cs="Arial"/>
                <w:b/>
              </w:rPr>
            </w:pPr>
            <w:r w:rsidRPr="00543B00">
              <w:rPr>
                <w:rFonts w:ascii="Arial" w:hAnsi="Arial" w:cs="Arial"/>
                <w:b/>
              </w:rPr>
              <w:t>Action/Deliverable</w:t>
            </w:r>
          </w:p>
        </w:tc>
      </w:tr>
      <w:tr w:rsidR="00543B00" w14:paraId="767F4A80" w14:textId="77777777" w:rsidTr="00543B00">
        <w:tc>
          <w:tcPr>
            <w:tcW w:w="4621" w:type="dxa"/>
            <w:hideMark/>
          </w:tcPr>
          <w:p w14:paraId="78E0203C" w14:textId="77777777" w:rsidR="00543B00" w:rsidRDefault="00543B00">
            <w:pPr>
              <w:rPr>
                <w:rFonts w:ascii="Arial" w:hAnsi="Arial" w:cs="Arial"/>
              </w:rPr>
            </w:pPr>
            <w:r>
              <w:rPr>
                <w:rFonts w:ascii="Arial" w:hAnsi="Arial" w:cs="Arial"/>
              </w:rPr>
              <w:t>1</w:t>
            </w:r>
            <w:r>
              <w:rPr>
                <w:rFonts w:ascii="Arial" w:hAnsi="Arial" w:cs="Arial"/>
                <w:vertAlign w:val="superscript"/>
              </w:rPr>
              <w:t>st</w:t>
            </w:r>
            <w:r>
              <w:rPr>
                <w:rFonts w:ascii="Arial" w:hAnsi="Arial" w:cs="Arial"/>
              </w:rPr>
              <w:t xml:space="preserve"> March</w:t>
            </w:r>
          </w:p>
        </w:tc>
        <w:tc>
          <w:tcPr>
            <w:tcW w:w="4621" w:type="dxa"/>
            <w:hideMark/>
          </w:tcPr>
          <w:p w14:paraId="4941A5B7" w14:textId="77777777" w:rsidR="00543B00" w:rsidRDefault="00543B00">
            <w:pPr>
              <w:rPr>
                <w:rFonts w:ascii="Arial" w:hAnsi="Arial" w:cs="Arial"/>
              </w:rPr>
            </w:pPr>
            <w:r>
              <w:rPr>
                <w:rFonts w:ascii="Arial" w:hAnsi="Arial" w:cs="Arial"/>
              </w:rPr>
              <w:t>Deadline for response to ITT</w:t>
            </w:r>
          </w:p>
        </w:tc>
      </w:tr>
      <w:tr w:rsidR="00543B00" w14:paraId="46CD53DA" w14:textId="77777777" w:rsidTr="00543B00">
        <w:tc>
          <w:tcPr>
            <w:tcW w:w="4621" w:type="dxa"/>
            <w:hideMark/>
          </w:tcPr>
          <w:p w14:paraId="0C59F55B" w14:textId="77777777" w:rsidR="00543B00" w:rsidRDefault="00543B00">
            <w:pPr>
              <w:rPr>
                <w:rFonts w:ascii="Arial" w:hAnsi="Arial" w:cs="Arial"/>
              </w:rPr>
            </w:pPr>
            <w:r>
              <w:rPr>
                <w:rFonts w:ascii="Arial" w:hAnsi="Arial" w:cs="Arial"/>
              </w:rPr>
              <w:t>6</w:t>
            </w:r>
            <w:r>
              <w:rPr>
                <w:rFonts w:ascii="Arial" w:hAnsi="Arial" w:cs="Arial"/>
                <w:vertAlign w:val="superscript"/>
              </w:rPr>
              <w:t>th</w:t>
            </w:r>
            <w:r>
              <w:rPr>
                <w:rFonts w:ascii="Arial" w:hAnsi="Arial" w:cs="Arial"/>
              </w:rPr>
              <w:t xml:space="preserve"> March</w:t>
            </w:r>
          </w:p>
        </w:tc>
        <w:tc>
          <w:tcPr>
            <w:tcW w:w="4621" w:type="dxa"/>
            <w:hideMark/>
          </w:tcPr>
          <w:p w14:paraId="72266A6A" w14:textId="77777777" w:rsidR="00543B00" w:rsidRDefault="00543B00">
            <w:pPr>
              <w:rPr>
                <w:rFonts w:ascii="Arial" w:hAnsi="Arial" w:cs="Arial"/>
              </w:rPr>
            </w:pPr>
            <w:r>
              <w:rPr>
                <w:rFonts w:ascii="Arial" w:hAnsi="Arial" w:cs="Arial"/>
              </w:rPr>
              <w:t>Interviews</w:t>
            </w:r>
          </w:p>
        </w:tc>
      </w:tr>
      <w:tr w:rsidR="00543B00" w14:paraId="2F5AB951" w14:textId="77777777" w:rsidTr="00543B00">
        <w:tc>
          <w:tcPr>
            <w:tcW w:w="4621" w:type="dxa"/>
            <w:hideMark/>
          </w:tcPr>
          <w:p w14:paraId="4E16A909" w14:textId="77777777" w:rsidR="00543B00" w:rsidRDefault="00543B00">
            <w:pPr>
              <w:rPr>
                <w:rFonts w:ascii="Arial" w:hAnsi="Arial" w:cs="Arial"/>
              </w:rPr>
            </w:pPr>
            <w:r>
              <w:rPr>
                <w:rFonts w:ascii="Arial" w:hAnsi="Arial" w:cs="Arial"/>
              </w:rPr>
              <w:t>9</w:t>
            </w:r>
            <w:r>
              <w:rPr>
                <w:rFonts w:ascii="Arial" w:hAnsi="Arial" w:cs="Arial"/>
                <w:vertAlign w:val="superscript"/>
              </w:rPr>
              <w:t>th</w:t>
            </w:r>
            <w:r>
              <w:rPr>
                <w:rFonts w:ascii="Arial" w:hAnsi="Arial" w:cs="Arial"/>
              </w:rPr>
              <w:t xml:space="preserve"> March</w:t>
            </w:r>
          </w:p>
        </w:tc>
        <w:tc>
          <w:tcPr>
            <w:tcW w:w="4621" w:type="dxa"/>
            <w:hideMark/>
          </w:tcPr>
          <w:p w14:paraId="565FAC1D" w14:textId="77777777" w:rsidR="00543B00" w:rsidRDefault="00543B00">
            <w:pPr>
              <w:rPr>
                <w:rFonts w:ascii="Arial" w:hAnsi="Arial" w:cs="Arial"/>
              </w:rPr>
            </w:pPr>
            <w:r>
              <w:rPr>
                <w:rFonts w:ascii="Arial" w:hAnsi="Arial" w:cs="Arial"/>
              </w:rPr>
              <w:t>Kick-off meeting</w:t>
            </w:r>
          </w:p>
        </w:tc>
      </w:tr>
      <w:tr w:rsidR="00543B00" w14:paraId="35D36114" w14:textId="77777777" w:rsidTr="00543B00">
        <w:tc>
          <w:tcPr>
            <w:tcW w:w="4621" w:type="dxa"/>
            <w:hideMark/>
          </w:tcPr>
          <w:p w14:paraId="468417AA" w14:textId="77777777" w:rsidR="00543B00" w:rsidRDefault="00543B00">
            <w:pPr>
              <w:rPr>
                <w:rFonts w:ascii="Arial" w:hAnsi="Arial" w:cs="Arial"/>
              </w:rPr>
            </w:pPr>
            <w:r>
              <w:rPr>
                <w:rFonts w:ascii="Arial" w:hAnsi="Arial" w:cs="Arial"/>
              </w:rPr>
              <w:t>Early April</w:t>
            </w:r>
          </w:p>
        </w:tc>
        <w:tc>
          <w:tcPr>
            <w:tcW w:w="4621" w:type="dxa"/>
            <w:hideMark/>
          </w:tcPr>
          <w:p w14:paraId="548CBA49" w14:textId="77777777" w:rsidR="00543B00" w:rsidRDefault="00543B00">
            <w:pPr>
              <w:rPr>
                <w:rFonts w:ascii="Arial" w:hAnsi="Arial" w:cs="Arial"/>
              </w:rPr>
            </w:pPr>
            <w:r>
              <w:rPr>
                <w:rFonts w:ascii="Arial" w:hAnsi="Arial" w:cs="Arial"/>
              </w:rPr>
              <w:t>Interim meeting (presentation on progress and initial results)</w:t>
            </w:r>
          </w:p>
        </w:tc>
      </w:tr>
      <w:tr w:rsidR="00543B00" w14:paraId="4311A62C" w14:textId="77777777" w:rsidTr="00543B00">
        <w:tc>
          <w:tcPr>
            <w:tcW w:w="4621" w:type="dxa"/>
            <w:hideMark/>
          </w:tcPr>
          <w:p w14:paraId="09401EF3" w14:textId="77777777" w:rsidR="00543B00" w:rsidRDefault="00543B00">
            <w:pPr>
              <w:rPr>
                <w:rFonts w:ascii="Arial" w:hAnsi="Arial" w:cs="Arial"/>
              </w:rPr>
            </w:pPr>
            <w:r>
              <w:rPr>
                <w:rFonts w:ascii="Arial" w:hAnsi="Arial" w:cs="Arial"/>
              </w:rPr>
              <w:t>Late April/Early May</w:t>
            </w:r>
          </w:p>
        </w:tc>
        <w:tc>
          <w:tcPr>
            <w:tcW w:w="4621" w:type="dxa"/>
            <w:hideMark/>
          </w:tcPr>
          <w:p w14:paraId="7BF00C37" w14:textId="77777777" w:rsidR="00543B00" w:rsidRDefault="00543B00">
            <w:pPr>
              <w:rPr>
                <w:rFonts w:ascii="Arial" w:hAnsi="Arial" w:cs="Arial"/>
              </w:rPr>
            </w:pPr>
            <w:r>
              <w:rPr>
                <w:rFonts w:ascii="Arial" w:hAnsi="Arial" w:cs="Arial"/>
              </w:rPr>
              <w:t>Final meeting (further progress and results)</w:t>
            </w:r>
          </w:p>
        </w:tc>
      </w:tr>
      <w:tr w:rsidR="00543B00" w14:paraId="2CAF80DA" w14:textId="77777777" w:rsidTr="00543B00">
        <w:tc>
          <w:tcPr>
            <w:tcW w:w="4621" w:type="dxa"/>
            <w:hideMark/>
          </w:tcPr>
          <w:p w14:paraId="1720BA22" w14:textId="77777777" w:rsidR="00543B00" w:rsidRDefault="00543B00">
            <w:pPr>
              <w:rPr>
                <w:rFonts w:ascii="Arial" w:hAnsi="Arial" w:cs="Arial"/>
              </w:rPr>
            </w:pPr>
            <w:r>
              <w:rPr>
                <w:rFonts w:ascii="Arial" w:hAnsi="Arial" w:cs="Arial"/>
              </w:rPr>
              <w:t>Early May</w:t>
            </w:r>
          </w:p>
        </w:tc>
        <w:tc>
          <w:tcPr>
            <w:tcW w:w="4621" w:type="dxa"/>
            <w:hideMark/>
          </w:tcPr>
          <w:p w14:paraId="5D915D27" w14:textId="77777777" w:rsidR="00543B00" w:rsidRDefault="00543B00">
            <w:pPr>
              <w:rPr>
                <w:rFonts w:ascii="Arial" w:hAnsi="Arial" w:cs="Arial"/>
              </w:rPr>
            </w:pPr>
            <w:r>
              <w:rPr>
                <w:rFonts w:ascii="Arial" w:hAnsi="Arial" w:cs="Arial"/>
              </w:rPr>
              <w:t>Circulate write-up of results</w:t>
            </w:r>
          </w:p>
        </w:tc>
      </w:tr>
      <w:tr w:rsidR="00543B00" w14:paraId="499AA274" w14:textId="77777777" w:rsidTr="00543B00">
        <w:tc>
          <w:tcPr>
            <w:tcW w:w="4621" w:type="dxa"/>
            <w:hideMark/>
          </w:tcPr>
          <w:p w14:paraId="63EF034F" w14:textId="77777777" w:rsidR="00543B00" w:rsidRDefault="00543B00">
            <w:pPr>
              <w:rPr>
                <w:rFonts w:ascii="Arial" w:hAnsi="Arial" w:cs="Arial"/>
              </w:rPr>
            </w:pPr>
            <w:r>
              <w:rPr>
                <w:rFonts w:ascii="Arial" w:hAnsi="Arial" w:cs="Arial"/>
              </w:rPr>
              <w:t>Late May</w:t>
            </w:r>
          </w:p>
        </w:tc>
        <w:tc>
          <w:tcPr>
            <w:tcW w:w="4621" w:type="dxa"/>
            <w:hideMark/>
          </w:tcPr>
          <w:p w14:paraId="635EDEEA" w14:textId="77777777" w:rsidR="00543B00" w:rsidRDefault="00543B00">
            <w:pPr>
              <w:rPr>
                <w:rFonts w:ascii="Arial" w:hAnsi="Arial" w:cs="Arial"/>
              </w:rPr>
            </w:pPr>
            <w:r>
              <w:rPr>
                <w:rFonts w:ascii="Arial" w:hAnsi="Arial" w:cs="Arial"/>
              </w:rPr>
              <w:t>Final report</w:t>
            </w:r>
          </w:p>
        </w:tc>
      </w:tr>
    </w:tbl>
    <w:p w14:paraId="222EE764" w14:textId="77777777" w:rsidR="00543B00" w:rsidRDefault="00543B00" w:rsidP="008E4854">
      <w:pPr>
        <w:rPr>
          <w:rFonts w:ascii="Arial" w:hAnsi="Arial" w:cs="Arial"/>
          <w:sz w:val="22"/>
          <w:szCs w:val="22"/>
        </w:rPr>
      </w:pPr>
    </w:p>
    <w:p w14:paraId="420418D9" w14:textId="439F0519" w:rsidR="001C2002" w:rsidRPr="008E4854" w:rsidRDefault="00BD0806" w:rsidP="008E4854">
      <w:pPr>
        <w:rPr>
          <w:rFonts w:ascii="Arial" w:hAnsi="Arial" w:cs="Arial"/>
          <w:sz w:val="22"/>
          <w:szCs w:val="22"/>
        </w:rPr>
      </w:pPr>
      <w:r>
        <w:rPr>
          <w:rFonts w:ascii="Arial" w:hAnsi="Arial" w:cs="Arial"/>
          <w:sz w:val="22"/>
          <w:szCs w:val="22"/>
        </w:rPr>
        <w:t>B</w:t>
      </w:r>
      <w:r w:rsidR="001C2002">
        <w:rPr>
          <w:rFonts w:ascii="Arial" w:hAnsi="Arial" w:cs="Arial"/>
          <w:sz w:val="22"/>
          <w:szCs w:val="22"/>
        </w:rPr>
        <w:t xml:space="preserve">idders </w:t>
      </w:r>
      <w:r>
        <w:rPr>
          <w:rFonts w:ascii="Arial" w:hAnsi="Arial" w:cs="Arial"/>
          <w:sz w:val="22"/>
          <w:szCs w:val="22"/>
        </w:rPr>
        <w:t>should</w:t>
      </w:r>
      <w:r w:rsidR="001C2002">
        <w:rPr>
          <w:rFonts w:ascii="Arial" w:hAnsi="Arial" w:cs="Arial"/>
          <w:sz w:val="22"/>
          <w:szCs w:val="22"/>
        </w:rPr>
        <w:t xml:space="preserve"> set out when it would be appropriate to meet during the project given the timetable above. At each meeting, we will expect a </w:t>
      </w:r>
      <w:proofErr w:type="spellStart"/>
      <w:r w:rsidR="001C2002">
        <w:rPr>
          <w:rFonts w:ascii="Arial" w:hAnsi="Arial" w:cs="Arial"/>
          <w:sz w:val="22"/>
          <w:szCs w:val="22"/>
        </w:rPr>
        <w:t>Powerpoint</w:t>
      </w:r>
      <w:proofErr w:type="spellEnd"/>
      <w:r w:rsidR="001C2002">
        <w:rPr>
          <w:rFonts w:ascii="Arial" w:hAnsi="Arial" w:cs="Arial"/>
          <w:sz w:val="22"/>
          <w:szCs w:val="22"/>
        </w:rPr>
        <w:t xml:space="preserve"> presentation covering progress and key issues for discussion. </w:t>
      </w:r>
    </w:p>
    <w:p w14:paraId="53C8200E" w14:textId="77777777" w:rsidR="00DD521A" w:rsidRPr="00DD521A" w:rsidRDefault="00DD521A" w:rsidP="00DD521A">
      <w:pPr>
        <w:pStyle w:val="Norma"/>
      </w:pPr>
      <w:bookmarkStart w:id="15" w:name="_Ref373505205"/>
      <w:bookmarkStart w:id="16" w:name="_Ref357541720"/>
    </w:p>
    <w:p w14:paraId="5EA87562" w14:textId="77777777" w:rsidR="006700D3" w:rsidRDefault="00936F29" w:rsidP="008A2F2D">
      <w:pPr>
        <w:pStyle w:val="Heading1"/>
        <w:numPr>
          <w:ilvl w:val="0"/>
          <w:numId w:val="3"/>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15"/>
    </w:p>
    <w:p w14:paraId="7C05295D" w14:textId="77777777" w:rsidR="00DD521A" w:rsidRDefault="00DD521A" w:rsidP="00DD521A">
      <w:pPr>
        <w:pStyle w:val="Norma"/>
      </w:pPr>
    </w:p>
    <w:p w14:paraId="0F6DDE39" w14:textId="4B0F25B5" w:rsidR="00DD521A" w:rsidRDefault="007524CC" w:rsidP="00DD521A">
      <w:pPr>
        <w:pStyle w:val="Norma"/>
      </w:pPr>
      <w:r>
        <w:t>All research tasks and modelling must be quality assured and documented. Contractors should:</w:t>
      </w:r>
    </w:p>
    <w:p w14:paraId="17419C20" w14:textId="06F722E4" w:rsidR="007524CC" w:rsidRDefault="007524CC" w:rsidP="007524CC">
      <w:pPr>
        <w:pStyle w:val="Norma"/>
        <w:numPr>
          <w:ilvl w:val="0"/>
          <w:numId w:val="8"/>
        </w:numPr>
      </w:pPr>
      <w:r>
        <w:t>Include a quality assurance (QA) plan that they will apply to the modelling</w:t>
      </w:r>
    </w:p>
    <w:p w14:paraId="52023289" w14:textId="37053D6C" w:rsidR="007524CC" w:rsidRDefault="007524CC" w:rsidP="007524CC">
      <w:pPr>
        <w:pStyle w:val="Norma"/>
        <w:numPr>
          <w:ilvl w:val="0"/>
          <w:numId w:val="8"/>
        </w:numPr>
      </w:pPr>
      <w:r>
        <w:t xml:space="preserve">Specify who will take lead responsibility for ensuring quality assurance. This responsibility should rest with an individual not directly involved in the research, analysis or model development. </w:t>
      </w:r>
    </w:p>
    <w:p w14:paraId="7B2AE0F6" w14:textId="54CABA98" w:rsidR="007524CC" w:rsidRDefault="007524CC" w:rsidP="007524CC">
      <w:pPr>
        <w:pStyle w:val="Norma"/>
        <w:numPr>
          <w:ilvl w:val="0"/>
          <w:numId w:val="8"/>
        </w:numPr>
      </w:pPr>
      <w:r>
        <w:t xml:space="preserve">Provide a QA log to demonstrate the QA undertaken, which must identify who undertook the QA and the scope, type and level of QA that has been undertaken. </w:t>
      </w:r>
    </w:p>
    <w:p w14:paraId="48ABF25C" w14:textId="77777777" w:rsidR="007524CC" w:rsidRDefault="007524CC" w:rsidP="007524CC">
      <w:pPr>
        <w:pStyle w:val="Norma"/>
      </w:pPr>
    </w:p>
    <w:p w14:paraId="077D7EBB" w14:textId="46E6689D" w:rsidR="007524CC" w:rsidRDefault="007524CC" w:rsidP="007524CC">
      <w:pPr>
        <w:pStyle w:val="Norma"/>
      </w:pPr>
      <w: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10482CEC" w14:textId="77777777" w:rsidR="007524CC" w:rsidRDefault="007524CC" w:rsidP="007524CC">
      <w:pPr>
        <w:pStyle w:val="Norma"/>
      </w:pPr>
    </w:p>
    <w:p w14:paraId="3BF02410" w14:textId="06A45AD9" w:rsidR="007524CC" w:rsidRDefault="007524CC" w:rsidP="007524CC">
      <w:pPr>
        <w:pStyle w:val="Norma"/>
      </w:pPr>
      <w:r>
        <w:t xml:space="preserve">The successful bidder will be responsible for any work supplied by sub-contractors and should therefore provide assurance that all work in the contact is undertaken in accordance with the quality assurance expectation agreed at the beginning of the project. </w:t>
      </w:r>
    </w:p>
    <w:p w14:paraId="5F121C0B" w14:textId="77777777" w:rsidR="007524CC" w:rsidRPr="007524CC" w:rsidRDefault="007524CC" w:rsidP="007524CC">
      <w:pPr>
        <w:pStyle w:val="Norma"/>
        <w:ind w:left="360"/>
      </w:pPr>
    </w:p>
    <w:bookmarkEnd w:id="16"/>
    <w:p w14:paraId="72044152" w14:textId="5C006953" w:rsidR="00DD521A" w:rsidRDefault="007524CC" w:rsidP="007963DA">
      <w:pPr>
        <w:pStyle w:val="Norma"/>
      </w:pPr>
      <w:r>
        <w:lastRenderedPageBreak/>
        <w:t>The CCC expects that:</w:t>
      </w:r>
    </w:p>
    <w:p w14:paraId="30A5C520" w14:textId="22EE0B01" w:rsidR="007524CC" w:rsidRDefault="007524CC" w:rsidP="007524CC">
      <w:pPr>
        <w:pStyle w:val="Norma"/>
        <w:numPr>
          <w:ilvl w:val="0"/>
          <w:numId w:val="9"/>
        </w:numPr>
      </w:pPr>
      <w:r>
        <w:t xml:space="preserve">Economic analysis must be delivered in a simple, transparent Excel spreadsheet, where key assumptions (agreed with the CCC) can be varied. All assumptions and figures should be adequately referenced, and include any supporting workings. This spreadsheet will be the property of the CCC. </w:t>
      </w:r>
    </w:p>
    <w:p w14:paraId="2128ED72" w14:textId="3A681131" w:rsidR="007524CC" w:rsidRDefault="007524CC" w:rsidP="007524CC">
      <w:pPr>
        <w:pStyle w:val="Norma"/>
        <w:numPr>
          <w:ilvl w:val="0"/>
          <w:numId w:val="9"/>
        </w:numPr>
      </w:pPr>
      <w:r>
        <w:t xml:space="preserve">Existing analysis and work regarding technical challenges and deployment constraints should be reviewed (e.g. including technology options and barriers developed by the CCC) and incorporated into this assignment. </w:t>
      </w:r>
    </w:p>
    <w:p w14:paraId="2CDD21D7" w14:textId="71235A3C" w:rsidR="007524CC" w:rsidRDefault="007524CC" w:rsidP="007524CC">
      <w:pPr>
        <w:pStyle w:val="Norma"/>
        <w:numPr>
          <w:ilvl w:val="0"/>
          <w:numId w:val="9"/>
        </w:numPr>
      </w:pPr>
      <w:r>
        <w:t xml:space="preserve">Analysis should appropriately reflect uncertainty regarding model inputs. Where appropriate, a sensitivity analysis of key parameters should be conducted. </w:t>
      </w:r>
    </w:p>
    <w:p w14:paraId="5EA87566" w14:textId="77777777" w:rsidR="002F59AC" w:rsidRDefault="004C7039" w:rsidP="008A2F2D">
      <w:pPr>
        <w:pStyle w:val="Heading1"/>
        <w:numPr>
          <w:ilvl w:val="0"/>
          <w:numId w:val="3"/>
        </w:numPr>
        <w:rPr>
          <w:rFonts w:ascii="Arial" w:hAnsi="Arial" w:cs="Arial"/>
          <w:sz w:val="24"/>
          <w:szCs w:val="24"/>
        </w:rPr>
      </w:pPr>
      <w:bookmarkStart w:id="17" w:name="_Ref357541731"/>
      <w:bookmarkStart w:id="18" w:name="_Toc381969514"/>
      <w:bookmarkStart w:id="19" w:name="_Toc405888463"/>
      <w:r w:rsidRPr="002D32D5">
        <w:rPr>
          <w:rFonts w:ascii="Arial" w:hAnsi="Arial" w:cs="Arial"/>
          <w:sz w:val="24"/>
          <w:szCs w:val="24"/>
        </w:rPr>
        <w:t>C</w:t>
      </w:r>
      <w:r w:rsidR="002F59AC" w:rsidRPr="002D32D5">
        <w:rPr>
          <w:rFonts w:ascii="Arial" w:hAnsi="Arial" w:cs="Arial"/>
          <w:sz w:val="24"/>
          <w:szCs w:val="24"/>
        </w:rPr>
        <w:t>hallenges</w:t>
      </w:r>
      <w:bookmarkEnd w:id="17"/>
      <w:bookmarkEnd w:id="18"/>
      <w:bookmarkEnd w:id="19"/>
    </w:p>
    <w:p w14:paraId="284AE220" w14:textId="77777777" w:rsidR="00DD521A" w:rsidRDefault="00DD521A" w:rsidP="00DD521A">
      <w:pPr>
        <w:pStyle w:val="Norma"/>
      </w:pPr>
    </w:p>
    <w:p w14:paraId="19293092" w14:textId="4CEE1D98" w:rsidR="009A7869" w:rsidRPr="005C757F" w:rsidRDefault="009A7869" w:rsidP="00DD521A">
      <w:pPr>
        <w:pStyle w:val="Norma"/>
        <w:rPr>
          <w:color w:val="C00000"/>
        </w:rPr>
      </w:pPr>
      <w:r w:rsidRPr="005C757F">
        <w:rPr>
          <w:color w:val="C00000"/>
        </w:rPr>
        <w:t>T</w:t>
      </w:r>
      <w:r w:rsidRPr="009A7869">
        <w:rPr>
          <w:color w:val="C00000"/>
        </w:rPr>
        <w:t>endere</w:t>
      </w:r>
      <w:r>
        <w:rPr>
          <w:color w:val="C00000"/>
        </w:rPr>
        <w:t>r</w:t>
      </w:r>
      <w:r w:rsidRPr="009A7869">
        <w:rPr>
          <w:color w:val="C00000"/>
        </w:rPr>
        <w:t xml:space="preserve">s should highlight any challenges or risks that they </w:t>
      </w:r>
      <w:r>
        <w:rPr>
          <w:color w:val="C00000"/>
        </w:rPr>
        <w:t>envisage in delivering all the outputs of the project, whether in terms of scope of the work, resources or timelines. Alternative suggestions will be considered if the risks are such that the project is unlikely to be able to be delivered in its current form.</w:t>
      </w:r>
    </w:p>
    <w:p w14:paraId="5EA87573" w14:textId="77777777" w:rsidR="00E070AD" w:rsidRPr="002D32D5" w:rsidRDefault="00E070AD" w:rsidP="008A2F2D">
      <w:pPr>
        <w:pStyle w:val="Heading1"/>
        <w:numPr>
          <w:ilvl w:val="0"/>
          <w:numId w:val="3"/>
        </w:numPr>
        <w:rPr>
          <w:rFonts w:ascii="Arial" w:hAnsi="Arial" w:cs="Arial"/>
          <w:sz w:val="24"/>
          <w:szCs w:val="24"/>
        </w:rPr>
      </w:pPr>
      <w:bookmarkStart w:id="20" w:name="_Ref338852517"/>
      <w:bookmarkStart w:id="21" w:name="_Toc381969516"/>
      <w:bookmarkStart w:id="22" w:name="_Toc405888465"/>
      <w:r w:rsidRPr="002D32D5">
        <w:rPr>
          <w:rFonts w:ascii="Arial" w:hAnsi="Arial" w:cs="Arial"/>
          <w:sz w:val="24"/>
          <w:szCs w:val="24"/>
        </w:rPr>
        <w:t>Working Arrangements</w:t>
      </w:r>
      <w:bookmarkEnd w:id="20"/>
      <w:bookmarkEnd w:id="21"/>
      <w:bookmarkEnd w:id="22"/>
    </w:p>
    <w:p w14:paraId="5EA87574" w14:textId="77777777" w:rsidR="00AA62E8" w:rsidRPr="005A7FBC" w:rsidRDefault="00AA62E8" w:rsidP="005A7FBC">
      <w:pPr>
        <w:pStyle w:val="Norma"/>
        <w:jc w:val="both"/>
        <w:rPr>
          <w:rFonts w:cs="Arial"/>
          <w:b/>
          <w:bCs/>
          <w:iCs/>
          <w:sz w:val="24"/>
          <w:szCs w:val="24"/>
        </w:rPr>
      </w:pPr>
    </w:p>
    <w:p w14:paraId="5EA87575" w14:textId="04231E0B" w:rsidR="00AA62E8" w:rsidRPr="005A7FBC" w:rsidRDefault="00AA62E8" w:rsidP="00293D12">
      <w:pPr>
        <w:pStyle w:val="Norma"/>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w:t>
      </w:r>
      <w:r w:rsidR="0097210C">
        <w:rPr>
          <w:rFonts w:cs="Arial"/>
          <w:bCs/>
          <w:sz w:val="24"/>
          <w:szCs w:val="24"/>
        </w:rPr>
        <w:t>nquiries can be filtered. A CCC</w:t>
      </w:r>
      <w:r w:rsidRPr="005A7FBC">
        <w:rPr>
          <w:rFonts w:cs="Arial"/>
          <w:bCs/>
          <w:sz w:val="24"/>
          <w:szCs w:val="24"/>
        </w:rPr>
        <w:t xml:space="preserve"> project manager will be assigned to the project and will be the central point of contact. </w:t>
      </w:r>
      <w:r w:rsidR="0003709A">
        <w:rPr>
          <w:rFonts w:cs="Arial"/>
          <w:bCs/>
          <w:sz w:val="24"/>
          <w:szCs w:val="24"/>
        </w:rPr>
        <w:t xml:space="preserve">A steering group will also give input to the project. </w:t>
      </w:r>
    </w:p>
    <w:p w14:paraId="5EA87578" w14:textId="77777777" w:rsidR="00AA62E8" w:rsidRPr="00D421AC" w:rsidRDefault="00AA62E8" w:rsidP="00AA62E8">
      <w:pPr>
        <w:pStyle w:val="ListParagraph"/>
        <w:ind w:left="0"/>
        <w:rPr>
          <w:rFonts w:eastAsia="Times New Roman" w:cs="Calibri"/>
        </w:rPr>
      </w:pPr>
    </w:p>
    <w:p w14:paraId="5EA87579" w14:textId="77777777" w:rsidR="003C1CE8" w:rsidRPr="002D32D5" w:rsidRDefault="007A7010" w:rsidP="008A2F2D">
      <w:pPr>
        <w:pStyle w:val="Heading1"/>
        <w:numPr>
          <w:ilvl w:val="0"/>
          <w:numId w:val="3"/>
        </w:numPr>
        <w:rPr>
          <w:rFonts w:ascii="Arial" w:hAnsi="Arial" w:cs="Arial"/>
          <w:sz w:val="24"/>
          <w:szCs w:val="24"/>
        </w:rPr>
      </w:pPr>
      <w:r>
        <w:rPr>
          <w:rFonts w:ascii="Arial" w:hAnsi="Arial" w:cs="Arial"/>
          <w:sz w:val="24"/>
          <w:szCs w:val="24"/>
        </w:rPr>
        <w:t>Skills and experience</w:t>
      </w:r>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B960BC" w:rsidRDefault="0097210C" w:rsidP="00E72DB1">
      <w:pPr>
        <w:pStyle w:val="PTablebodyCharCharChar"/>
        <w:tabs>
          <w:tab w:val="clear" w:pos="7823"/>
          <w:tab w:val="right" w:pos="709"/>
        </w:tabs>
        <w:spacing w:after="0"/>
        <w:ind w:left="360"/>
        <w:rPr>
          <w:rFonts w:cs="Arial"/>
          <w:highlight w:val="yellow"/>
        </w:rPr>
      </w:pPr>
      <w:r>
        <w:rPr>
          <w:rFonts w:ascii="Arial" w:hAnsi="Arial" w:cs="Arial"/>
        </w:rPr>
        <w:t>C</w:t>
      </w:r>
      <w:r w:rsidR="004B3AD5">
        <w:rPr>
          <w:rFonts w:ascii="Arial" w:hAnsi="Arial" w:cs="Arial"/>
        </w:rPr>
        <w:t xml:space="preserv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5EA8757C" w14:textId="77777777" w:rsidR="00FA702B" w:rsidRPr="00B960BC" w:rsidRDefault="00FA702B" w:rsidP="00B960BC">
      <w:pPr>
        <w:pStyle w:val="PTablebodyCharCharChar"/>
        <w:spacing w:after="0"/>
        <w:ind w:left="0"/>
        <w:rPr>
          <w:rFonts w:ascii="Arial" w:hAnsi="Arial" w:cs="Arial"/>
        </w:rPr>
      </w:pPr>
    </w:p>
    <w:p w14:paraId="5EA8757D"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B960BC" w:rsidRDefault="003C1CE8" w:rsidP="00B960BC">
      <w:pPr>
        <w:pStyle w:val="PTablebodyCharCharChar"/>
        <w:spacing w:after="0"/>
        <w:ind w:left="0"/>
        <w:rPr>
          <w:rFonts w:ascii="Arial" w:hAnsi="Arial" w:cs="Arial"/>
        </w:rPr>
      </w:pPr>
    </w:p>
    <w:p w14:paraId="5EA8757F" w14:textId="77777777" w:rsidR="00D64BB0" w:rsidRPr="00B960BC" w:rsidRDefault="003C1CE8" w:rsidP="00E72DB1">
      <w:pPr>
        <w:pStyle w:val="Norma"/>
        <w:ind w:left="360"/>
        <w:jc w:val="both"/>
        <w:rPr>
          <w:rFonts w:cs="Arial"/>
          <w:sz w:val="24"/>
          <w:szCs w:val="24"/>
        </w:rPr>
      </w:pPr>
      <w:r w:rsidRPr="00B960BC">
        <w:rPr>
          <w:rFonts w:cs="Arial"/>
          <w:sz w:val="24"/>
          <w:szCs w:val="24"/>
        </w:rPr>
        <w:t>Contractors should identify the individual(s) who will be responsible for managing the project.</w:t>
      </w:r>
      <w:bookmarkStart w:id="23" w:name="_Ref338852499"/>
    </w:p>
    <w:p w14:paraId="5EA87580" w14:textId="77777777" w:rsidR="00986070" w:rsidRDefault="00986070" w:rsidP="00D64BB0">
      <w:pPr>
        <w:pStyle w:val="Norma"/>
        <w:jc w:val="both"/>
        <w:rPr>
          <w:rFonts w:ascii="Calibri" w:hAnsi="Calibri" w:cs="Calibri"/>
        </w:rPr>
      </w:pPr>
    </w:p>
    <w:p w14:paraId="5EA87581" w14:textId="77777777" w:rsidR="003043AD" w:rsidRPr="002D32D5" w:rsidRDefault="00D64BB0" w:rsidP="008A2F2D">
      <w:pPr>
        <w:pStyle w:val="Heading1"/>
        <w:numPr>
          <w:ilvl w:val="0"/>
          <w:numId w:val="3"/>
        </w:numPr>
        <w:rPr>
          <w:rFonts w:ascii="Arial" w:hAnsi="Arial" w:cs="Arial"/>
          <w:sz w:val="24"/>
          <w:szCs w:val="24"/>
        </w:rPr>
      </w:pPr>
      <w:bookmarkStart w:id="24" w:name="_Ref373505239"/>
      <w:bookmarkStart w:id="25" w:name="_Toc381969518"/>
      <w:bookmarkStart w:id="26" w:name="_Toc405888467"/>
      <w:r w:rsidRPr="002D32D5">
        <w:rPr>
          <w:rFonts w:ascii="Arial" w:hAnsi="Arial" w:cs="Arial"/>
          <w:sz w:val="24"/>
          <w:szCs w:val="24"/>
        </w:rPr>
        <w:t>C</w:t>
      </w:r>
      <w:r w:rsidR="00A64B82" w:rsidRPr="002D32D5">
        <w:rPr>
          <w:rFonts w:ascii="Arial" w:hAnsi="Arial" w:cs="Arial"/>
          <w:sz w:val="24"/>
          <w:szCs w:val="24"/>
        </w:rPr>
        <w:t>onsortium Bids</w:t>
      </w:r>
      <w:bookmarkEnd w:id="24"/>
      <w:bookmarkEnd w:id="25"/>
      <w:bookmarkEnd w:id="26"/>
    </w:p>
    <w:p w14:paraId="5EA87582" w14:textId="77777777" w:rsidR="00D64BB0" w:rsidRPr="00E4650D" w:rsidRDefault="00D64BB0" w:rsidP="00E4650D">
      <w:pPr>
        <w:pStyle w:val="Norma"/>
        <w:jc w:val="both"/>
        <w:rPr>
          <w:rFonts w:cs="Arial"/>
          <w:sz w:val="24"/>
          <w:szCs w:val="24"/>
        </w:rPr>
      </w:pPr>
    </w:p>
    <w:p w14:paraId="5EA87583"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5EA87584" w14:textId="77777777" w:rsidR="003043AD" w:rsidRPr="00E4650D" w:rsidRDefault="003043AD" w:rsidP="00E4650D">
      <w:pPr>
        <w:pStyle w:val="FootnoteText"/>
        <w:ind w:left="567"/>
        <w:jc w:val="both"/>
        <w:rPr>
          <w:rFonts w:ascii="Arial" w:hAnsi="Arial" w:cs="Arial"/>
          <w:sz w:val="24"/>
          <w:szCs w:val="24"/>
          <w:lang w:eastAsia="en-GB"/>
        </w:rPr>
      </w:pPr>
    </w:p>
    <w:p w14:paraId="5EA87585"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lastRenderedPageBreak/>
        <w:t>Contractors must provide details as to how they will manage any sub-contractors and what percentage of the tendered activity (in terms of monetary value) will be sub-contracted.</w:t>
      </w:r>
    </w:p>
    <w:p w14:paraId="5EA87586" w14:textId="77777777" w:rsidR="003043AD" w:rsidRPr="00E4650D" w:rsidRDefault="003043AD" w:rsidP="00E4650D">
      <w:pPr>
        <w:pStyle w:val="FootnoteText"/>
        <w:ind w:left="567"/>
        <w:jc w:val="both"/>
        <w:rPr>
          <w:rFonts w:ascii="Arial" w:hAnsi="Arial" w:cs="Arial"/>
          <w:sz w:val="24"/>
          <w:szCs w:val="24"/>
          <w:lang w:eastAsia="en-GB"/>
        </w:rPr>
      </w:pPr>
    </w:p>
    <w:p w14:paraId="5EA87587" w14:textId="79EB2CDE"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If a consortium is not proposing to form a corporate entity, full details of alternative proposed arran</w:t>
      </w:r>
      <w:r w:rsidR="007A11CB">
        <w:rPr>
          <w:rFonts w:ascii="Arial" w:hAnsi="Arial" w:cs="Arial"/>
          <w:sz w:val="24"/>
          <w:szCs w:val="24"/>
        </w:rPr>
        <w:t>gements should be provided</w:t>
      </w:r>
      <w:r w:rsidR="0097210C">
        <w:rPr>
          <w:rFonts w:ascii="Arial" w:hAnsi="Arial" w:cs="Arial"/>
          <w:sz w:val="24"/>
          <w:szCs w:val="24"/>
        </w:rPr>
        <w:t>. However, please note C</w:t>
      </w:r>
      <w:r w:rsidRPr="00E4650D">
        <w:rPr>
          <w:rFonts w:ascii="Arial" w:hAnsi="Arial" w:cs="Arial"/>
          <w:sz w:val="24"/>
          <w:szCs w:val="24"/>
        </w:rPr>
        <w:t xml:space="preserve">CC reserves the right to require a successful consortium to form a single legal entity in accordance with Regulation 28 of the Public Contracts Regulations 2006. </w:t>
      </w:r>
    </w:p>
    <w:p w14:paraId="5EA87588" w14:textId="77777777" w:rsidR="00AD130E" w:rsidRPr="00E4650D" w:rsidRDefault="00AD130E" w:rsidP="00E4650D">
      <w:pPr>
        <w:pStyle w:val="NoSpacing"/>
        <w:jc w:val="both"/>
        <w:rPr>
          <w:rFonts w:ascii="Arial" w:hAnsi="Arial" w:cs="Arial"/>
          <w:sz w:val="24"/>
          <w:szCs w:val="24"/>
        </w:rPr>
      </w:pPr>
    </w:p>
    <w:p w14:paraId="5EA87589" w14:textId="40024243" w:rsidR="00AD130E" w:rsidRPr="00E4650D" w:rsidRDefault="0097210C" w:rsidP="00E72DB1">
      <w:pPr>
        <w:pStyle w:val="NoSpacing"/>
        <w:ind w:left="360"/>
        <w:jc w:val="both"/>
        <w:rPr>
          <w:rFonts w:ascii="Arial" w:hAnsi="Arial" w:cs="Arial"/>
          <w:sz w:val="24"/>
          <w:szCs w:val="24"/>
        </w:rPr>
      </w:pPr>
      <w:r>
        <w:rPr>
          <w:rFonts w:ascii="Arial" w:hAnsi="Arial" w:cs="Arial"/>
          <w:sz w:val="24"/>
          <w:szCs w:val="24"/>
        </w:rPr>
        <w:t>C</w:t>
      </w:r>
      <w:r w:rsidR="00AD130E" w:rsidRPr="00E4650D">
        <w:rPr>
          <w:rFonts w:ascii="Arial" w:hAnsi="Arial" w:cs="Arial"/>
          <w:sz w:val="24"/>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Pr>
          <w:rFonts w:ascii="Arial" w:hAnsi="Arial" w:cs="Arial"/>
          <w:sz w:val="24"/>
          <w:szCs w:val="24"/>
        </w:rPr>
        <w:t>consortia must be notified to C</w:t>
      </w:r>
      <w:r w:rsidR="00AD130E" w:rsidRPr="00E4650D">
        <w:rPr>
          <w:rFonts w:ascii="Arial" w:hAnsi="Arial" w:cs="Arial"/>
          <w:sz w:val="24"/>
          <w:szCs w:val="24"/>
        </w:rPr>
        <w:t xml:space="preserve">CC so that it can make a further assessment by applying the selection criteria to the new information provided. </w:t>
      </w:r>
    </w:p>
    <w:p w14:paraId="5EA8758A" w14:textId="77777777" w:rsidR="004A2B75" w:rsidRPr="002D4038" w:rsidRDefault="004A2B75" w:rsidP="00053592">
      <w:pPr>
        <w:pStyle w:val="FootnoteText"/>
        <w:rPr>
          <w:rFonts w:cs="Calibri"/>
          <w:sz w:val="22"/>
          <w:szCs w:val="22"/>
          <w:lang w:eastAsia="en-GB"/>
        </w:rPr>
      </w:pPr>
    </w:p>
    <w:p w14:paraId="5EA8758B" w14:textId="77777777" w:rsidR="00F0291F" w:rsidRPr="002D32D5" w:rsidRDefault="00F0291F" w:rsidP="008A2F2D">
      <w:pPr>
        <w:pStyle w:val="Heading1"/>
        <w:numPr>
          <w:ilvl w:val="0"/>
          <w:numId w:val="3"/>
        </w:numPr>
        <w:rPr>
          <w:rFonts w:ascii="Arial" w:hAnsi="Arial" w:cs="Arial"/>
          <w:sz w:val="24"/>
          <w:szCs w:val="24"/>
        </w:rPr>
      </w:pPr>
      <w:bookmarkStart w:id="27" w:name="_Ref357541811"/>
      <w:bookmarkStart w:id="28" w:name="_Toc381969519"/>
      <w:bookmarkStart w:id="29" w:name="_Toc405888468"/>
      <w:bookmarkStart w:id="30" w:name="_Toc246831559"/>
      <w:bookmarkStart w:id="31" w:name="_Toc271272917"/>
      <w:bookmarkStart w:id="32" w:name="_Ref338852577"/>
      <w:bookmarkEnd w:id="23"/>
      <w:r w:rsidRPr="002D32D5">
        <w:rPr>
          <w:rFonts w:ascii="Arial" w:hAnsi="Arial" w:cs="Arial"/>
          <w:sz w:val="24"/>
          <w:szCs w:val="24"/>
        </w:rPr>
        <w:t>Budget</w:t>
      </w:r>
      <w:bookmarkEnd w:id="27"/>
      <w:bookmarkEnd w:id="28"/>
      <w:bookmarkEnd w:id="29"/>
      <w:r w:rsidRPr="002D32D5">
        <w:rPr>
          <w:rFonts w:ascii="Arial" w:hAnsi="Arial" w:cs="Arial"/>
          <w:sz w:val="24"/>
          <w:szCs w:val="24"/>
        </w:rPr>
        <w:t xml:space="preserve"> </w:t>
      </w:r>
    </w:p>
    <w:p w14:paraId="5EA8758C" w14:textId="77777777" w:rsidR="004335BC" w:rsidRPr="004335BC" w:rsidRDefault="004335BC" w:rsidP="004335BC">
      <w:pPr>
        <w:pStyle w:val="Norma"/>
        <w:rPr>
          <w:rFonts w:ascii="Calibri" w:hAnsi="Calibri" w:cs="Calibri"/>
          <w:b/>
          <w:bCs/>
          <w:iCs/>
        </w:rPr>
      </w:pPr>
    </w:p>
    <w:p w14:paraId="5EA8758D" w14:textId="5F2ED422" w:rsidR="003C1CE8" w:rsidRPr="00E4650D" w:rsidRDefault="003C1CE8" w:rsidP="007A11CB">
      <w:pPr>
        <w:pStyle w:val="Paragraph"/>
        <w:ind w:hanging="360"/>
      </w:pPr>
      <w:r w:rsidRPr="00E4650D">
        <w:t>The budget for this project</w:t>
      </w:r>
      <w:r w:rsidR="0003709A">
        <w:t xml:space="preserve"> is</w:t>
      </w:r>
      <w:r w:rsidRPr="00DD521A">
        <w:t xml:space="preserve"> </w:t>
      </w:r>
      <w:r w:rsidR="0003709A">
        <w:t>around £</w:t>
      </w:r>
      <w:r w:rsidR="00EC7B72">
        <w:t>5</w:t>
      </w:r>
      <w:r w:rsidR="0003709A">
        <w:t>0,000</w:t>
      </w:r>
      <w:r w:rsidR="00685B87" w:rsidRPr="00DD521A">
        <w:rPr>
          <w:color w:val="FF0000"/>
        </w:rPr>
        <w:t xml:space="preserve"> </w:t>
      </w:r>
      <w:r w:rsidR="00685B87" w:rsidRPr="00E4650D">
        <w:t>excluding VAT</w:t>
      </w:r>
      <w:r w:rsidRPr="00E4650D">
        <w:t>.</w:t>
      </w:r>
    </w:p>
    <w:p w14:paraId="5EA8758E" w14:textId="77777777" w:rsidR="00B00EA2" w:rsidRPr="00E4650D" w:rsidRDefault="00B00EA2" w:rsidP="00E4650D">
      <w:pPr>
        <w:pStyle w:val="ListParagraph"/>
        <w:spacing w:line="240" w:lineRule="auto"/>
        <w:ind w:left="0"/>
        <w:jc w:val="both"/>
        <w:rPr>
          <w:rFonts w:ascii="Arial" w:hAnsi="Arial" w:cs="Arial"/>
          <w:sz w:val="24"/>
          <w:szCs w:val="24"/>
        </w:rPr>
      </w:pPr>
    </w:p>
    <w:p w14:paraId="5EA8758F" w14:textId="035B15EC"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Contractors should provide a full and detailed breakdown of costs (including</w:t>
      </w:r>
      <w:r w:rsidR="00EC7B72">
        <w:rPr>
          <w:rFonts w:ascii="Arial" w:hAnsi="Arial" w:cs="Arial"/>
          <w:sz w:val="24"/>
          <w:szCs w:val="24"/>
        </w:rPr>
        <w:t xml:space="preserve"> separate costing of</w:t>
      </w:r>
      <w:r w:rsidRPr="00E4650D">
        <w:rPr>
          <w:rFonts w:ascii="Arial" w:hAnsi="Arial" w:cs="Arial"/>
          <w:sz w:val="24"/>
          <w:szCs w:val="24"/>
        </w:rPr>
        <w:t xml:space="preserve"> options where appropriate). This should include staff (and day rate) allocated to specific tasks. </w:t>
      </w:r>
      <w:bookmarkEnd w:id="30"/>
      <w:bookmarkEnd w:id="31"/>
      <w:bookmarkEnd w:id="32"/>
    </w:p>
    <w:p w14:paraId="5EA87590" w14:textId="77777777" w:rsidR="00272E19" w:rsidRPr="00E4650D" w:rsidRDefault="00272E19" w:rsidP="00E4650D">
      <w:pPr>
        <w:pStyle w:val="ListParagraph"/>
        <w:spacing w:line="240" w:lineRule="auto"/>
        <w:ind w:left="0"/>
        <w:jc w:val="both"/>
        <w:rPr>
          <w:rFonts w:ascii="Arial" w:hAnsi="Arial" w:cs="Arial"/>
          <w:sz w:val="24"/>
          <w:szCs w:val="24"/>
        </w:rPr>
      </w:pPr>
    </w:p>
    <w:p w14:paraId="5EA87591" w14:textId="77777777"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5EA87592" w14:textId="77777777" w:rsidR="00220792" w:rsidRPr="00E4650D" w:rsidRDefault="00220792" w:rsidP="00E4650D">
      <w:pPr>
        <w:pStyle w:val="ListParagraph"/>
        <w:spacing w:line="240" w:lineRule="auto"/>
        <w:ind w:left="0"/>
        <w:jc w:val="both"/>
        <w:rPr>
          <w:rFonts w:ascii="Arial" w:hAnsi="Arial" w:cs="Arial"/>
          <w:sz w:val="24"/>
          <w:szCs w:val="24"/>
        </w:rPr>
      </w:pPr>
    </w:p>
    <w:p w14:paraId="5EA87593" w14:textId="4D3B8DF5"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 xml:space="preserve">Payments will be linked to delivery of key milestones. The indicative milestones and phasing of payments </w:t>
      </w:r>
      <w:r w:rsidR="00DC39C6">
        <w:rPr>
          <w:rFonts w:ascii="Arial" w:hAnsi="Arial" w:cs="Arial"/>
          <w:sz w:val="24"/>
          <w:szCs w:val="24"/>
        </w:rPr>
        <w:t>can be adjusted and agreed with the contractor</w:t>
      </w:r>
      <w:r w:rsidR="007A11CB">
        <w:rPr>
          <w:rFonts w:ascii="Arial" w:hAnsi="Arial" w:cs="Arial"/>
          <w:sz w:val="24"/>
          <w:szCs w:val="24"/>
        </w:rPr>
        <w:t xml:space="preserve"> and Project Manager.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14:paraId="5EA87594" w14:textId="77777777" w:rsidR="00DC39C6" w:rsidRPr="00E4650D" w:rsidRDefault="00DC39C6" w:rsidP="00DC39C6">
      <w:pPr>
        <w:pStyle w:val="ListParagraph"/>
        <w:spacing w:after="0" w:line="240" w:lineRule="auto"/>
        <w:ind w:left="0"/>
        <w:jc w:val="both"/>
        <w:rPr>
          <w:rFonts w:ascii="Arial" w:hAnsi="Arial" w:cs="Arial"/>
          <w:sz w:val="24"/>
          <w:szCs w:val="24"/>
        </w:rPr>
      </w:pPr>
    </w:p>
    <w:p w14:paraId="5EA87595" w14:textId="77777777" w:rsidR="008261E0" w:rsidRDefault="003C06AA" w:rsidP="00E72DB1">
      <w:pPr>
        <w:pStyle w:val="Norma"/>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E4650D" w:rsidRDefault="00532695" w:rsidP="00E4650D">
      <w:pPr>
        <w:pStyle w:val="Norma"/>
        <w:jc w:val="both"/>
        <w:rPr>
          <w:rFonts w:eastAsia="MS Mincho" w:cs="Arial"/>
          <w:sz w:val="24"/>
          <w:szCs w:val="24"/>
          <w:lang w:eastAsia="en-US"/>
        </w:rPr>
      </w:pPr>
    </w:p>
    <w:p w14:paraId="5EA87597" w14:textId="77777777" w:rsidR="00443DE6" w:rsidRPr="00E4650D" w:rsidRDefault="008261E0" w:rsidP="00E72DB1">
      <w:pPr>
        <w:pStyle w:val="Norma"/>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8A2F2D">
      <w:pPr>
        <w:pStyle w:val="Heading1"/>
        <w:numPr>
          <w:ilvl w:val="0"/>
          <w:numId w:val="3"/>
        </w:numPr>
        <w:rPr>
          <w:rFonts w:ascii="Arial" w:hAnsi="Arial" w:cs="Arial"/>
          <w:sz w:val="24"/>
          <w:szCs w:val="24"/>
        </w:rPr>
      </w:pPr>
      <w:bookmarkStart w:id="33" w:name="_Ref357541836"/>
      <w:bookmarkStart w:id="34" w:name="_Toc381969520"/>
      <w:bookmarkStart w:id="35" w:name="_Toc405888469"/>
      <w:r w:rsidRPr="002D32D5">
        <w:rPr>
          <w:rFonts w:ascii="Arial" w:hAnsi="Arial" w:cs="Arial"/>
          <w:sz w:val="24"/>
          <w:szCs w:val="24"/>
        </w:rPr>
        <w:t>Evaluation of Tenders</w:t>
      </w:r>
      <w:bookmarkEnd w:id="33"/>
      <w:bookmarkEnd w:id="34"/>
      <w:bookmarkEnd w:id="35"/>
    </w:p>
    <w:p w14:paraId="5EA8759C" w14:textId="77777777" w:rsidR="00E4650D" w:rsidRPr="00E4650D" w:rsidRDefault="00E4650D" w:rsidP="00E4650D">
      <w:pPr>
        <w:pStyle w:val="Norma"/>
        <w:jc w:val="both"/>
        <w:rPr>
          <w:rFonts w:cs="Arial"/>
          <w:sz w:val="24"/>
          <w:szCs w:val="24"/>
        </w:rPr>
      </w:pPr>
    </w:p>
    <w:p w14:paraId="5EA8759F" w14:textId="66D1713C" w:rsidR="00002825" w:rsidRPr="00804221" w:rsidRDefault="0097210C" w:rsidP="00804221">
      <w:pPr>
        <w:pStyle w:val="NoSpacing"/>
        <w:ind w:left="360"/>
        <w:rPr>
          <w:rFonts w:ascii="Arial" w:hAnsi="Arial" w:cs="Arial"/>
          <w:sz w:val="24"/>
          <w:szCs w:val="24"/>
        </w:rPr>
      </w:pPr>
      <w:r>
        <w:rPr>
          <w:rFonts w:ascii="Arial" w:hAnsi="Arial" w:cs="Arial"/>
          <w:sz w:val="24"/>
          <w:szCs w:val="24"/>
        </w:rPr>
        <w:t>C</w:t>
      </w:r>
      <w:r w:rsidR="003C54D5" w:rsidRPr="00E4650D">
        <w:rPr>
          <w:rFonts w:ascii="Arial" w:hAnsi="Arial" w:cs="Arial"/>
          <w:sz w:val="24"/>
          <w:szCs w:val="24"/>
        </w:rPr>
        <w:t xml:space="preserve">CC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804221">
        <w:rPr>
          <w:rFonts w:ascii="Arial" w:hAnsi="Arial" w:cs="Arial"/>
          <w:sz w:val="24"/>
          <w:szCs w:val="24"/>
        </w:rPr>
        <w:t>eria and weighting listed below</w:t>
      </w:r>
      <w:r w:rsidR="00804221" w:rsidRPr="00804221">
        <w:rPr>
          <w:rFonts w:ascii="Arial" w:hAnsi="Arial" w:cs="Arial"/>
          <w:sz w:val="24"/>
          <w:szCs w:val="24"/>
        </w:rPr>
        <w:t xml:space="preserve">, </w:t>
      </w:r>
      <w:r w:rsidR="00804221">
        <w:rPr>
          <w:rFonts w:ascii="Arial" w:hAnsi="Arial" w:cs="Arial"/>
          <w:sz w:val="24"/>
          <w:szCs w:val="24"/>
        </w:rPr>
        <w:t>s</w:t>
      </w:r>
      <w:r w:rsidR="00002825" w:rsidRPr="00804221">
        <w:rPr>
          <w:rFonts w:ascii="Arial" w:hAnsi="Arial" w:cs="Arial"/>
          <w:sz w:val="24"/>
          <w:szCs w:val="24"/>
        </w:rPr>
        <w:t xml:space="preserve">ee </w:t>
      </w:r>
      <w:r w:rsidR="00EE50B0" w:rsidRPr="00804221">
        <w:rPr>
          <w:rFonts w:ascii="Arial" w:hAnsi="Arial" w:cs="Arial"/>
          <w:sz w:val="24"/>
          <w:szCs w:val="24"/>
        </w:rPr>
        <w:t>the ITT</w:t>
      </w:r>
      <w:r w:rsidR="00002825" w:rsidRPr="00804221">
        <w:rPr>
          <w:rFonts w:ascii="Arial" w:hAnsi="Arial" w:cs="Arial"/>
          <w:sz w:val="24"/>
          <w:szCs w:val="24"/>
        </w:rPr>
        <w:t xml:space="preserve"> for further information</w:t>
      </w:r>
      <w:r w:rsidR="00804221">
        <w:rPr>
          <w:rFonts w:ascii="Arial" w:hAnsi="Arial" w:cs="Arial"/>
          <w:sz w:val="24"/>
          <w:szCs w:val="24"/>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p w14:paraId="5EA875A9" w14:textId="77777777" w:rsidR="001623B7" w:rsidRPr="00C6546D" w:rsidRDefault="001623B7" w:rsidP="001623B7">
      <w:pPr>
        <w:pStyle w:val="Norma"/>
        <w:ind w:left="1197"/>
        <w:rPr>
          <w:rFonts w:cs="Arial"/>
          <w:color w:val="FF0000"/>
        </w:rPr>
      </w:pPr>
    </w:p>
    <w:tbl>
      <w:tblPr>
        <w:tblStyle w:val="NormalTable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5EA875AD" w14:textId="77777777" w:rsidTr="0003709A">
        <w:tc>
          <w:tcPr>
            <w:tcW w:w="1133" w:type="dxa"/>
          </w:tcPr>
          <w:p w14:paraId="5EA875AA" w14:textId="77777777" w:rsidR="001623B7" w:rsidRPr="00F7796D" w:rsidRDefault="001623B7" w:rsidP="00E00797">
            <w:pPr>
              <w:pStyle w:val="Heading4"/>
              <w:rPr>
                <w:rFonts w:ascii="Arial" w:hAnsi="Arial" w:cs="Arial"/>
              </w:rPr>
            </w:pPr>
            <w:bookmarkStart w:id="36" w:name="p2"/>
            <w:r w:rsidRPr="00F7796D">
              <w:rPr>
                <w:rFonts w:ascii="Arial" w:hAnsi="Arial" w:cs="Arial"/>
              </w:rPr>
              <w:t>Criterion</w:t>
            </w:r>
            <w:bookmarkEnd w:id="36"/>
          </w:p>
        </w:tc>
        <w:tc>
          <w:tcPr>
            <w:tcW w:w="5927" w:type="dxa"/>
            <w:shd w:val="clear" w:color="auto" w:fill="auto"/>
          </w:tcPr>
          <w:p w14:paraId="5EA875AB" w14:textId="77777777" w:rsidR="001623B7" w:rsidRPr="00F7796D" w:rsidRDefault="001623B7" w:rsidP="00E00797">
            <w:pPr>
              <w:pStyle w:val="Heading4"/>
              <w:rPr>
                <w:rFonts w:ascii="Arial" w:hAnsi="Arial" w:cs="Arial"/>
              </w:rPr>
            </w:pPr>
            <w:r w:rsidRPr="00F7796D">
              <w:rPr>
                <w:rFonts w:ascii="Arial" w:hAnsi="Arial" w:cs="Arial"/>
              </w:rPr>
              <w:t>Description</w:t>
            </w:r>
          </w:p>
        </w:tc>
        <w:tc>
          <w:tcPr>
            <w:tcW w:w="2262" w:type="dxa"/>
            <w:shd w:val="clear" w:color="auto" w:fill="auto"/>
          </w:tcPr>
          <w:p w14:paraId="5EA875AC" w14:textId="77777777" w:rsidR="001623B7" w:rsidRPr="00F7796D" w:rsidRDefault="001623B7" w:rsidP="00E00797">
            <w:pPr>
              <w:pStyle w:val="Heading4"/>
              <w:rPr>
                <w:rFonts w:ascii="Arial" w:hAnsi="Arial" w:cs="Arial"/>
              </w:rPr>
            </w:pPr>
            <w:r w:rsidRPr="00F7796D">
              <w:rPr>
                <w:rFonts w:ascii="Arial" w:hAnsi="Arial" w:cs="Arial"/>
              </w:rPr>
              <w:t>Weighting</w:t>
            </w:r>
          </w:p>
        </w:tc>
      </w:tr>
      <w:tr w:rsidR="001623B7" w:rsidRPr="00C6546D" w14:paraId="5EA875B1" w14:textId="77777777" w:rsidTr="0003709A">
        <w:tc>
          <w:tcPr>
            <w:tcW w:w="1133" w:type="dxa"/>
          </w:tcPr>
          <w:p w14:paraId="5EA875AE" w14:textId="699A64BB" w:rsidR="001623B7" w:rsidRPr="00F7796D" w:rsidRDefault="00F81BC1" w:rsidP="00E00797">
            <w:pPr>
              <w:pStyle w:val="Norma"/>
              <w:rPr>
                <w:rFonts w:cs="Arial"/>
              </w:rPr>
            </w:pPr>
            <w:r>
              <w:rPr>
                <w:rFonts w:cs="Arial"/>
              </w:rPr>
              <w:t>1</w:t>
            </w:r>
          </w:p>
        </w:tc>
        <w:tc>
          <w:tcPr>
            <w:tcW w:w="5927" w:type="dxa"/>
            <w:shd w:val="clear" w:color="auto" w:fill="auto"/>
          </w:tcPr>
          <w:p w14:paraId="5EA875AF" w14:textId="644AFD13" w:rsidR="001623B7" w:rsidRPr="00F7796D" w:rsidRDefault="00F81BC1" w:rsidP="00E00797">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262" w:type="dxa"/>
            <w:shd w:val="clear" w:color="auto" w:fill="auto"/>
          </w:tcPr>
          <w:p w14:paraId="5EA875B0" w14:textId="703A3548" w:rsidR="001623B7" w:rsidRPr="00F7796D" w:rsidRDefault="007B4F0B" w:rsidP="00E00797">
            <w:pPr>
              <w:pStyle w:val="Norma"/>
              <w:rPr>
                <w:rFonts w:cs="Arial"/>
              </w:rPr>
            </w:pPr>
            <w:r>
              <w:rPr>
                <w:rFonts w:cs="Arial"/>
              </w:rPr>
              <w:t>15</w:t>
            </w:r>
            <w:r w:rsidR="00DE76AF">
              <w:rPr>
                <w:rFonts w:cs="Arial"/>
              </w:rPr>
              <w:t>%</w:t>
            </w:r>
          </w:p>
        </w:tc>
      </w:tr>
      <w:tr w:rsidR="001623B7" w:rsidRPr="00C6546D" w14:paraId="5EA875B5" w14:textId="77777777" w:rsidTr="0003709A">
        <w:tc>
          <w:tcPr>
            <w:tcW w:w="1133" w:type="dxa"/>
          </w:tcPr>
          <w:p w14:paraId="5EA875B2" w14:textId="587E5247" w:rsidR="001623B7" w:rsidRPr="00F7796D" w:rsidRDefault="00F81BC1" w:rsidP="00E00797">
            <w:pPr>
              <w:pStyle w:val="Norma"/>
              <w:rPr>
                <w:rFonts w:cs="Arial"/>
              </w:rPr>
            </w:pPr>
            <w:r>
              <w:rPr>
                <w:rFonts w:cs="Arial"/>
              </w:rPr>
              <w:t>2</w:t>
            </w:r>
          </w:p>
        </w:tc>
        <w:tc>
          <w:tcPr>
            <w:tcW w:w="5927" w:type="dxa"/>
            <w:shd w:val="clear" w:color="auto" w:fill="auto"/>
          </w:tcPr>
          <w:p w14:paraId="5EA875B3" w14:textId="382A88F7" w:rsidR="001623B7" w:rsidRPr="00F7796D" w:rsidRDefault="00F81BC1" w:rsidP="00E00797">
            <w:pPr>
              <w:pStyle w:val="Norma"/>
              <w:rPr>
                <w:rFonts w:cs="Arial"/>
              </w:rPr>
            </w:pPr>
            <w:r w:rsidRPr="00334AEE">
              <w:rPr>
                <w:rFonts w:ascii="Calibri" w:hAnsi="Calibri"/>
                <w:b/>
              </w:rPr>
              <w:t xml:space="preserve">MANAGING YOUR </w:t>
            </w:r>
            <w:r>
              <w:rPr>
                <w:rFonts w:ascii="Calibri" w:hAnsi="Calibri"/>
                <w:b/>
              </w:rPr>
              <w:t>RELATIONSHIP WITH THE CCC</w:t>
            </w:r>
          </w:p>
        </w:tc>
        <w:tc>
          <w:tcPr>
            <w:tcW w:w="2262" w:type="dxa"/>
            <w:shd w:val="clear" w:color="auto" w:fill="auto"/>
          </w:tcPr>
          <w:p w14:paraId="5EA875B4" w14:textId="7FE22855" w:rsidR="001623B7" w:rsidRPr="00F7796D" w:rsidRDefault="00DE76AF" w:rsidP="00E00797">
            <w:pPr>
              <w:pStyle w:val="Norma"/>
              <w:rPr>
                <w:rFonts w:cs="Arial"/>
              </w:rPr>
            </w:pPr>
            <w:r>
              <w:rPr>
                <w:rFonts w:cs="Arial"/>
              </w:rPr>
              <w:t>10%</w:t>
            </w:r>
          </w:p>
        </w:tc>
      </w:tr>
      <w:tr w:rsidR="001623B7" w:rsidRPr="00C6546D" w14:paraId="5EA875B9" w14:textId="77777777" w:rsidTr="0003709A">
        <w:tc>
          <w:tcPr>
            <w:tcW w:w="1133" w:type="dxa"/>
          </w:tcPr>
          <w:p w14:paraId="5EA875B6" w14:textId="5CBFCED4" w:rsidR="001623B7" w:rsidRPr="00F7796D" w:rsidRDefault="00F81BC1" w:rsidP="00E00797">
            <w:pPr>
              <w:pStyle w:val="Norma"/>
              <w:rPr>
                <w:rFonts w:cs="Arial"/>
              </w:rPr>
            </w:pPr>
            <w:r>
              <w:rPr>
                <w:rFonts w:cs="Arial"/>
              </w:rPr>
              <w:t>3</w:t>
            </w:r>
          </w:p>
        </w:tc>
        <w:tc>
          <w:tcPr>
            <w:tcW w:w="5927" w:type="dxa"/>
            <w:shd w:val="clear" w:color="auto" w:fill="auto"/>
          </w:tcPr>
          <w:p w14:paraId="5EA875B7" w14:textId="2D79AC43" w:rsidR="001623B7" w:rsidRPr="00F7796D" w:rsidRDefault="00F81BC1" w:rsidP="00E00797">
            <w:pPr>
              <w:pStyle w:val="Norma"/>
              <w:rPr>
                <w:rFonts w:cs="Arial"/>
              </w:rPr>
            </w:pPr>
            <w:r w:rsidRPr="00334AEE">
              <w:rPr>
                <w:rFonts w:ascii="Calibri" w:hAnsi="Calibri"/>
                <w:b/>
              </w:rPr>
              <w:t>QUALITY ASSURING THE SERVICES YOU PROVIDE</w:t>
            </w:r>
          </w:p>
        </w:tc>
        <w:tc>
          <w:tcPr>
            <w:tcW w:w="2262" w:type="dxa"/>
            <w:shd w:val="clear" w:color="auto" w:fill="auto"/>
          </w:tcPr>
          <w:p w14:paraId="5EA875B8" w14:textId="22323499" w:rsidR="001623B7" w:rsidRPr="00F7796D" w:rsidRDefault="00DE76AF" w:rsidP="00E00797">
            <w:pPr>
              <w:pStyle w:val="Norma"/>
              <w:rPr>
                <w:rFonts w:cs="Arial"/>
              </w:rPr>
            </w:pPr>
            <w:r>
              <w:rPr>
                <w:rFonts w:cs="Arial"/>
              </w:rPr>
              <w:t>10%</w:t>
            </w:r>
          </w:p>
        </w:tc>
      </w:tr>
      <w:tr w:rsidR="0003709A" w:rsidRPr="00C6546D" w14:paraId="5EA875BD" w14:textId="77777777" w:rsidTr="0003709A">
        <w:tc>
          <w:tcPr>
            <w:tcW w:w="1133" w:type="dxa"/>
          </w:tcPr>
          <w:p w14:paraId="5EA875BA" w14:textId="3E2B1667" w:rsidR="0003709A" w:rsidRPr="00F7796D" w:rsidRDefault="0003709A" w:rsidP="00E00797">
            <w:pPr>
              <w:pStyle w:val="Norma"/>
              <w:rPr>
                <w:rFonts w:cs="Arial"/>
              </w:rPr>
            </w:pPr>
            <w:r>
              <w:rPr>
                <w:rFonts w:cs="Arial"/>
              </w:rPr>
              <w:t>4</w:t>
            </w:r>
          </w:p>
        </w:tc>
        <w:tc>
          <w:tcPr>
            <w:tcW w:w="5927" w:type="dxa"/>
            <w:shd w:val="clear" w:color="auto" w:fill="auto"/>
          </w:tcPr>
          <w:p w14:paraId="5EA875BB" w14:textId="679492E4" w:rsidR="0003709A" w:rsidRPr="00F7796D" w:rsidRDefault="0003709A" w:rsidP="00E00797">
            <w:pPr>
              <w:pStyle w:val="Norma"/>
              <w:rPr>
                <w:rFonts w:cs="Arial"/>
              </w:rPr>
            </w:pPr>
            <w:r w:rsidRPr="00334AEE">
              <w:rPr>
                <w:rFonts w:ascii="Calibri" w:hAnsi="Calibri"/>
                <w:b/>
              </w:rPr>
              <w:t>PROJECT TEAM</w:t>
            </w:r>
            <w:r>
              <w:rPr>
                <w:rFonts w:ascii="Calibri" w:hAnsi="Calibri"/>
                <w:b/>
              </w:rPr>
              <w:t xml:space="preserve"> – SKILLS AND KNOWLEDGE</w:t>
            </w:r>
          </w:p>
        </w:tc>
        <w:tc>
          <w:tcPr>
            <w:tcW w:w="2262" w:type="dxa"/>
            <w:shd w:val="clear" w:color="auto" w:fill="auto"/>
          </w:tcPr>
          <w:p w14:paraId="5EA875BC" w14:textId="1AE62D50" w:rsidR="0003709A" w:rsidRPr="00F7796D" w:rsidRDefault="007B4F0B" w:rsidP="00E00797">
            <w:pPr>
              <w:pStyle w:val="Norma"/>
              <w:rPr>
                <w:rFonts w:cs="Arial"/>
              </w:rPr>
            </w:pPr>
            <w:r>
              <w:rPr>
                <w:rFonts w:cs="Arial"/>
              </w:rPr>
              <w:t>15</w:t>
            </w:r>
            <w:r w:rsidR="0003709A">
              <w:rPr>
                <w:rFonts w:cs="Arial"/>
              </w:rPr>
              <w:t>%</w:t>
            </w:r>
          </w:p>
        </w:tc>
      </w:tr>
      <w:tr w:rsidR="0003709A" w:rsidRPr="00C6546D" w14:paraId="5EA875C1" w14:textId="77777777" w:rsidTr="0003709A">
        <w:tc>
          <w:tcPr>
            <w:tcW w:w="1133" w:type="dxa"/>
          </w:tcPr>
          <w:p w14:paraId="5EA875BE" w14:textId="2DA7BEC8" w:rsidR="0003709A" w:rsidRPr="00F7796D" w:rsidRDefault="0003709A" w:rsidP="00E00797">
            <w:pPr>
              <w:pStyle w:val="Norma"/>
              <w:rPr>
                <w:rFonts w:cs="Arial"/>
              </w:rPr>
            </w:pPr>
            <w:r>
              <w:rPr>
                <w:rFonts w:cs="Arial"/>
              </w:rPr>
              <w:t>5</w:t>
            </w:r>
          </w:p>
        </w:tc>
        <w:tc>
          <w:tcPr>
            <w:tcW w:w="5927" w:type="dxa"/>
            <w:shd w:val="clear" w:color="auto" w:fill="auto"/>
          </w:tcPr>
          <w:p w14:paraId="5EA875BF" w14:textId="07FFD5CE" w:rsidR="0003709A" w:rsidRPr="00F7796D" w:rsidRDefault="0003709A" w:rsidP="00F06AD2">
            <w:pPr>
              <w:pStyle w:val="Norma"/>
              <w:rPr>
                <w:rFonts w:cs="Arial"/>
              </w:rPr>
            </w:pPr>
            <w:r w:rsidRPr="00334AEE">
              <w:rPr>
                <w:rFonts w:ascii="Calibri" w:hAnsi="Calibri"/>
                <w:b/>
              </w:rPr>
              <w:t>METHOD, ABILITY AND TECHNICAL CAPACITY</w:t>
            </w:r>
          </w:p>
        </w:tc>
        <w:tc>
          <w:tcPr>
            <w:tcW w:w="2262" w:type="dxa"/>
            <w:shd w:val="clear" w:color="auto" w:fill="auto"/>
          </w:tcPr>
          <w:p w14:paraId="5EA875C0" w14:textId="3E906047" w:rsidR="0003709A" w:rsidRPr="00F7796D" w:rsidRDefault="007B4F0B" w:rsidP="00E00797">
            <w:pPr>
              <w:pStyle w:val="Norma"/>
              <w:rPr>
                <w:rFonts w:cs="Arial"/>
              </w:rPr>
            </w:pPr>
            <w:r>
              <w:rPr>
                <w:rFonts w:cs="Arial"/>
              </w:rPr>
              <w:t>30</w:t>
            </w:r>
            <w:r w:rsidR="0003709A">
              <w:rPr>
                <w:rFonts w:cs="Arial"/>
              </w:rPr>
              <w:t>%</w:t>
            </w:r>
          </w:p>
        </w:tc>
      </w:tr>
      <w:tr w:rsidR="0003709A" w:rsidRPr="00C6546D" w14:paraId="5EA875C5" w14:textId="77777777" w:rsidTr="0003709A">
        <w:tc>
          <w:tcPr>
            <w:tcW w:w="1133" w:type="dxa"/>
          </w:tcPr>
          <w:p w14:paraId="5EA875C2" w14:textId="46EE30A5" w:rsidR="0003709A" w:rsidRPr="00F7796D" w:rsidRDefault="0003709A" w:rsidP="00E00797">
            <w:pPr>
              <w:pStyle w:val="Norma"/>
              <w:rPr>
                <w:rFonts w:cs="Arial"/>
              </w:rPr>
            </w:pPr>
            <w:r>
              <w:rPr>
                <w:rFonts w:cs="Arial"/>
              </w:rPr>
              <w:t>6</w:t>
            </w:r>
          </w:p>
        </w:tc>
        <w:tc>
          <w:tcPr>
            <w:tcW w:w="5927" w:type="dxa"/>
            <w:shd w:val="clear" w:color="auto" w:fill="auto"/>
          </w:tcPr>
          <w:p w14:paraId="5EA875C3" w14:textId="4C1FCCD4" w:rsidR="0003709A" w:rsidRPr="00F7796D" w:rsidRDefault="0003709A" w:rsidP="00BD0806">
            <w:pPr>
              <w:pStyle w:val="Norma"/>
              <w:rPr>
                <w:rFonts w:cs="Arial"/>
              </w:rPr>
            </w:pPr>
            <w:r w:rsidRPr="00334AEE">
              <w:rPr>
                <w:rFonts w:ascii="Calibri" w:hAnsi="Calibri"/>
                <w:b/>
              </w:rPr>
              <w:t>UNDERSTANDING OF REQUIREMENTS</w:t>
            </w:r>
          </w:p>
        </w:tc>
        <w:tc>
          <w:tcPr>
            <w:tcW w:w="2262" w:type="dxa"/>
            <w:shd w:val="clear" w:color="auto" w:fill="auto"/>
          </w:tcPr>
          <w:p w14:paraId="5EA875C4" w14:textId="185E5E14" w:rsidR="0003709A" w:rsidRPr="00F7796D" w:rsidRDefault="0003709A" w:rsidP="00E00797">
            <w:pPr>
              <w:pStyle w:val="Norma"/>
              <w:rPr>
                <w:rFonts w:cs="Arial"/>
              </w:rPr>
            </w:pPr>
            <w:r>
              <w:rPr>
                <w:rFonts w:cs="Arial"/>
              </w:rPr>
              <w:t>10%</w:t>
            </w:r>
          </w:p>
        </w:tc>
      </w:tr>
      <w:tr w:rsidR="0003709A" w:rsidRPr="00C6546D" w14:paraId="5EA875C9" w14:textId="77777777" w:rsidTr="0003709A">
        <w:tc>
          <w:tcPr>
            <w:tcW w:w="1133" w:type="dxa"/>
          </w:tcPr>
          <w:p w14:paraId="5EA875C6" w14:textId="66367FE7" w:rsidR="0003709A" w:rsidRPr="00F7796D" w:rsidRDefault="0003709A" w:rsidP="00E00797">
            <w:pPr>
              <w:pStyle w:val="Norma"/>
              <w:rPr>
                <w:rFonts w:cs="Arial"/>
              </w:rPr>
            </w:pPr>
            <w:r>
              <w:rPr>
                <w:rFonts w:cs="Arial"/>
              </w:rPr>
              <w:t>7</w:t>
            </w:r>
          </w:p>
        </w:tc>
        <w:tc>
          <w:tcPr>
            <w:tcW w:w="5927" w:type="dxa"/>
            <w:shd w:val="clear" w:color="auto" w:fill="auto"/>
          </w:tcPr>
          <w:p w14:paraId="5EA875C7" w14:textId="367B8387" w:rsidR="0003709A" w:rsidRPr="00F7796D" w:rsidRDefault="0003709A" w:rsidP="00E00797">
            <w:pPr>
              <w:pStyle w:val="Norma"/>
              <w:rPr>
                <w:rFonts w:cs="Arial"/>
              </w:rPr>
            </w:pPr>
            <w:r>
              <w:rPr>
                <w:rFonts w:ascii="Calibri" w:hAnsi="Calibri"/>
                <w:b/>
              </w:rPr>
              <w:t xml:space="preserve">RISK AND </w:t>
            </w:r>
            <w:r w:rsidRPr="00334AEE">
              <w:rPr>
                <w:rFonts w:ascii="Calibri" w:hAnsi="Calibri"/>
                <w:b/>
              </w:rPr>
              <w:t>CHALLENGES</w:t>
            </w:r>
          </w:p>
        </w:tc>
        <w:tc>
          <w:tcPr>
            <w:tcW w:w="2262" w:type="dxa"/>
            <w:shd w:val="clear" w:color="auto" w:fill="auto"/>
          </w:tcPr>
          <w:p w14:paraId="5EA875C8" w14:textId="3B71AFC7" w:rsidR="0003709A" w:rsidRPr="00F7796D" w:rsidRDefault="0003709A" w:rsidP="00E00797">
            <w:pPr>
              <w:pStyle w:val="Norma"/>
              <w:rPr>
                <w:rFonts w:cs="Arial"/>
              </w:rPr>
            </w:pPr>
            <w:r>
              <w:rPr>
                <w:rFonts w:cs="Arial"/>
              </w:rPr>
              <w:t>10%</w:t>
            </w:r>
          </w:p>
        </w:tc>
      </w:tr>
      <w:tr w:rsidR="0003709A" w:rsidRPr="00C6546D" w14:paraId="2E6C8FB4" w14:textId="77777777" w:rsidTr="0003709A">
        <w:tc>
          <w:tcPr>
            <w:tcW w:w="1133" w:type="dxa"/>
          </w:tcPr>
          <w:p w14:paraId="1E560CCE" w14:textId="1371480D" w:rsidR="0003709A" w:rsidRPr="00F7796D" w:rsidRDefault="0003709A" w:rsidP="00E00797">
            <w:pPr>
              <w:pStyle w:val="Norma"/>
              <w:rPr>
                <w:rFonts w:cs="Arial"/>
              </w:rPr>
            </w:pPr>
          </w:p>
        </w:tc>
        <w:tc>
          <w:tcPr>
            <w:tcW w:w="5927" w:type="dxa"/>
            <w:shd w:val="clear" w:color="auto" w:fill="auto"/>
          </w:tcPr>
          <w:p w14:paraId="66360B15" w14:textId="763ED9E2" w:rsidR="0003709A" w:rsidRPr="00F7796D" w:rsidRDefault="0003709A" w:rsidP="00E00797">
            <w:pPr>
              <w:pStyle w:val="Norma"/>
              <w:rPr>
                <w:rFonts w:cs="Arial"/>
              </w:rPr>
            </w:pPr>
          </w:p>
        </w:tc>
        <w:tc>
          <w:tcPr>
            <w:tcW w:w="2262" w:type="dxa"/>
          </w:tcPr>
          <w:p w14:paraId="42541313" w14:textId="1EE38A63" w:rsidR="0003709A" w:rsidRPr="00F7796D" w:rsidRDefault="0003709A" w:rsidP="00E00797">
            <w:pPr>
              <w:pStyle w:val="Norma"/>
              <w:rPr>
                <w:rFonts w:cs="Arial"/>
              </w:rPr>
            </w:pPr>
          </w:p>
        </w:tc>
      </w:tr>
      <w:tr w:rsidR="0003709A" w:rsidRPr="00C6546D" w14:paraId="1D5C5230" w14:textId="77777777" w:rsidTr="0003709A">
        <w:tc>
          <w:tcPr>
            <w:tcW w:w="1133" w:type="dxa"/>
          </w:tcPr>
          <w:p w14:paraId="2768895F" w14:textId="77777777" w:rsidR="0003709A" w:rsidRPr="00F7796D" w:rsidRDefault="0003709A" w:rsidP="00E00797">
            <w:pPr>
              <w:pStyle w:val="Norma"/>
              <w:rPr>
                <w:rFonts w:cs="Arial"/>
              </w:rPr>
            </w:pPr>
          </w:p>
        </w:tc>
        <w:tc>
          <w:tcPr>
            <w:tcW w:w="5927" w:type="dxa"/>
            <w:shd w:val="clear" w:color="auto" w:fill="auto"/>
          </w:tcPr>
          <w:p w14:paraId="706ACC83" w14:textId="1A40CC69" w:rsidR="0003709A" w:rsidRPr="00F7796D" w:rsidRDefault="0003709A" w:rsidP="00E00797">
            <w:pPr>
              <w:pStyle w:val="Norma"/>
              <w:rPr>
                <w:rFonts w:cs="Arial"/>
              </w:rPr>
            </w:pPr>
          </w:p>
        </w:tc>
        <w:tc>
          <w:tcPr>
            <w:tcW w:w="2262" w:type="dxa"/>
          </w:tcPr>
          <w:p w14:paraId="4C34B6F9" w14:textId="77777777" w:rsidR="0003709A" w:rsidRPr="00F7796D" w:rsidRDefault="0003709A" w:rsidP="00E00797">
            <w:pPr>
              <w:pStyle w:val="Norma"/>
              <w:rPr>
                <w:rFonts w:cs="Arial"/>
              </w:rPr>
            </w:pPr>
          </w:p>
        </w:tc>
      </w:tr>
      <w:tr w:rsidR="0003709A" w:rsidRPr="00C6546D" w14:paraId="5EA875CC" w14:textId="77777777" w:rsidTr="0003709A">
        <w:tc>
          <w:tcPr>
            <w:tcW w:w="7060" w:type="dxa"/>
            <w:gridSpan w:val="2"/>
          </w:tcPr>
          <w:p w14:paraId="5EA875CA" w14:textId="77777777" w:rsidR="0003709A" w:rsidRPr="00F7796D" w:rsidRDefault="0003709A" w:rsidP="00E00797">
            <w:pPr>
              <w:pStyle w:val="Norma"/>
              <w:rPr>
                <w:rFonts w:cs="Arial"/>
              </w:rPr>
            </w:pPr>
          </w:p>
        </w:tc>
        <w:tc>
          <w:tcPr>
            <w:tcW w:w="2262" w:type="dxa"/>
            <w:shd w:val="clear" w:color="auto" w:fill="auto"/>
          </w:tcPr>
          <w:p w14:paraId="5EA875CB" w14:textId="494200BD" w:rsidR="0003709A" w:rsidRPr="00F7796D" w:rsidRDefault="0003709A" w:rsidP="00E00797">
            <w:pPr>
              <w:pStyle w:val="Norma"/>
              <w:rPr>
                <w:rFonts w:cs="Arial"/>
              </w:rPr>
            </w:pPr>
            <w:r>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E4650D" w:rsidRDefault="00F129F3" w:rsidP="00F129F3">
      <w:pPr>
        <w:pStyle w:val="Norma"/>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E4650D" w:rsidRDefault="00F129F3" w:rsidP="00F129F3">
      <w:pPr>
        <w:pStyle w:val="Norma"/>
        <w:jc w:val="both"/>
        <w:rPr>
          <w:rFonts w:cs="Arial"/>
          <w:bCs/>
          <w:sz w:val="24"/>
          <w:szCs w:val="24"/>
        </w:rPr>
      </w:pPr>
    </w:p>
    <w:p w14:paraId="5EA875D2" w14:textId="77777777" w:rsidR="00F129F3" w:rsidRDefault="00F129F3" w:rsidP="00F129F3">
      <w:pPr>
        <w:pStyle w:val="Norma"/>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E4650D" w:rsidRDefault="0089389E" w:rsidP="00F129F3">
      <w:pPr>
        <w:pStyle w:val="Norma"/>
        <w:jc w:val="both"/>
        <w:rPr>
          <w:rFonts w:cs="Arial"/>
          <w:sz w:val="24"/>
          <w:szCs w:val="24"/>
        </w:rPr>
      </w:pPr>
    </w:p>
    <w:p w14:paraId="5EA875D3" w14:textId="77777777" w:rsidR="00F129F3"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5EA875D6" w14:textId="77777777" w:rsidTr="00E00797">
        <w:tc>
          <w:tcPr>
            <w:tcW w:w="816" w:type="dxa"/>
          </w:tcPr>
          <w:p w14:paraId="5EA875D4" w14:textId="77777777" w:rsidR="00F129F3" w:rsidRPr="008A0415" w:rsidRDefault="00F129F3" w:rsidP="00E00797">
            <w:pPr>
              <w:pStyle w:val="Norma"/>
              <w:spacing w:line="276" w:lineRule="auto"/>
              <w:jc w:val="both"/>
              <w:rPr>
                <w:rFonts w:cs="Arial"/>
                <w:b/>
                <w:sz w:val="24"/>
                <w:szCs w:val="24"/>
              </w:rPr>
            </w:pPr>
            <w:r w:rsidRPr="008A0415">
              <w:rPr>
                <w:rFonts w:cs="Arial"/>
                <w:b/>
                <w:sz w:val="24"/>
                <w:szCs w:val="24"/>
              </w:rPr>
              <w:t>Score</w:t>
            </w:r>
          </w:p>
        </w:tc>
        <w:tc>
          <w:tcPr>
            <w:tcW w:w="7939" w:type="dxa"/>
          </w:tcPr>
          <w:p w14:paraId="5EA875D5" w14:textId="77777777" w:rsidR="00F129F3" w:rsidRPr="008A0415" w:rsidRDefault="00F129F3" w:rsidP="00E00797">
            <w:pPr>
              <w:pStyle w:val="Norma"/>
              <w:spacing w:line="276" w:lineRule="auto"/>
              <w:jc w:val="both"/>
              <w:rPr>
                <w:rFonts w:cs="Arial"/>
                <w:b/>
                <w:sz w:val="24"/>
                <w:szCs w:val="24"/>
              </w:rPr>
            </w:pPr>
            <w:r w:rsidRPr="008A0415">
              <w:rPr>
                <w:rFonts w:cs="Arial"/>
                <w:b/>
                <w:sz w:val="24"/>
                <w:szCs w:val="24"/>
              </w:rPr>
              <w:t>Description</w:t>
            </w:r>
          </w:p>
        </w:tc>
      </w:tr>
      <w:tr w:rsidR="00F129F3" w:rsidRPr="008A0415" w14:paraId="5EA875D9" w14:textId="77777777" w:rsidTr="00E00797">
        <w:trPr>
          <w:trHeight w:val="313"/>
        </w:trPr>
        <w:tc>
          <w:tcPr>
            <w:tcW w:w="816" w:type="dxa"/>
          </w:tcPr>
          <w:p w14:paraId="5EA875D7"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1</w:t>
            </w:r>
          </w:p>
        </w:tc>
        <w:tc>
          <w:tcPr>
            <w:tcW w:w="7939" w:type="dxa"/>
          </w:tcPr>
          <w:p w14:paraId="5EA875D8"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5EA875DC" w14:textId="77777777" w:rsidTr="00E00797">
        <w:tc>
          <w:tcPr>
            <w:tcW w:w="816" w:type="dxa"/>
          </w:tcPr>
          <w:p w14:paraId="5EA875DA"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2</w:t>
            </w:r>
          </w:p>
        </w:tc>
        <w:tc>
          <w:tcPr>
            <w:tcW w:w="7939" w:type="dxa"/>
          </w:tcPr>
          <w:p w14:paraId="5EA875DB"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5EA875DF" w14:textId="77777777" w:rsidTr="00E00797">
        <w:tc>
          <w:tcPr>
            <w:tcW w:w="816" w:type="dxa"/>
          </w:tcPr>
          <w:p w14:paraId="5EA875DD"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3</w:t>
            </w:r>
          </w:p>
        </w:tc>
        <w:tc>
          <w:tcPr>
            <w:tcW w:w="7939" w:type="dxa"/>
          </w:tcPr>
          <w:p w14:paraId="5EA875DE"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5EA875E2" w14:textId="77777777" w:rsidTr="00E00797">
        <w:tc>
          <w:tcPr>
            <w:tcW w:w="816" w:type="dxa"/>
          </w:tcPr>
          <w:p w14:paraId="5EA875E0"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4</w:t>
            </w:r>
          </w:p>
        </w:tc>
        <w:tc>
          <w:tcPr>
            <w:tcW w:w="7939" w:type="dxa"/>
          </w:tcPr>
          <w:p w14:paraId="5EA875E1"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5EA875E5" w14:textId="77777777" w:rsidTr="00E00797">
        <w:tc>
          <w:tcPr>
            <w:tcW w:w="816" w:type="dxa"/>
          </w:tcPr>
          <w:p w14:paraId="5EA875E3" w14:textId="77777777" w:rsidR="00F129F3" w:rsidRPr="008A0415" w:rsidRDefault="00F129F3" w:rsidP="00E00797">
            <w:pPr>
              <w:pStyle w:val="Norma"/>
              <w:spacing w:line="276" w:lineRule="auto"/>
              <w:jc w:val="both"/>
              <w:rPr>
                <w:rFonts w:cs="Arial"/>
                <w:sz w:val="24"/>
                <w:szCs w:val="24"/>
              </w:rPr>
            </w:pPr>
            <w:r w:rsidRPr="008A0415">
              <w:rPr>
                <w:rFonts w:cs="Arial"/>
                <w:sz w:val="24"/>
                <w:szCs w:val="24"/>
              </w:rPr>
              <w:t>5</w:t>
            </w:r>
          </w:p>
        </w:tc>
        <w:tc>
          <w:tcPr>
            <w:tcW w:w="7939" w:type="dxa"/>
          </w:tcPr>
          <w:p w14:paraId="5EA875E4" w14:textId="77777777" w:rsidR="00F129F3" w:rsidRPr="008A0415" w:rsidRDefault="00F129F3" w:rsidP="00E00797">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5EA87614" w14:textId="77777777" w:rsidR="001623B7" w:rsidRPr="001D5D04" w:rsidRDefault="001623B7" w:rsidP="001623B7">
      <w:pPr>
        <w:pStyle w:val="Norma"/>
        <w:widowControl/>
        <w:overflowPunct/>
        <w:autoSpaceDE/>
        <w:autoSpaceDN/>
        <w:adjustRightInd/>
        <w:jc w:val="both"/>
        <w:textAlignment w:val="auto"/>
        <w:rPr>
          <w:rFonts w:cs="Arial"/>
          <w:sz w:val="24"/>
          <w:szCs w:val="24"/>
        </w:rPr>
      </w:pPr>
      <w:bookmarkStart w:id="37" w:name="nine01"/>
      <w:bookmarkEnd w:id="37"/>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E4650D" w:rsidRDefault="007B668D" w:rsidP="00E4650D">
      <w:pPr>
        <w:pStyle w:val="Norma"/>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F81BC1">
        <w:rPr>
          <w:rFonts w:cs="Arial"/>
          <w:sz w:val="24"/>
          <w:szCs w:val="24"/>
        </w:rPr>
        <w:t xml:space="preserve"> and supply a price </w:t>
      </w:r>
      <w:r w:rsidR="006D62F6" w:rsidRPr="00E4650D">
        <w:rPr>
          <w:rFonts w:eastAsia="Calibri" w:cs="Arial"/>
          <w:sz w:val="24"/>
          <w:szCs w:val="24"/>
          <w:lang w:eastAsia="en-US"/>
        </w:rPr>
        <w:t xml:space="preserve">schedule </w:t>
      </w:r>
      <w:r w:rsidR="00D648EC" w:rsidRPr="00E4650D">
        <w:rPr>
          <w:rFonts w:eastAsia="Calibri" w:cs="Arial"/>
          <w:sz w:val="24"/>
          <w:szCs w:val="24"/>
          <w:lang w:eastAsia="en-US"/>
        </w:rPr>
        <w:t xml:space="preserve">specifying the daily rates (ex-VAT) you will charge for each level of your staff. </w:t>
      </w:r>
    </w:p>
    <w:p w14:paraId="5EA87619" w14:textId="77777777" w:rsidR="003C1CE8" w:rsidRPr="002D4038" w:rsidRDefault="003C1CE8" w:rsidP="003C1CE8">
      <w:pPr>
        <w:pStyle w:val="Norma"/>
        <w:rPr>
          <w:rFonts w:ascii="Calibri" w:hAnsi="Calibri" w:cs="Calibri"/>
        </w:rPr>
      </w:pP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8A0415" w:rsidRDefault="0097210C" w:rsidP="008A0415">
      <w:pPr>
        <w:pStyle w:val="Norma"/>
        <w:jc w:val="both"/>
        <w:rPr>
          <w:rFonts w:cs="Arial"/>
          <w:sz w:val="24"/>
          <w:szCs w:val="24"/>
        </w:rPr>
      </w:pPr>
      <w:r>
        <w:rPr>
          <w:rFonts w:cs="Arial"/>
          <w:sz w:val="24"/>
          <w:szCs w:val="24"/>
        </w:rPr>
        <w:t>C</w:t>
      </w:r>
      <w:r w:rsidR="00222DF8" w:rsidRPr="008A0415">
        <w:rPr>
          <w:rFonts w:cs="Arial"/>
          <w:sz w:val="24"/>
          <w:szCs w:val="24"/>
        </w:rPr>
        <w:t xml:space="preserve">CC reserves the right to award the contract based on applicants’ written evaluation </w:t>
      </w:r>
      <w:r w:rsidR="00222DF8" w:rsidRPr="008A0415">
        <w:rPr>
          <w:rFonts w:cs="Arial"/>
          <w:sz w:val="24"/>
          <w:szCs w:val="24"/>
        </w:rPr>
        <w:lastRenderedPageBreak/>
        <w:t xml:space="preserve">only if one candidate emerges from the evaluation stage as significantly stronger than the others.  </w:t>
      </w:r>
    </w:p>
    <w:p w14:paraId="5EA8761E" w14:textId="77777777" w:rsidR="002E198B" w:rsidRPr="008A0415" w:rsidRDefault="002E198B" w:rsidP="008A0415">
      <w:pPr>
        <w:pStyle w:val="Norma"/>
        <w:jc w:val="both"/>
        <w:rPr>
          <w:rFonts w:cs="Arial"/>
          <w:sz w:val="24"/>
          <w:szCs w:val="24"/>
        </w:rPr>
      </w:pPr>
    </w:p>
    <w:p w14:paraId="3DADA445" w14:textId="108DD652" w:rsidR="00802C0A" w:rsidRPr="00C83790" w:rsidRDefault="00802C0A" w:rsidP="00802C0A">
      <w:pPr>
        <w:pStyle w:val="Norma"/>
        <w:jc w:val="both"/>
        <w:rPr>
          <w:rFonts w:cs="Arial"/>
          <w:color w:val="000000" w:themeColor="text1"/>
          <w:sz w:val="24"/>
          <w:szCs w:val="24"/>
        </w:rPr>
      </w:pPr>
      <w:r w:rsidRPr="008A0415">
        <w:rPr>
          <w:rFonts w:cs="Arial"/>
          <w:sz w:val="24"/>
          <w:szCs w:val="24"/>
        </w:rPr>
        <w:t xml:space="preserve">Should interviews go ahead, </w:t>
      </w:r>
      <w:r>
        <w:rPr>
          <w:rFonts w:cs="Arial"/>
          <w:sz w:val="24"/>
          <w:szCs w:val="24"/>
        </w:rPr>
        <w:t>C</w:t>
      </w:r>
      <w:r w:rsidRPr="008A0415">
        <w:rPr>
          <w:rFonts w:cs="Arial"/>
          <w:sz w:val="24"/>
          <w:szCs w:val="24"/>
        </w:rPr>
        <w:t xml:space="preserve">CC will shortlist the top three suppliers with the highest marks from the written proposals. Interviews are provisionally expected to be </w:t>
      </w:r>
      <w:r w:rsidRPr="00C83790">
        <w:rPr>
          <w:rFonts w:cs="Arial"/>
          <w:color w:val="000000" w:themeColor="text1"/>
          <w:sz w:val="24"/>
          <w:szCs w:val="24"/>
        </w:rPr>
        <w:t>held on</w:t>
      </w:r>
      <w:r w:rsidR="00543B00" w:rsidRPr="00C83790">
        <w:rPr>
          <w:rFonts w:cs="Arial"/>
          <w:color w:val="000000" w:themeColor="text1"/>
          <w:sz w:val="24"/>
          <w:szCs w:val="24"/>
        </w:rPr>
        <w:t xml:space="preserve"> 6</w:t>
      </w:r>
      <w:r w:rsidR="00543B00" w:rsidRPr="00C83790">
        <w:rPr>
          <w:rFonts w:cs="Arial"/>
          <w:color w:val="000000" w:themeColor="text1"/>
          <w:sz w:val="24"/>
          <w:szCs w:val="24"/>
          <w:vertAlign w:val="superscript"/>
        </w:rPr>
        <w:t>th</w:t>
      </w:r>
      <w:r w:rsidR="00543B00" w:rsidRPr="00C83790">
        <w:rPr>
          <w:rFonts w:cs="Arial"/>
          <w:color w:val="000000" w:themeColor="text1"/>
          <w:sz w:val="24"/>
          <w:szCs w:val="24"/>
        </w:rPr>
        <w:t xml:space="preserve"> March</w:t>
      </w:r>
      <w:r w:rsidRPr="00C83790">
        <w:rPr>
          <w:rFonts w:cs="Arial"/>
          <w:color w:val="000000" w:themeColor="text1"/>
          <w:sz w:val="24"/>
          <w:szCs w:val="24"/>
        </w:rPr>
        <w:t xml:space="preserve">. If this date changes, CCC will notify applicants. </w:t>
      </w:r>
    </w:p>
    <w:p w14:paraId="1D18D5ED" w14:textId="77777777" w:rsidR="00802C0A" w:rsidRPr="00C83790" w:rsidRDefault="00802C0A" w:rsidP="008A0415">
      <w:pPr>
        <w:pStyle w:val="Norma"/>
        <w:jc w:val="both"/>
        <w:rPr>
          <w:rFonts w:cs="Arial"/>
          <w:color w:val="000000" w:themeColor="text1"/>
          <w:sz w:val="24"/>
          <w:szCs w:val="24"/>
        </w:rPr>
      </w:pPr>
    </w:p>
    <w:p w14:paraId="5CD39FFD" w14:textId="77777777" w:rsidR="00802C0A" w:rsidRDefault="00802C0A" w:rsidP="008A0415">
      <w:pPr>
        <w:pStyle w:val="Norma"/>
        <w:jc w:val="both"/>
        <w:rPr>
          <w:rFonts w:cs="Arial"/>
          <w:sz w:val="24"/>
          <w:szCs w:val="24"/>
        </w:rPr>
      </w:pPr>
    </w:p>
    <w:p w14:paraId="5EA87621" w14:textId="335D7D1B" w:rsidR="006C44C2" w:rsidRDefault="006C44C2" w:rsidP="008A0415">
      <w:pPr>
        <w:pStyle w:val="Norma"/>
        <w:jc w:val="both"/>
        <w:rPr>
          <w:rFonts w:cs="Arial"/>
          <w:sz w:val="24"/>
          <w:szCs w:val="24"/>
        </w:rPr>
      </w:pPr>
      <w:r>
        <w:rPr>
          <w:rFonts w:cs="Arial"/>
          <w:sz w:val="24"/>
          <w:szCs w:val="24"/>
        </w:rPr>
        <w:t>The areas to be covered in the interview,</w:t>
      </w:r>
      <w:r w:rsidRPr="008A0415">
        <w:rPr>
          <w:rFonts w:cs="Arial"/>
          <w:sz w:val="24"/>
          <w:szCs w:val="24"/>
        </w:rPr>
        <w:t xml:space="preserve"> and mar</w:t>
      </w:r>
      <w:r>
        <w:rPr>
          <w:rFonts w:cs="Arial"/>
          <w:sz w:val="24"/>
          <w:szCs w:val="24"/>
        </w:rPr>
        <w:t>kings allocated to each topic area</w:t>
      </w:r>
      <w:r w:rsidRPr="008A0415">
        <w:rPr>
          <w:rFonts w:cs="Arial"/>
          <w:sz w:val="24"/>
          <w:szCs w:val="24"/>
        </w:rPr>
        <w:t xml:space="preserve"> will be sent to the shortlisted supplier prior to interview.</w:t>
      </w:r>
    </w:p>
    <w:p w14:paraId="5EA87622" w14:textId="77777777" w:rsidR="006C44C2" w:rsidRDefault="006C44C2" w:rsidP="008A0415">
      <w:pPr>
        <w:pStyle w:val="Norma"/>
        <w:jc w:val="both"/>
        <w:rPr>
          <w:rFonts w:cs="Arial"/>
          <w:sz w:val="24"/>
          <w:szCs w:val="24"/>
        </w:rPr>
      </w:pPr>
    </w:p>
    <w:p w14:paraId="5EA87623" w14:textId="77777777" w:rsidR="00A54FFC" w:rsidRPr="008A0415" w:rsidRDefault="00222DF8" w:rsidP="008A0415">
      <w:pPr>
        <w:pStyle w:val="Norma"/>
        <w:jc w:val="both"/>
        <w:rPr>
          <w:rFonts w:cs="Arial"/>
          <w:sz w:val="24"/>
          <w:szCs w:val="24"/>
        </w:rPr>
      </w:pPr>
      <w:r w:rsidRPr="008A0415">
        <w:rPr>
          <w:rFonts w:cs="Arial"/>
          <w:sz w:val="24"/>
          <w:szCs w:val="24"/>
        </w:rPr>
        <w:t>Further details of interview</w:t>
      </w:r>
      <w:r w:rsidR="000967DA">
        <w:rPr>
          <w:rFonts w:cs="Arial"/>
          <w:sz w:val="24"/>
          <w:szCs w:val="24"/>
        </w:rPr>
        <w:t>s</w:t>
      </w:r>
      <w:r w:rsidRPr="008A0415">
        <w:rPr>
          <w:rFonts w:cs="Arial"/>
          <w:sz w:val="24"/>
          <w:szCs w:val="24"/>
        </w:rPr>
        <w:t xml:space="preserve"> will be sent to successful applicants on selection.</w:t>
      </w:r>
      <w:r w:rsidR="001C6E36" w:rsidRPr="008A0415">
        <w:rPr>
          <w:rFonts w:cs="Arial"/>
          <w:sz w:val="24"/>
          <w:szCs w:val="24"/>
        </w:rPr>
        <w:t xml:space="preserve"> </w:t>
      </w:r>
    </w:p>
    <w:p w14:paraId="5EA87624" w14:textId="77777777" w:rsidR="00A54FFC" w:rsidRPr="008A0415" w:rsidRDefault="00A54FFC" w:rsidP="008A0415">
      <w:pPr>
        <w:pStyle w:val="Norma"/>
        <w:jc w:val="both"/>
        <w:rPr>
          <w:rFonts w:cs="Arial"/>
          <w:sz w:val="24"/>
          <w:szCs w:val="24"/>
        </w:rPr>
      </w:pP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8" w14:textId="77777777" w:rsidR="00A10F62" w:rsidRDefault="00AA6AF5"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3"/>
    </w:p>
    <w:p w14:paraId="5EA87629" w14:textId="77777777" w:rsidR="00A10F62"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Sect="00034F5B">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8762E" w14:textId="77777777" w:rsidR="00DD15F0" w:rsidRDefault="00DD15F0" w:rsidP="00EB43D8">
      <w:pPr>
        <w:pStyle w:val="Norma"/>
      </w:pPr>
      <w:r>
        <w:separator/>
      </w:r>
    </w:p>
  </w:endnote>
  <w:endnote w:type="continuationSeparator" w:id="0">
    <w:p w14:paraId="5EA8762F" w14:textId="77777777" w:rsidR="00DD15F0" w:rsidRDefault="00DD15F0"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1" w14:textId="77777777" w:rsidR="00DD15F0" w:rsidRDefault="00DD15F0" w:rsidP="00E85ED1">
    <w:pPr>
      <w:pStyle w:val="Footer"/>
      <w:tabs>
        <w:tab w:val="clear" w:pos="4513"/>
        <w:tab w:val="clear" w:pos="9026"/>
        <w:tab w:val="left" w:pos="19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49EF" w14:textId="77777777" w:rsidR="00034F5B" w:rsidRPr="00124B92" w:rsidRDefault="00034F5B" w:rsidP="00034F5B">
    <w:pPr>
      <w:pStyle w:val="Footer"/>
    </w:pPr>
    <w:r w:rsidRPr="00BB549F">
      <w:rPr>
        <w:vertAlign w:val="superscript"/>
      </w:rPr>
      <w:t>1</w:t>
    </w:r>
    <w:r>
      <w:t xml:space="preserve"> UK H2Mobility: Phase 1 results. (</w:t>
    </w:r>
    <w:hyperlink r:id="rId1" w:history="1">
      <w:r w:rsidRPr="00172A4F">
        <w:rPr>
          <w:rStyle w:val="Hyperlink"/>
        </w:rPr>
        <w:t>https://www.gov.uk/government/uploads/system/uploads/attachment_data/file/192440/13-799-uk-h2-mobility-phase-1-results.pdf</w:t>
      </w:r>
    </w:hyperlink>
    <w:r>
      <w:t xml:space="preserve"> )</w:t>
    </w:r>
  </w:p>
  <w:p w14:paraId="74E7379A" w14:textId="77777777" w:rsidR="00034F5B" w:rsidRDefault="00034F5B" w:rsidP="00E85ED1">
    <w:pPr>
      <w:pStyle w:val="Footer"/>
      <w:tabs>
        <w:tab w:val="clear" w:pos="4513"/>
        <w:tab w:val="clear" w:pos="9026"/>
        <w:tab w:val="left" w:pos="19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E810" w14:textId="77777777" w:rsidR="00034F5B" w:rsidRDefault="00034F5B"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8762C" w14:textId="77777777" w:rsidR="00DD15F0" w:rsidRDefault="00DD15F0" w:rsidP="00EB43D8">
      <w:pPr>
        <w:pStyle w:val="Norma"/>
      </w:pPr>
      <w:r>
        <w:separator/>
      </w:r>
    </w:p>
  </w:footnote>
  <w:footnote w:type="continuationSeparator" w:id="0">
    <w:p w14:paraId="5EA8762D" w14:textId="77777777" w:rsidR="00DD15F0" w:rsidRDefault="00DD15F0"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3" name="Picture 3"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00AF"/>
    <w:multiLevelType w:val="hybridMultilevel"/>
    <w:tmpl w:val="E86E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BE32DB"/>
    <w:multiLevelType w:val="hybridMultilevel"/>
    <w:tmpl w:val="868C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E95036"/>
    <w:multiLevelType w:val="hybridMultilevel"/>
    <w:tmpl w:val="E480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46536"/>
    <w:multiLevelType w:val="hybridMultilevel"/>
    <w:tmpl w:val="7A3A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C60761"/>
    <w:multiLevelType w:val="hybridMultilevel"/>
    <w:tmpl w:val="A736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261E27"/>
    <w:multiLevelType w:val="hybridMultilevel"/>
    <w:tmpl w:val="F036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D72AC6"/>
    <w:multiLevelType w:val="hybridMultilevel"/>
    <w:tmpl w:val="37726BD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nsid w:val="37DC1F02"/>
    <w:multiLevelType w:val="hybridMultilevel"/>
    <w:tmpl w:val="9972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292FBF"/>
    <w:multiLevelType w:val="hybridMultilevel"/>
    <w:tmpl w:val="C900BD5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2"/>
  </w:num>
  <w:num w:numId="5">
    <w:abstractNumId w:val="3"/>
  </w:num>
  <w:num w:numId="6">
    <w:abstractNumId w:val="7"/>
  </w:num>
  <w:num w:numId="7">
    <w:abstractNumId w:val="6"/>
  </w:num>
  <w:num w:numId="8">
    <w:abstractNumId w:val="5"/>
  </w:num>
  <w:num w:numId="9">
    <w:abstractNumId w:val="4"/>
  </w:num>
  <w:num w:numId="10">
    <w:abstractNumId w:val="0"/>
  </w:num>
  <w:num w:numId="11">
    <w:abstractNumId w:val="1"/>
  </w:num>
  <w:num w:numId="1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5734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192"/>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0C3B"/>
    <w:rsid w:val="00031104"/>
    <w:rsid w:val="00031ABF"/>
    <w:rsid w:val="00032E86"/>
    <w:rsid w:val="00034DF2"/>
    <w:rsid w:val="00034DFB"/>
    <w:rsid w:val="00034F5B"/>
    <w:rsid w:val="000357F1"/>
    <w:rsid w:val="00036F81"/>
    <w:rsid w:val="0003709A"/>
    <w:rsid w:val="000402C3"/>
    <w:rsid w:val="0004047B"/>
    <w:rsid w:val="00040BD3"/>
    <w:rsid w:val="0004128F"/>
    <w:rsid w:val="00042622"/>
    <w:rsid w:val="000437BC"/>
    <w:rsid w:val="000442CA"/>
    <w:rsid w:val="00046E46"/>
    <w:rsid w:val="00047D19"/>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888"/>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253"/>
    <w:rsid w:val="000B2BAC"/>
    <w:rsid w:val="000B3D28"/>
    <w:rsid w:val="000B6BA2"/>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46F1"/>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B9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093"/>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1E5C"/>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002"/>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57700"/>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9EB"/>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42"/>
    <w:rsid w:val="002A5C78"/>
    <w:rsid w:val="002A638F"/>
    <w:rsid w:val="002A76E7"/>
    <w:rsid w:val="002A7790"/>
    <w:rsid w:val="002B2189"/>
    <w:rsid w:val="002B22AC"/>
    <w:rsid w:val="002B27E6"/>
    <w:rsid w:val="002B2EEE"/>
    <w:rsid w:val="002B550C"/>
    <w:rsid w:val="002B5F61"/>
    <w:rsid w:val="002B622B"/>
    <w:rsid w:val="002B7281"/>
    <w:rsid w:val="002B769F"/>
    <w:rsid w:val="002B78FD"/>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0E1"/>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3B9"/>
    <w:rsid w:val="002F06C3"/>
    <w:rsid w:val="002F06D0"/>
    <w:rsid w:val="002F089F"/>
    <w:rsid w:val="002F0FBD"/>
    <w:rsid w:val="002F11FA"/>
    <w:rsid w:val="002F1C6D"/>
    <w:rsid w:val="002F1D0B"/>
    <w:rsid w:val="002F2643"/>
    <w:rsid w:val="002F5237"/>
    <w:rsid w:val="002F59AC"/>
    <w:rsid w:val="00300BCD"/>
    <w:rsid w:val="00300E8D"/>
    <w:rsid w:val="00300FD6"/>
    <w:rsid w:val="00302045"/>
    <w:rsid w:val="003023AD"/>
    <w:rsid w:val="00302827"/>
    <w:rsid w:val="0030367D"/>
    <w:rsid w:val="003043AD"/>
    <w:rsid w:val="0030463B"/>
    <w:rsid w:val="003075E1"/>
    <w:rsid w:val="003100B6"/>
    <w:rsid w:val="003110E9"/>
    <w:rsid w:val="00312155"/>
    <w:rsid w:val="0031424E"/>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76F"/>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3D42"/>
    <w:rsid w:val="003840DA"/>
    <w:rsid w:val="00384532"/>
    <w:rsid w:val="003846E8"/>
    <w:rsid w:val="00386582"/>
    <w:rsid w:val="003874FF"/>
    <w:rsid w:val="00390503"/>
    <w:rsid w:val="003911FA"/>
    <w:rsid w:val="00391C9C"/>
    <w:rsid w:val="00392A3E"/>
    <w:rsid w:val="00393117"/>
    <w:rsid w:val="00393D1B"/>
    <w:rsid w:val="003952E0"/>
    <w:rsid w:val="00396844"/>
    <w:rsid w:val="00396C1F"/>
    <w:rsid w:val="003976BC"/>
    <w:rsid w:val="00397841"/>
    <w:rsid w:val="003A1EC8"/>
    <w:rsid w:val="003A20B1"/>
    <w:rsid w:val="003A2171"/>
    <w:rsid w:val="003A3424"/>
    <w:rsid w:val="003A461D"/>
    <w:rsid w:val="003A647A"/>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298E"/>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1D06"/>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27E1"/>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C73"/>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80A"/>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E95"/>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30B"/>
    <w:rsid w:val="004B3AD5"/>
    <w:rsid w:val="004B40EE"/>
    <w:rsid w:val="004B48B3"/>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B00"/>
    <w:rsid w:val="00543EE0"/>
    <w:rsid w:val="00544686"/>
    <w:rsid w:val="00544774"/>
    <w:rsid w:val="0054591C"/>
    <w:rsid w:val="00545B02"/>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1D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57F"/>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4E5D"/>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A0B"/>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1DF"/>
    <w:rsid w:val="006B7F63"/>
    <w:rsid w:val="006C0D22"/>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6971"/>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37A18"/>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6BB2"/>
    <w:rsid w:val="0074737C"/>
    <w:rsid w:val="00751B62"/>
    <w:rsid w:val="007524CC"/>
    <w:rsid w:val="00752DCA"/>
    <w:rsid w:val="00753073"/>
    <w:rsid w:val="00754017"/>
    <w:rsid w:val="00754FAF"/>
    <w:rsid w:val="007550AC"/>
    <w:rsid w:val="00755289"/>
    <w:rsid w:val="00756D4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6DA3"/>
    <w:rsid w:val="00777503"/>
    <w:rsid w:val="00777A99"/>
    <w:rsid w:val="00780375"/>
    <w:rsid w:val="0078042F"/>
    <w:rsid w:val="00781BF5"/>
    <w:rsid w:val="007831D3"/>
    <w:rsid w:val="0078390D"/>
    <w:rsid w:val="00784217"/>
    <w:rsid w:val="00784CAA"/>
    <w:rsid w:val="007867CD"/>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4F0B"/>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430"/>
    <w:rsid w:val="007D1A3E"/>
    <w:rsid w:val="007D28A7"/>
    <w:rsid w:val="007D3018"/>
    <w:rsid w:val="007D355B"/>
    <w:rsid w:val="007D3671"/>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4B3B"/>
    <w:rsid w:val="007F4C0E"/>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3F2"/>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0D47"/>
    <w:rsid w:val="008A1DBD"/>
    <w:rsid w:val="008A1ECF"/>
    <w:rsid w:val="008A2A29"/>
    <w:rsid w:val="008A2F2D"/>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5BA"/>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854"/>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A1F"/>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86B"/>
    <w:rsid w:val="009A1EBA"/>
    <w:rsid w:val="009A2C96"/>
    <w:rsid w:val="009A3652"/>
    <w:rsid w:val="009A375F"/>
    <w:rsid w:val="009A458D"/>
    <w:rsid w:val="009A52FA"/>
    <w:rsid w:val="009A61B9"/>
    <w:rsid w:val="009A6507"/>
    <w:rsid w:val="009A7869"/>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ECD"/>
    <w:rsid w:val="009B7FBC"/>
    <w:rsid w:val="009C0186"/>
    <w:rsid w:val="009C0932"/>
    <w:rsid w:val="009C2990"/>
    <w:rsid w:val="009C3580"/>
    <w:rsid w:val="009C4157"/>
    <w:rsid w:val="009C42E1"/>
    <w:rsid w:val="009C602B"/>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2D"/>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3F3"/>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58E7"/>
    <w:rsid w:val="00A5620C"/>
    <w:rsid w:val="00A56406"/>
    <w:rsid w:val="00A569F5"/>
    <w:rsid w:val="00A57A45"/>
    <w:rsid w:val="00A57E41"/>
    <w:rsid w:val="00A60483"/>
    <w:rsid w:val="00A6140C"/>
    <w:rsid w:val="00A61633"/>
    <w:rsid w:val="00A628A6"/>
    <w:rsid w:val="00A6352A"/>
    <w:rsid w:val="00A63C92"/>
    <w:rsid w:val="00A63F4D"/>
    <w:rsid w:val="00A64B82"/>
    <w:rsid w:val="00A6538A"/>
    <w:rsid w:val="00A65444"/>
    <w:rsid w:val="00A65CB7"/>
    <w:rsid w:val="00A65E65"/>
    <w:rsid w:val="00A665C5"/>
    <w:rsid w:val="00A67A81"/>
    <w:rsid w:val="00A702AF"/>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51DC"/>
    <w:rsid w:val="00AF685A"/>
    <w:rsid w:val="00AF69CB"/>
    <w:rsid w:val="00AF7979"/>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255"/>
    <w:rsid w:val="00B722D7"/>
    <w:rsid w:val="00B7246D"/>
    <w:rsid w:val="00B728E4"/>
    <w:rsid w:val="00B737A5"/>
    <w:rsid w:val="00B7440D"/>
    <w:rsid w:val="00B750D9"/>
    <w:rsid w:val="00B76829"/>
    <w:rsid w:val="00B77036"/>
    <w:rsid w:val="00B80BED"/>
    <w:rsid w:val="00B811AF"/>
    <w:rsid w:val="00B8238B"/>
    <w:rsid w:val="00B83EFA"/>
    <w:rsid w:val="00B845C6"/>
    <w:rsid w:val="00B84DC6"/>
    <w:rsid w:val="00B84F01"/>
    <w:rsid w:val="00B8517D"/>
    <w:rsid w:val="00B869A2"/>
    <w:rsid w:val="00B86DB9"/>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6CB3"/>
    <w:rsid w:val="00BC70BB"/>
    <w:rsid w:val="00BC7ACE"/>
    <w:rsid w:val="00BD0806"/>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3C07"/>
    <w:rsid w:val="00C03FA9"/>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6DE2"/>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3790"/>
    <w:rsid w:val="00C840CE"/>
    <w:rsid w:val="00C859F6"/>
    <w:rsid w:val="00C85E40"/>
    <w:rsid w:val="00C86AB3"/>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5F6F"/>
    <w:rsid w:val="00CD651A"/>
    <w:rsid w:val="00CD6EFA"/>
    <w:rsid w:val="00CD706C"/>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820"/>
    <w:rsid w:val="00CF6A64"/>
    <w:rsid w:val="00CF6C2F"/>
    <w:rsid w:val="00CF7103"/>
    <w:rsid w:val="00CF7A4A"/>
    <w:rsid w:val="00D01DBB"/>
    <w:rsid w:val="00D040DD"/>
    <w:rsid w:val="00D053C4"/>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8FB"/>
    <w:rsid w:val="00D8694D"/>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1DF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339"/>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5B2"/>
    <w:rsid w:val="00EA675C"/>
    <w:rsid w:val="00EA6A6B"/>
    <w:rsid w:val="00EA6C3D"/>
    <w:rsid w:val="00EA7211"/>
    <w:rsid w:val="00EB1386"/>
    <w:rsid w:val="00EB1958"/>
    <w:rsid w:val="00EB230F"/>
    <w:rsid w:val="00EB2B0B"/>
    <w:rsid w:val="00EB43D8"/>
    <w:rsid w:val="00EB4875"/>
    <w:rsid w:val="00EB4BC1"/>
    <w:rsid w:val="00EB4EDF"/>
    <w:rsid w:val="00EB584C"/>
    <w:rsid w:val="00EB5AD5"/>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C7710"/>
    <w:rsid w:val="00EC7B72"/>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6AD2"/>
    <w:rsid w:val="00F076A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6BD9"/>
    <w:rsid w:val="00FA702B"/>
    <w:rsid w:val="00FA75BA"/>
    <w:rsid w:val="00FA7728"/>
    <w:rsid w:val="00FB0B46"/>
    <w:rsid w:val="00FB21B1"/>
    <w:rsid w:val="00FB267F"/>
    <w:rsid w:val="00FB3593"/>
    <w:rsid w:val="00FB55B7"/>
    <w:rsid w:val="00FB5B69"/>
    <w:rsid w:val="00FB641F"/>
    <w:rsid w:val="00FB68DD"/>
    <w:rsid w:val="00FB6E93"/>
    <w:rsid w:val="00FC28E5"/>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character" w:styleId="FollowedHyperlink">
    <w:name w:val="FollowedHyperlink"/>
    <w:basedOn w:val="DefaultParagraphFont"/>
    <w:uiPriority w:val="99"/>
    <w:semiHidden/>
    <w:unhideWhenUsed/>
    <w:rsid w:val="00124B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character" w:styleId="FollowedHyperlink">
    <w:name w:val="FollowedHyperlink"/>
    <w:basedOn w:val="DefaultParagraphFont"/>
    <w:uiPriority w:val="99"/>
    <w:semiHidden/>
    <w:unhideWhenUsed/>
    <w:rsid w:val="00124B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471946099">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192440/13-799-uk-h2-mobility-phase-1-resul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purl.org/dc/terms/"/>
    <ds:schemaRef ds:uri="http://schemas.microsoft.com/office/infopath/2007/PartnerControl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39FBDD0B-8DCD-417F-B87D-1E7D3592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4300</Words>
  <Characters>24515</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2</cp:revision>
  <cp:lastPrinted>2015-02-09T14:25:00Z</cp:lastPrinted>
  <dcterms:created xsi:type="dcterms:W3CDTF">2017-02-09T09:28:00Z</dcterms:created>
  <dcterms:modified xsi:type="dcterms:W3CDTF">2017-02-09T09:28:00Z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