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850888" cy="1752374"/>
            <wp:effectExtent b="0" l="0" r="0" t="0"/>
            <wp:docPr descr="C:\Users\richard.attwood\AppData\Local\Microsoft\Windows\INetCache\Content.MSO\8DD461F2.tmp" id="1"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5850888" cy="17523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7"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7"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GWG T148 Attachment 5 – Financial Viability Risk Assessment Instructions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attachment and Attachment 5a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6306</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Assessing and Monitoring the Economic and Financial Standing of Bidders and Suppliers document  </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Introduction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has adapted the Cabinet Office’s Financial Viability Risk Assessment (FVRA) Tool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(version 4.3.1)</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as the basis to conduct a financial assessment on all Bids. 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RM</w:t>
      </w:r>
      <w:r w:rsidDel="00000000" w:rsidR="00000000" w:rsidRPr="00000000">
        <w:rPr>
          <w:rtl w:val="0"/>
        </w:rPr>
        <w:t xml:space="preserve">6306</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sz w:val="24"/>
          <w:szCs w:val="24"/>
          <w:rtl w:val="0"/>
        </w:rPr>
        <w:t xml:space="preserve">Water, Wastewater and Ancillary Services (3) Framework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 Tool is provided at Attachment 5a – Financial Viability Risk Assessment Tool and is to be completed and submitted by Bidders.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23" w:right="363" w:hanging="3.000000000000000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bidding</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 consortium, each consortium member must complete and submit their own Attachment 5a –Financial Viability Risk Assessment Tool.</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 w:line="240" w:lineRule="auto"/>
        <w:ind w:left="0" w:right="336"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214"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found at: </w:t>
      </w:r>
      <w:hyperlink r:id="rId8">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214" w:hanging="5"/>
        <w:jc w:val="left"/>
        <w:rPr>
          <w:rFonts w:ascii="Arial" w:cs="Arial" w:eastAsia="Arial" w:hAnsi="Arial"/>
          <w:b w:val="0"/>
          <w:i w:val="0"/>
          <w:smallCaps w:val="0"/>
          <w:strike w:val="0"/>
          <w:color w:val="0563c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5" w:right="532" w:firstLine="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RM</w:t>
      </w:r>
      <w:r w:rsidDel="00000000" w:rsidR="00000000" w:rsidRPr="00000000">
        <w:rPr>
          <w:sz w:val="24"/>
          <w:szCs w:val="24"/>
          <w:rtl w:val="0"/>
        </w:rPr>
        <w:t xml:space="preserve">6306</w:t>
      </w:r>
      <w:r w:rsidDel="00000000" w:rsidR="00000000" w:rsidRPr="00000000">
        <w:rPr>
          <w:rFonts w:ascii="Arial" w:cs="Arial" w:eastAsia="Arial" w:hAnsi="Arial"/>
          <w:b w:val="0"/>
          <w:i w:val="0"/>
          <w:smallCaps w:val="0"/>
          <w:strike w:val="0"/>
          <w:sz w:val="24"/>
          <w:szCs w:val="24"/>
          <w:u w:val="none"/>
          <w:vertAlign w:val="baseline"/>
          <w:rtl w:val="0"/>
        </w:rPr>
        <w:t xml:space="preserve"> </w:t>
      </w:r>
      <w:r w:rsidDel="00000000" w:rsidR="00000000" w:rsidRPr="00000000">
        <w:rPr>
          <w:sz w:val="24"/>
          <w:szCs w:val="24"/>
          <w:rtl w:val="0"/>
        </w:rPr>
        <w:t xml:space="preserve">Water, Wastewater and Ancillary Services (3) Framework</w:t>
      </w:r>
      <w:r w:rsidDel="00000000" w:rsidR="00000000" w:rsidRPr="00000000">
        <w:rPr>
          <w:rFonts w:ascii="Arial" w:cs="Arial" w:eastAsia="Arial" w:hAnsi="Arial"/>
          <w:b w:val="0"/>
          <w:i w:val="0"/>
          <w:smallCaps w:val="0"/>
          <w:strike w:val="0"/>
          <w:sz w:val="24"/>
          <w:szCs w:val="24"/>
          <w:u w:val="none"/>
          <w:vertAlign w:val="baseline"/>
          <w:rtl w:val="0"/>
        </w:rPr>
        <w:t xml:space="preserve"> has been classified as a </w:t>
      </w:r>
      <w:r w:rsidDel="00000000" w:rsidR="00000000" w:rsidRPr="00000000">
        <w:rPr>
          <w:rFonts w:ascii="Arial" w:cs="Arial" w:eastAsia="Arial" w:hAnsi="Arial"/>
          <w:b w:val="1"/>
          <w:i w:val="0"/>
          <w:smallCaps w:val="0"/>
          <w:strike w:val="0"/>
          <w:sz w:val="24"/>
          <w:szCs w:val="24"/>
          <w:u w:val="none"/>
          <w:vertAlign w:val="baseline"/>
          <w:rtl w:val="0"/>
        </w:rPr>
        <w:t xml:space="preserve">Silver</w:t>
      </w:r>
      <w:r w:rsidDel="00000000" w:rsidR="00000000" w:rsidRPr="00000000">
        <w:rPr>
          <w:b w:val="1"/>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 via the Contract Tiering Tool. All Bidders tendering for this framework are required to complete Attachment 5a - Financial Viability Assessment Tool and upload it to Part 1.19 of Attachment 2a Selection Questionnaire in the eSourcing suite.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5" w:right="32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Instructions and guidance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20" w:right="1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completing Attachment 5a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5" w:right="331" w:firstLine="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Important</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5" w:right="33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6" w:line="240" w:lineRule="auto"/>
        <w:ind w:left="720" w:right="33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3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1.1b Lead financial Input - only complete if you are Not for Profit/ Voluntary Organisation</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br w:type="textWrapping"/>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Silver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must correctly and accurately complete Attachment 5a –Financial Viability Risk Assessment Tool</w:t>
        <w:br w:type="textWrapp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992" w:right="175" w:hanging="992"/>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https://www.legislation.gov.uk/uksi/2015/102/regulation/60/made</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992" w:right="0" w:hanging="992"/>
        <w:jc w:val="left"/>
        <w:rPr>
          <w:rFonts w:ascii="Arial" w:cs="Arial" w:eastAsia="Arial" w:hAnsi="Arial"/>
          <w:b w:val="0"/>
          <w:i w:val="0"/>
          <w:smallCaps w:val="0"/>
          <w:strike w:val="0"/>
          <w:color w:val="0563c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should complete all tabs in line with the instruction found within the Bidder instructions tab of the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6306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Financial Viability Risk Assessment Tool</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83" w:right="544"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83" w:right="544"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445"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28"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78"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Bidders must provide copies of:</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published accounts for the last 3 years</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Bidder must set out the following information:</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123"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653"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31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40" w:lineRule="auto"/>
        <w:ind w:left="730" w:right="308" w:firstLine="14.0000000000000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76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Prior to award of Framework Contracts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363" w:right="201" w:hanging="33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511" w:right="4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992.1259842519682" w:right="734"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513" w:right="566" w:hanging="3.000000000000113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15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15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363" w:right="281" w:hanging="33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508" w:right="55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502" w:right="555" w:hanging="35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 w:line="240" w:lineRule="auto"/>
        <w:ind w:left="294" w:right="306"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1 – FVRA risk thresholds:</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 w:right="208" w:firstLine="1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thresholds for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6306</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sz w:val="24"/>
          <w:szCs w:val="24"/>
          <w:rtl w:val="0"/>
        </w:rPr>
        <w:t xml:space="preserve">Water, Wastewater and Ancillary Services (3) Framework</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line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5381.0" w:type="dxa"/>
        <w:jc w:val="left"/>
        <w:tblInd w:w="5.0" w:type="dxa"/>
        <w:tblLayout w:type="fixed"/>
        <w:tblLook w:val="0000"/>
      </w:tblPr>
      <w:tblGrid>
        <w:gridCol w:w="450"/>
        <w:gridCol w:w="2525"/>
        <w:gridCol w:w="693"/>
        <w:gridCol w:w="656"/>
        <w:gridCol w:w="773"/>
        <w:gridCol w:w="284"/>
        <w:tblGridChange w:id="0">
          <w:tblGrid>
            <w:gridCol w:w="450"/>
            <w:gridCol w:w="2525"/>
            <w:gridCol w:w="693"/>
            <w:gridCol w:w="656"/>
            <w:gridCol w:w="773"/>
            <w:gridCol w:w="2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RM</w:t>
            </w:r>
            <w:r w:rsidDel="00000000" w:rsidR="00000000" w:rsidRPr="00000000">
              <w:rPr>
                <w:sz w:val="20"/>
                <w:szCs w:val="20"/>
                <w:rtl w:val="0"/>
              </w:rPr>
              <w:t xml:space="preserve">6306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1.5</w:t>
            </w:r>
            <w:r w:rsidDel="00000000" w:rsidR="00000000" w:rsidRPr="00000000">
              <w:rPr>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5.00</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2"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1.50</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5.00</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3.50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3.00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4.50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Notes:</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376" w:right="1892"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Sourcing Playbook thresholds have been applied as above </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3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3a will not be assessed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310" w:line="240" w:lineRule="auto"/>
        <w:ind w:left="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Appendix 2 – How and where to submit the required information</w:t>
      </w:r>
      <w:r w:rsidDel="00000000" w:rsidR="00000000" w:rsidRPr="00000000">
        <w:rPr>
          <w:rtl w:val="0"/>
        </w:rPr>
      </w:r>
    </w:p>
    <w:tbl>
      <w:tblPr>
        <w:tblStyle w:val="Table3"/>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Zip folder  </w:t>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Question to  </w:t>
            </w: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9" w:right="18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upload zip folder (qualification  </w:t>
            </w: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  </w:t>
            </w: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 your  </w:t>
            </w: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as a  </w:t>
            </w: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zip folder  </w:t>
            </w: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EFS_ your  </w:t>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w:t>
            </w: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3" w:right="18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(3 years) for</w:t>
            </w: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281"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w:t>
            </w: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48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48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5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  </w:t>
            </w: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response to  </w:t>
            </w: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w:t>
            </w: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12_ your  </w:t>
            </w: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255"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FVRA_consortium  </w:t>
            </w: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all  </w:t>
            </w: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w:t>
            </w: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157"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(3 years) for</w:t>
            </w: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w:t>
            </w: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w:t>
            </w: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12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1" w:right="255"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response to  </w:t>
            </w: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w:t>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12_ consortia  </w:t>
            </w: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additional  </w:t>
            </w: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completed  </w:t>
            </w: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w:t>
            </w: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5" w:right="189" w:firstLine="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w:t>
            </w: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Ad1FVRA_ your  </w:t>
            </w: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w:t>
            </w: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Ad2FVRA_ your</w:t>
            </w: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456" w:lineRule="auto"/>
              <w:ind w:left="121" w:right="19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63"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AdFVRA_ your organisation  </w:t>
            </w: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bl>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bl>
      <w:tblPr>
        <w:tblStyle w:val="Table4"/>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255"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FVRA_consortium  </w:t>
            </w: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all  </w:t>
            </w: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w:t>
            </w: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157"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(3 years) for</w:t>
            </w: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w:t>
            </w: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12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1" w:right="255"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response to  </w:t>
            </w: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12_ consortium  </w:t>
            </w: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additional  </w:t>
            </w: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completed  </w:t>
            </w: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w:t>
            </w: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5" w:right="189" w:firstLine="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w:t>
            </w: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Ad1FVRA_ your  </w:t>
            </w: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w:t>
            </w: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Ad2FVRA_ your</w:t>
            </w: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456" w:lineRule="auto"/>
              <w:ind w:left="121" w:right="19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63"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AdFVRA_ your organisation  </w:t>
            </w: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5 Financial Risk</w:t>
            </w:r>
            <w:r w:rsidDel="00000000" w:rsidR="00000000" w:rsidRPr="00000000">
              <w:rPr>
                <w:rtl w:val="0"/>
              </w:rPr>
            </w:r>
          </w:p>
        </w:tc>
      </w:tr>
    </w:tbl>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rPr>
        <w:sz w:val="20"/>
        <w:szCs w:val="20"/>
      </w:rPr>
    </w:pPr>
    <w:r w:rsidDel="00000000" w:rsidR="00000000" w:rsidRPr="00000000">
      <w:rPr>
        <w:sz w:val="20"/>
        <w:szCs w:val="20"/>
        <w:rtl w:val="0"/>
      </w:rPr>
      <w:t xml:space="preserve">GWG T148 Attachment 5 Financial Viability Risk Assessment Guidance v1.0</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CCyjggx0iZBiCMHIV1pJsfW5JA==">CgMxLjAyCGguZ2pkZ3hzMgloLjMwajB6bGwyCWguMWZvYjl0ZTgAciExRUp3bUI3dF9OMGxGZFNLblVFN3lvTlJTNkkzSHFOV2Q=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