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71AA4"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63771AA7" w14:textId="77777777" w:rsidTr="00061C01">
        <w:tc>
          <w:tcPr>
            <w:tcW w:w="4539" w:type="dxa"/>
          </w:tcPr>
          <w:p w14:paraId="63771AA5"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63771BDE" wp14:editId="63771BDF">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63771AA6"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63771BE0" wp14:editId="63771BE1">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63771AA8" w14:textId="77777777" w:rsidR="00582B96" w:rsidRDefault="00582B96" w:rsidP="00582B96"/>
    <w:p w14:paraId="63771AA9" w14:textId="77777777" w:rsidR="00582B96" w:rsidRPr="00D144D9" w:rsidRDefault="00582B96" w:rsidP="00582B96">
      <w:pPr>
        <w:rPr>
          <w:color w:val="FF0000"/>
        </w:rPr>
      </w:pPr>
    </w:p>
    <w:p w14:paraId="63771AAA" w14:textId="77777777" w:rsidR="00582B96" w:rsidRDefault="00582B96" w:rsidP="00582B96"/>
    <w:p w14:paraId="63771AAB" w14:textId="77777777" w:rsidR="00582B96" w:rsidRDefault="00582B96" w:rsidP="00582B96"/>
    <w:p w14:paraId="63771AAC" w14:textId="77777777" w:rsidR="00582B96" w:rsidRDefault="00582B96" w:rsidP="00582B96"/>
    <w:p w14:paraId="63771AAD" w14:textId="77777777" w:rsidR="00C5289B" w:rsidRDefault="00C5289B" w:rsidP="00582B96">
      <w:pPr>
        <w:rPr>
          <w:b/>
          <w:sz w:val="52"/>
          <w:szCs w:val="52"/>
        </w:rPr>
      </w:pPr>
    </w:p>
    <w:p w14:paraId="63771AAE" w14:textId="62B0FD29" w:rsidR="00582B96" w:rsidRPr="0079440A" w:rsidRDefault="00582B96" w:rsidP="00582B96">
      <w:pPr>
        <w:rPr>
          <w:b/>
          <w:sz w:val="48"/>
          <w:szCs w:val="48"/>
        </w:rPr>
      </w:pPr>
      <w:r w:rsidRPr="0079440A">
        <w:rPr>
          <w:b/>
          <w:sz w:val="48"/>
          <w:szCs w:val="48"/>
        </w:rPr>
        <w:t xml:space="preserve">SPECIFICATION </w:t>
      </w:r>
    </w:p>
    <w:p w14:paraId="63771AAF" w14:textId="77777777" w:rsidR="00582B96" w:rsidRDefault="00582B96" w:rsidP="00582B96">
      <w:pPr>
        <w:rPr>
          <w:b/>
          <w:sz w:val="48"/>
          <w:szCs w:val="48"/>
        </w:rPr>
      </w:pPr>
    </w:p>
    <w:p w14:paraId="63771AB0" w14:textId="77777777" w:rsidR="00582B96" w:rsidRDefault="00582B96" w:rsidP="00582B96">
      <w:pPr>
        <w:rPr>
          <w:b/>
          <w:sz w:val="48"/>
          <w:szCs w:val="48"/>
        </w:rPr>
      </w:pPr>
    </w:p>
    <w:p w14:paraId="63771AB1" w14:textId="77777777" w:rsidR="00582B96" w:rsidRDefault="00582B96" w:rsidP="00582B96">
      <w:pPr>
        <w:rPr>
          <w:b/>
          <w:sz w:val="48"/>
          <w:szCs w:val="48"/>
        </w:rPr>
      </w:pPr>
    </w:p>
    <w:p w14:paraId="63771AB2" w14:textId="3CA20C4F" w:rsidR="00582B96" w:rsidRPr="0079440A" w:rsidRDefault="00582B96" w:rsidP="00582B96">
      <w:pPr>
        <w:rPr>
          <w:b/>
          <w:sz w:val="36"/>
          <w:szCs w:val="36"/>
        </w:rPr>
      </w:pPr>
      <w:r w:rsidRPr="00360CDD">
        <w:rPr>
          <w:b/>
          <w:sz w:val="36"/>
          <w:szCs w:val="36"/>
        </w:rPr>
        <w:t xml:space="preserve">INVITATION TO TENDER </w:t>
      </w:r>
      <w:r w:rsidR="0079440A" w:rsidRPr="0079440A">
        <w:rPr>
          <w:b/>
          <w:sz w:val="36"/>
          <w:szCs w:val="36"/>
        </w:rPr>
        <w:t>itt_30149</w:t>
      </w:r>
    </w:p>
    <w:p w14:paraId="63771AB3" w14:textId="77777777" w:rsidR="00582B96" w:rsidRPr="00360CDD" w:rsidRDefault="00582B96" w:rsidP="00582B96">
      <w:pPr>
        <w:autoSpaceDE w:val="0"/>
        <w:autoSpaceDN w:val="0"/>
        <w:adjustRightInd w:val="0"/>
        <w:rPr>
          <w:rFonts w:cs="Arial"/>
          <w:b/>
          <w:bCs/>
          <w:sz w:val="48"/>
          <w:szCs w:val="48"/>
        </w:rPr>
      </w:pPr>
    </w:p>
    <w:p w14:paraId="63771AB4" w14:textId="77777777" w:rsidR="00582B96" w:rsidRPr="00360CDD" w:rsidRDefault="00582B96" w:rsidP="00582B96">
      <w:pPr>
        <w:autoSpaceDE w:val="0"/>
        <w:autoSpaceDN w:val="0"/>
        <w:adjustRightInd w:val="0"/>
        <w:rPr>
          <w:rFonts w:cs="Arial"/>
          <w:b/>
          <w:bCs/>
          <w:sz w:val="48"/>
          <w:szCs w:val="48"/>
        </w:rPr>
      </w:pPr>
    </w:p>
    <w:p w14:paraId="63771AB5" w14:textId="77777777" w:rsidR="00582B96" w:rsidRPr="0079440A" w:rsidRDefault="00B432D8" w:rsidP="00582B96">
      <w:pPr>
        <w:autoSpaceDE w:val="0"/>
        <w:autoSpaceDN w:val="0"/>
        <w:adjustRightInd w:val="0"/>
        <w:rPr>
          <w:rFonts w:cs="Arial"/>
          <w:b/>
          <w:bCs/>
          <w:sz w:val="36"/>
          <w:szCs w:val="36"/>
        </w:rPr>
      </w:pPr>
      <w:r w:rsidRPr="0079440A">
        <w:rPr>
          <w:rFonts w:cs="Arial"/>
          <w:b/>
          <w:bCs/>
          <w:sz w:val="36"/>
          <w:szCs w:val="36"/>
        </w:rPr>
        <w:t>Improving the Labour Market Relevance of Education &amp; Training Systems</w:t>
      </w:r>
    </w:p>
    <w:p w14:paraId="75BDA13E" w14:textId="1A30DF86" w:rsidR="006533E5" w:rsidRPr="0079440A" w:rsidRDefault="0079440A" w:rsidP="00582B96">
      <w:pPr>
        <w:autoSpaceDE w:val="0"/>
        <w:autoSpaceDN w:val="0"/>
        <w:adjustRightInd w:val="0"/>
        <w:rPr>
          <w:rFonts w:cs="Arial"/>
          <w:b/>
          <w:bCs/>
          <w:sz w:val="36"/>
          <w:szCs w:val="36"/>
        </w:rPr>
      </w:pPr>
      <w:r>
        <w:rPr>
          <w:rFonts w:cs="Arial"/>
          <w:b/>
          <w:bCs/>
          <w:sz w:val="36"/>
          <w:szCs w:val="36"/>
        </w:rPr>
        <w:t>01-002</w:t>
      </w:r>
    </w:p>
    <w:p w14:paraId="63771AB6" w14:textId="77777777" w:rsidR="00582B96" w:rsidRDefault="00582B96" w:rsidP="00582B96">
      <w:pPr>
        <w:rPr>
          <w:b/>
          <w:sz w:val="48"/>
          <w:szCs w:val="48"/>
        </w:rPr>
      </w:pPr>
    </w:p>
    <w:p w14:paraId="63771AB7" w14:textId="77777777" w:rsidR="00582B96" w:rsidRDefault="00582B96" w:rsidP="00582B96">
      <w:pPr>
        <w:rPr>
          <w:b/>
          <w:sz w:val="48"/>
          <w:szCs w:val="48"/>
        </w:rPr>
      </w:pPr>
    </w:p>
    <w:p w14:paraId="63771AB8" w14:textId="77777777" w:rsidR="00582B96" w:rsidRPr="0079440A" w:rsidRDefault="00E11AC3" w:rsidP="00582B96">
      <w:pPr>
        <w:rPr>
          <w:b/>
          <w:sz w:val="36"/>
          <w:szCs w:val="36"/>
        </w:rPr>
      </w:pPr>
      <w:r w:rsidRPr="0079440A">
        <w:rPr>
          <w:b/>
          <w:sz w:val="36"/>
          <w:szCs w:val="36"/>
        </w:rPr>
        <w:t>Black Country</w:t>
      </w:r>
    </w:p>
    <w:p w14:paraId="63771AB9" w14:textId="77777777" w:rsidR="00582B96" w:rsidRDefault="00582B96" w:rsidP="00582B96">
      <w:pPr>
        <w:rPr>
          <w:b/>
          <w:sz w:val="48"/>
          <w:szCs w:val="48"/>
        </w:rPr>
      </w:pPr>
    </w:p>
    <w:p w14:paraId="63771ABA" w14:textId="77777777" w:rsidR="00582B96" w:rsidRDefault="00582B96" w:rsidP="00582B96">
      <w:pPr>
        <w:rPr>
          <w:b/>
          <w:sz w:val="48"/>
          <w:szCs w:val="48"/>
        </w:rPr>
      </w:pPr>
    </w:p>
    <w:p w14:paraId="63771ABB" w14:textId="77777777" w:rsidR="00582B96" w:rsidRDefault="00582B96" w:rsidP="00582B96">
      <w:pPr>
        <w:rPr>
          <w:b/>
          <w:sz w:val="48"/>
          <w:szCs w:val="48"/>
        </w:rPr>
      </w:pPr>
    </w:p>
    <w:p w14:paraId="63771ABC" w14:textId="58FE3717" w:rsidR="00582B96" w:rsidRPr="00360CDD" w:rsidRDefault="00582B96" w:rsidP="00582B96">
      <w:pPr>
        <w:rPr>
          <w:b/>
          <w:sz w:val="36"/>
          <w:szCs w:val="36"/>
        </w:rPr>
      </w:pPr>
      <w:r w:rsidRPr="00360CDD">
        <w:rPr>
          <w:b/>
          <w:sz w:val="36"/>
          <w:szCs w:val="36"/>
        </w:rPr>
        <w:t>DATE:</w:t>
      </w:r>
      <w:r w:rsidR="002F71DB">
        <w:rPr>
          <w:b/>
          <w:sz w:val="36"/>
          <w:szCs w:val="36"/>
        </w:rPr>
        <w:t xml:space="preserve"> </w:t>
      </w:r>
      <w:r w:rsidR="00AF7048">
        <w:rPr>
          <w:b/>
          <w:sz w:val="36"/>
          <w:szCs w:val="36"/>
        </w:rPr>
        <w:t>Ju</w:t>
      </w:r>
      <w:r w:rsidR="0079440A">
        <w:rPr>
          <w:b/>
          <w:sz w:val="36"/>
          <w:szCs w:val="36"/>
        </w:rPr>
        <w:t>ly</w:t>
      </w:r>
      <w:r w:rsidR="00B432D8">
        <w:rPr>
          <w:b/>
          <w:sz w:val="36"/>
          <w:szCs w:val="36"/>
        </w:rPr>
        <w:t xml:space="preserve"> 2016</w:t>
      </w:r>
    </w:p>
    <w:p w14:paraId="63771ABD" w14:textId="77777777" w:rsidR="00582B96" w:rsidRDefault="00582B96"/>
    <w:tbl>
      <w:tblPr>
        <w:tblW w:w="0" w:type="auto"/>
        <w:tblLook w:val="01E0" w:firstRow="1" w:lastRow="1" w:firstColumn="1" w:lastColumn="1" w:noHBand="0" w:noVBand="0"/>
      </w:tblPr>
      <w:tblGrid>
        <w:gridCol w:w="4421"/>
        <w:gridCol w:w="4366"/>
      </w:tblGrid>
      <w:tr w:rsidR="00ED67E0" w14:paraId="63771AC0" w14:textId="77777777" w:rsidTr="00B24D65">
        <w:tc>
          <w:tcPr>
            <w:tcW w:w="4421" w:type="dxa"/>
          </w:tcPr>
          <w:p w14:paraId="63771ABE" w14:textId="77777777" w:rsidR="00ED67E0" w:rsidRDefault="00ED67E0" w:rsidP="000419AD">
            <w:pPr>
              <w:pStyle w:val="Header"/>
              <w:tabs>
                <w:tab w:val="clear" w:pos="4153"/>
                <w:tab w:val="clear" w:pos="8306"/>
                <w:tab w:val="left" w:pos="1185"/>
              </w:tabs>
            </w:pPr>
            <w:r>
              <w:tab/>
            </w:r>
          </w:p>
        </w:tc>
        <w:tc>
          <w:tcPr>
            <w:tcW w:w="4366" w:type="dxa"/>
          </w:tcPr>
          <w:p w14:paraId="63771ABF" w14:textId="77777777" w:rsidR="00ED67E0" w:rsidRDefault="00ED67E0" w:rsidP="000419AD">
            <w:pPr>
              <w:pStyle w:val="Header"/>
              <w:jc w:val="right"/>
            </w:pPr>
          </w:p>
        </w:tc>
      </w:tr>
      <w:tr w:rsidR="00ED67E0" w:rsidRPr="002465E9" w14:paraId="63771AC3" w14:textId="77777777" w:rsidTr="00B24D65">
        <w:tc>
          <w:tcPr>
            <w:tcW w:w="4421" w:type="dxa"/>
          </w:tcPr>
          <w:p w14:paraId="63771AC1" w14:textId="77777777" w:rsidR="00ED67E0" w:rsidRDefault="00ED67E0" w:rsidP="000419AD">
            <w:pPr>
              <w:pStyle w:val="Header"/>
            </w:pPr>
            <w:r>
              <w:rPr>
                <w:noProof/>
                <w:lang w:eastAsia="en-GB"/>
              </w:rPr>
              <w:lastRenderedPageBreak/>
              <w:drawing>
                <wp:inline distT="0" distB="0" distL="0" distR="0" wp14:anchorId="63771BE2" wp14:editId="63771BE3">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63771AC2" w14:textId="77777777" w:rsidR="00ED67E0" w:rsidRDefault="000D51DE" w:rsidP="000419AD">
            <w:pPr>
              <w:pStyle w:val="Header"/>
              <w:jc w:val="right"/>
            </w:pPr>
            <w:r>
              <w:rPr>
                <w:noProof/>
                <w:lang w:eastAsia="en-GB"/>
              </w:rPr>
              <w:drawing>
                <wp:inline distT="0" distB="0" distL="0" distR="0" wp14:anchorId="63771BE4" wp14:editId="63771BE5">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63771AC6" w14:textId="77777777" w:rsidTr="00B24D65">
        <w:tc>
          <w:tcPr>
            <w:tcW w:w="4421" w:type="dxa"/>
          </w:tcPr>
          <w:p w14:paraId="63771AC4" w14:textId="77777777" w:rsidR="008441FE" w:rsidRDefault="008441FE" w:rsidP="000419AD">
            <w:pPr>
              <w:pStyle w:val="Header"/>
              <w:rPr>
                <w:noProof/>
                <w:lang w:eastAsia="en-GB"/>
              </w:rPr>
            </w:pPr>
          </w:p>
        </w:tc>
        <w:tc>
          <w:tcPr>
            <w:tcW w:w="4366" w:type="dxa"/>
          </w:tcPr>
          <w:p w14:paraId="63771AC5" w14:textId="77777777" w:rsidR="008441FE" w:rsidRDefault="008441FE" w:rsidP="000419AD">
            <w:pPr>
              <w:pStyle w:val="Header"/>
              <w:jc w:val="right"/>
              <w:rPr>
                <w:noProof/>
                <w:lang w:eastAsia="en-GB"/>
              </w:rPr>
            </w:pPr>
          </w:p>
        </w:tc>
      </w:tr>
    </w:tbl>
    <w:p w14:paraId="63771AC7"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63771ACC" w14:textId="77777777" w:rsidTr="000D51DE">
        <w:trPr>
          <w:trHeight w:val="597"/>
        </w:trPr>
        <w:tc>
          <w:tcPr>
            <w:tcW w:w="9088" w:type="dxa"/>
          </w:tcPr>
          <w:p w14:paraId="63771AC9" w14:textId="704EF0D8" w:rsidR="00B432D8" w:rsidRPr="0079440A" w:rsidRDefault="0079440A" w:rsidP="00B432D8">
            <w:pPr>
              <w:autoSpaceDE w:val="0"/>
              <w:autoSpaceDN w:val="0"/>
              <w:adjustRightInd w:val="0"/>
              <w:rPr>
                <w:rFonts w:cs="Arial"/>
                <w:b/>
              </w:rPr>
            </w:pPr>
            <w:r>
              <w:rPr>
                <w:rFonts w:cs="Arial"/>
                <w:b/>
              </w:rPr>
              <w:t>ESF</w:t>
            </w:r>
            <w:r w:rsidR="00B3399A" w:rsidRPr="0079440A">
              <w:rPr>
                <w:rFonts w:cs="Arial"/>
                <w:b/>
              </w:rPr>
              <w:t xml:space="preserve">: </w:t>
            </w:r>
            <w:r w:rsidR="00B432D8" w:rsidRPr="0079440A">
              <w:rPr>
                <w:rFonts w:cs="Arial"/>
                <w:b/>
              </w:rPr>
              <w:t>Improving the Labour Market Relevance of Education &amp; Training Systems</w:t>
            </w:r>
            <w:r>
              <w:rPr>
                <w:rFonts w:cs="Arial"/>
                <w:b/>
              </w:rPr>
              <w:t xml:space="preserve"> itt_30149</w:t>
            </w:r>
          </w:p>
          <w:p w14:paraId="63771ACB"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63771ACE" w14:textId="77777777" w:rsidTr="00486405">
        <w:trPr>
          <w:trHeight w:val="567"/>
        </w:trPr>
        <w:tc>
          <w:tcPr>
            <w:tcW w:w="9088" w:type="dxa"/>
            <w:shd w:val="clear" w:color="auto" w:fill="D9D9D9" w:themeFill="background1" w:themeFillShade="D9"/>
            <w:vAlign w:val="center"/>
          </w:tcPr>
          <w:p w14:paraId="63771ACD" w14:textId="77777777" w:rsidR="00967429" w:rsidRPr="00FD3B0A" w:rsidRDefault="004C726D" w:rsidP="00FD3B0A">
            <w:pPr>
              <w:pStyle w:val="SpecificationHeading"/>
            </w:pPr>
            <w:r w:rsidRPr="00FD3B0A">
              <w:t>BACKGROUND</w:t>
            </w:r>
          </w:p>
        </w:tc>
      </w:tr>
      <w:tr w:rsidR="00967429" w:rsidRPr="00EF4406" w14:paraId="63771B1F" w14:textId="77777777" w:rsidTr="000D51DE">
        <w:tc>
          <w:tcPr>
            <w:tcW w:w="9088" w:type="dxa"/>
          </w:tcPr>
          <w:p w14:paraId="63771ACF" w14:textId="77777777" w:rsidR="00B24D65" w:rsidRPr="002833D9" w:rsidRDefault="00B24D65" w:rsidP="00A524B5">
            <w:pPr>
              <w:tabs>
                <w:tab w:val="num" w:pos="900"/>
              </w:tabs>
              <w:autoSpaceDE w:val="0"/>
              <w:autoSpaceDN w:val="0"/>
              <w:adjustRightInd w:val="0"/>
              <w:rPr>
                <w:rFonts w:cs="Arial"/>
                <w:b/>
              </w:rPr>
            </w:pPr>
          </w:p>
          <w:p w14:paraId="63771AD0"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63771AD1" w14:textId="77777777" w:rsidR="002833D9" w:rsidRPr="002833D9" w:rsidRDefault="002833D9" w:rsidP="00A524B5">
            <w:pPr>
              <w:tabs>
                <w:tab w:val="num" w:pos="900"/>
              </w:tabs>
              <w:autoSpaceDE w:val="0"/>
              <w:autoSpaceDN w:val="0"/>
              <w:adjustRightInd w:val="0"/>
              <w:rPr>
                <w:rFonts w:cs="Arial"/>
                <w:b/>
              </w:rPr>
            </w:pPr>
          </w:p>
          <w:p w14:paraId="63771AD2"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63771AD3" w14:textId="77777777" w:rsidR="002833D9" w:rsidRPr="005A1D76" w:rsidRDefault="002833D9" w:rsidP="00A524B5">
            <w:pPr>
              <w:tabs>
                <w:tab w:val="num" w:pos="900"/>
              </w:tabs>
              <w:autoSpaceDE w:val="0"/>
              <w:autoSpaceDN w:val="0"/>
              <w:adjustRightInd w:val="0"/>
              <w:rPr>
                <w:rFonts w:cs="Arial"/>
              </w:rPr>
            </w:pPr>
          </w:p>
          <w:p w14:paraId="63771AD4"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63771AD5" w14:textId="77777777" w:rsidR="002833D9" w:rsidRPr="005A1D76" w:rsidRDefault="002833D9" w:rsidP="00A524B5">
            <w:pPr>
              <w:rPr>
                <w:rFonts w:cs="Arial"/>
              </w:rPr>
            </w:pPr>
          </w:p>
          <w:p w14:paraId="63771AD6"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2</w:t>
            </w:r>
            <w:r w:rsidR="00A63E89">
              <w:rPr>
                <w:rFonts w:cs="Arial"/>
              </w:rPr>
              <w:t xml:space="preserve"> and for Investment Priority (IP) 2.</w:t>
            </w:r>
            <w:r w:rsidR="00B432D8">
              <w:rPr>
                <w:rFonts w:cs="Arial"/>
              </w:rPr>
              <w:t>2</w:t>
            </w:r>
            <w:r w:rsidRPr="00AD0B65">
              <w:rPr>
                <w:rFonts w:cs="Arial"/>
              </w:rPr>
              <w:t>,</w:t>
            </w:r>
            <w:r w:rsidR="00A63E89" w:rsidRPr="00A63E89">
              <w:t xml:space="preserve"> </w:t>
            </w:r>
            <w:r w:rsidR="00B432D8" w:rsidRPr="00B432D8">
              <w:t>Improving the Labour Market Relevance of Education &amp; Training Systems</w:t>
            </w:r>
            <w:r w:rsidR="00B432D8">
              <w:t>, w</w:t>
            </w:r>
            <w:r w:rsidR="00A63E89" w:rsidRPr="00A63E89">
              <w:t xml:space="preserve">here the need has been identified both in the LEP area and European Structural and Investment Fund Strategies.  </w:t>
            </w:r>
          </w:p>
          <w:p w14:paraId="63771AD7" w14:textId="77777777" w:rsidR="00AD0B65" w:rsidRPr="00AD0B65" w:rsidRDefault="00AD0B65" w:rsidP="00AD0B65">
            <w:pPr>
              <w:rPr>
                <w:rFonts w:cs="Arial"/>
              </w:rPr>
            </w:pPr>
          </w:p>
          <w:p w14:paraId="63771AD8" w14:textId="77777777" w:rsidR="00B432D8" w:rsidRDefault="009E7A30" w:rsidP="00AD0B65">
            <w:r>
              <w:t>The</w:t>
            </w:r>
            <w:r w:rsidR="00B432D8">
              <w:t xml:space="preserve"> IP 2.2</w:t>
            </w:r>
            <w:r w:rsidR="00A63E89">
              <w:t xml:space="preserve"> supports</w:t>
            </w:r>
            <w:r w:rsidR="00A63E89" w:rsidRPr="00A63E89">
              <w:t xml:space="preserve"> </w:t>
            </w:r>
            <w:r w:rsidR="00B432D8">
              <w:t>i</w:t>
            </w:r>
            <w:r w:rsidR="00B432D8" w:rsidRPr="00B432D8">
              <w:t>mproving the labour market relevance of education and training systems, facilitating the transition from education to work, and strengthening vocational education and training systems and their quality, including through mechanisms for skills anticipation, adaptation of curricula and the establishment and development of work based learning systems, including dual learning systems and apprenticeship schemes</w:t>
            </w:r>
          </w:p>
          <w:p w14:paraId="63771AD9" w14:textId="77777777" w:rsidR="00B432D8" w:rsidRDefault="00B432D8" w:rsidP="00AD0B65"/>
          <w:p w14:paraId="63771ADA" w14:textId="77777777" w:rsidR="00745DD8" w:rsidRPr="00B957D0" w:rsidRDefault="00745DD8" w:rsidP="00745DD8">
            <w:pPr>
              <w:rPr>
                <w:rFonts w:cs="Arial"/>
              </w:rPr>
            </w:pPr>
            <w:r w:rsidRPr="00B957D0">
              <w:rPr>
                <w:rFonts w:cs="Arial"/>
              </w:rPr>
              <w:t>The additional support from this investment priority will enable the design of skills provision which will help individuals gain skills and qualifications relevant to the needs of the labour market.</w:t>
            </w:r>
          </w:p>
          <w:p w14:paraId="63771ADB" w14:textId="77777777" w:rsidR="00745DD8" w:rsidRDefault="00745DD8" w:rsidP="00AD0B65"/>
          <w:p w14:paraId="63771ADC" w14:textId="77777777" w:rsidR="004A2467" w:rsidRDefault="00B432D8" w:rsidP="00AD0B65">
            <w:r>
              <w:t>There are no specific strands in this IP.</w:t>
            </w:r>
            <w:r w:rsidR="00AD0B65" w:rsidRPr="00A63E89">
              <w:t xml:space="preserve"> </w:t>
            </w:r>
          </w:p>
          <w:p w14:paraId="63771ADD" w14:textId="77777777" w:rsidR="00F17CE2" w:rsidRPr="005A1D76" w:rsidRDefault="00F17CE2" w:rsidP="00A524B5">
            <w:pPr>
              <w:tabs>
                <w:tab w:val="num" w:pos="900"/>
              </w:tabs>
              <w:autoSpaceDE w:val="0"/>
              <w:autoSpaceDN w:val="0"/>
              <w:adjustRightInd w:val="0"/>
              <w:rPr>
                <w:rFonts w:cs="Arial"/>
              </w:rPr>
            </w:pPr>
          </w:p>
          <w:p w14:paraId="63771ADE" w14:textId="77777777" w:rsidR="00442DA3" w:rsidRDefault="00B24D65" w:rsidP="00A524B5">
            <w:pPr>
              <w:rPr>
                <w:rFonts w:cs="Arial"/>
              </w:rPr>
            </w:pPr>
            <w:r w:rsidRPr="005A1D76">
              <w:rPr>
                <w:rFonts w:cs="Arial"/>
              </w:rPr>
              <w:t xml:space="preserve">The SFA is looking to procure an organisation to </w:t>
            </w:r>
            <w:r w:rsidR="007654E6" w:rsidRPr="005A1D76">
              <w:rPr>
                <w:rFonts w:cs="Arial"/>
              </w:rPr>
              <w:t xml:space="preserve">deliver </w:t>
            </w:r>
            <w:r w:rsidR="00B432D8">
              <w:rPr>
                <w:rFonts w:cs="Arial"/>
              </w:rPr>
              <w:t xml:space="preserve">the </w:t>
            </w:r>
            <w:r w:rsidR="007654E6" w:rsidRPr="005A1D76">
              <w:rPr>
                <w:rFonts w:cs="Arial"/>
              </w:rPr>
              <w:t>education and training</w:t>
            </w:r>
            <w:r w:rsidR="00F925C5" w:rsidRPr="005A1D76">
              <w:rPr>
                <w:lang w:eastAsia="en-GB"/>
              </w:rPr>
              <w:t xml:space="preserve"> </w:t>
            </w:r>
            <w:r w:rsidR="00B432D8">
              <w:rPr>
                <w:lang w:eastAsia="en-GB"/>
              </w:rPr>
              <w:t xml:space="preserve">systems project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63771ADF" w14:textId="77777777" w:rsidR="00A205A2" w:rsidRPr="002833D9" w:rsidRDefault="00A205A2" w:rsidP="00A524B5">
            <w:pPr>
              <w:rPr>
                <w:rFonts w:cs="Arial"/>
              </w:rPr>
            </w:pPr>
          </w:p>
          <w:p w14:paraId="63771AE0" w14:textId="77777777" w:rsidR="000D51DE" w:rsidRPr="000D51DE" w:rsidRDefault="005B0247" w:rsidP="00A524B5">
            <w:pPr>
              <w:rPr>
                <w:rFonts w:cs="Arial"/>
              </w:rPr>
            </w:pPr>
            <w:r>
              <w:rPr>
                <w:rFonts w:cs="Arial"/>
                <w:b/>
              </w:rPr>
              <w:t>Black Country</w:t>
            </w:r>
            <w:r w:rsidR="000304B2">
              <w:rPr>
                <w:rFonts w:cs="Arial"/>
                <w:b/>
              </w:rPr>
              <w:t xml:space="preserve"> Local </w:t>
            </w:r>
            <w:r w:rsidR="00A76A58">
              <w:rPr>
                <w:rFonts w:cs="Arial"/>
                <w:b/>
              </w:rPr>
              <w:t>Enterprise Partnership</w:t>
            </w:r>
            <w:r w:rsidR="00F24C41">
              <w:rPr>
                <w:rFonts w:cs="Arial"/>
                <w:b/>
              </w:rPr>
              <w:t xml:space="preserve"> Background</w:t>
            </w:r>
          </w:p>
          <w:p w14:paraId="63771AE1" w14:textId="77777777" w:rsidR="0080025F" w:rsidRDefault="0080025F" w:rsidP="000D51DE">
            <w:pPr>
              <w:rPr>
                <w:rFonts w:cs="Arial"/>
                <w:lang w:eastAsia="en-GB"/>
              </w:rPr>
            </w:pPr>
          </w:p>
          <w:p w14:paraId="63771AE2" w14:textId="77777777" w:rsidR="0080025F" w:rsidRDefault="0080025F" w:rsidP="0080025F">
            <w:pPr>
              <w:pStyle w:val="Default"/>
            </w:pPr>
            <w:r>
              <w:t>The Black Country Local Enterprise Partnership</w:t>
            </w:r>
            <w:r w:rsidRPr="0039409E">
              <w:t xml:space="preserve"> (</w:t>
            </w:r>
            <w:r>
              <w:t>BC</w:t>
            </w:r>
            <w:r w:rsidRPr="0039409E">
              <w:t xml:space="preserve">LEP) </w:t>
            </w:r>
            <w:r w:rsidR="00957543">
              <w:t xml:space="preserve">has </w:t>
            </w:r>
            <w:r w:rsidRPr="0039409E">
              <w:t>produced a detailed European Structural and Investme</w:t>
            </w:r>
            <w:r>
              <w:t xml:space="preserve">nt Fund (ESIF) Strategy </w:t>
            </w:r>
            <w:r w:rsidRPr="0039409E">
              <w:t>detailing how ESF</w:t>
            </w:r>
            <w:r>
              <w:t xml:space="preserve"> supports the sub-regions employment, skills and growth ambitions (</w:t>
            </w:r>
            <w:hyperlink r:id="rId15" w:history="1">
              <w:r w:rsidRPr="00FC25ED">
                <w:rPr>
                  <w:rStyle w:val="Hyperlink"/>
                  <w:sz w:val="24"/>
                  <w:szCs w:val="24"/>
                </w:rPr>
                <w:t>http://www.blackcountrylep.co.uk/Upload/01/Black%20Country%20EUSIF%20Strategy%20-%20Final%20Submission%20LEP%20Board%20rev.pdf</w:t>
              </w:r>
            </w:hyperlink>
            <w:r>
              <w:t xml:space="preserve">). </w:t>
            </w:r>
          </w:p>
          <w:p w14:paraId="63771AE3" w14:textId="77777777" w:rsidR="0080025F" w:rsidRDefault="0080025F" w:rsidP="0080025F">
            <w:pPr>
              <w:pStyle w:val="Default"/>
            </w:pPr>
          </w:p>
          <w:p w14:paraId="63771AE4" w14:textId="77777777" w:rsidR="0080025F" w:rsidRDefault="0080025F" w:rsidP="0080025F">
            <w:pPr>
              <w:pStyle w:val="Default"/>
            </w:pPr>
            <w:r>
              <w:t>Amongst the many achievements of the sub-region the Black Country ESIF Strategy, drafted concurrently with the Strategic Economic Plan</w:t>
            </w:r>
            <w:r w:rsidR="00B10F84">
              <w:t xml:space="preserve"> (</w:t>
            </w:r>
            <w:hyperlink r:id="rId16" w:history="1">
              <w:r w:rsidRPr="00FC25ED">
                <w:rPr>
                  <w:rStyle w:val="Hyperlink"/>
                  <w:sz w:val="24"/>
                  <w:szCs w:val="24"/>
                </w:rPr>
                <w:t>http://www.blackcountrylep.co.uk/about-us/plans-for-growth/strategic-economic-plan</w:t>
              </w:r>
            </w:hyperlink>
            <w:r w:rsidR="00B10F84">
              <w:t xml:space="preserve"> ) </w:t>
            </w:r>
            <w:r>
              <w:t>outlines a number of key challenges and constraints to growth including high levels of unemployment, job losses, low skill levels and a substantial skills mismatch between the labour market and the needs of businesses in key sectors.</w:t>
            </w:r>
          </w:p>
          <w:p w14:paraId="63771AE5" w14:textId="77777777" w:rsidR="0080025F" w:rsidRDefault="0080025F" w:rsidP="000D51DE">
            <w:pPr>
              <w:rPr>
                <w:rFonts w:cs="Arial"/>
                <w:lang w:eastAsia="en-GB"/>
              </w:rPr>
            </w:pPr>
          </w:p>
          <w:p w14:paraId="63771AE6" w14:textId="77777777" w:rsidR="00957543" w:rsidRDefault="00957543" w:rsidP="000D51DE">
            <w:pPr>
              <w:rPr>
                <w:rFonts w:cs="Arial"/>
                <w:lang w:eastAsia="en-GB"/>
              </w:rPr>
            </w:pPr>
            <w:r>
              <w:rPr>
                <w:rFonts w:cs="Arial"/>
                <w:lang w:eastAsia="en-GB"/>
              </w:rPr>
              <w:t xml:space="preserve">The Black Country currently has Skills Factory for High Value Manufacture (HVM) which is wishes to replicate </w:t>
            </w:r>
            <w:hyperlink r:id="rId17" w:history="1">
              <w:r w:rsidRPr="00742892">
                <w:rPr>
                  <w:rStyle w:val="Hyperlink"/>
                  <w:rFonts w:cs="Arial"/>
                  <w:sz w:val="24"/>
                  <w:szCs w:val="24"/>
                  <w:lang w:eastAsia="en-GB"/>
                </w:rPr>
                <w:t>http://www.blackcountryskillsfactory.co.uk/</w:t>
              </w:r>
            </w:hyperlink>
          </w:p>
          <w:p w14:paraId="63771AE7" w14:textId="77777777" w:rsidR="00957543" w:rsidRDefault="00957543" w:rsidP="000D51DE">
            <w:pPr>
              <w:rPr>
                <w:rFonts w:cs="Arial"/>
                <w:lang w:eastAsia="en-GB"/>
              </w:rPr>
            </w:pPr>
          </w:p>
          <w:p w14:paraId="63771AE8" w14:textId="77777777" w:rsidR="00DB7C1E" w:rsidRDefault="00DB7C1E" w:rsidP="00DB7C1E">
            <w:pPr>
              <w:pStyle w:val="TableText"/>
              <w:rPr>
                <w:rFonts w:ascii="Arial" w:hAnsi="Arial" w:cs="Arial"/>
                <w:color w:val="auto"/>
                <w:sz w:val="24"/>
                <w:szCs w:val="24"/>
              </w:rPr>
            </w:pPr>
            <w:r w:rsidRPr="000B478B">
              <w:rPr>
                <w:rFonts w:ascii="Arial" w:hAnsi="Arial" w:cs="Arial"/>
                <w:color w:val="auto"/>
                <w:sz w:val="24"/>
                <w:szCs w:val="24"/>
              </w:rPr>
              <w:t>The Black Country is England’s largest HVM cluster and global supplier of unique products generating £3.1b UK GVA. 1 in 5 people in the Black Country is employed in this sector in comparison to 1 in 8 in the UK and there are 5,000 employers in the Black Country. The sector faces specific issues including:</w:t>
            </w:r>
          </w:p>
          <w:p w14:paraId="618091F6" w14:textId="77777777" w:rsidR="00486405" w:rsidRPr="000B478B" w:rsidRDefault="00486405" w:rsidP="00DB7C1E">
            <w:pPr>
              <w:pStyle w:val="TableText"/>
              <w:rPr>
                <w:rFonts w:ascii="Arial" w:hAnsi="Arial" w:cs="Arial"/>
                <w:color w:val="auto"/>
                <w:sz w:val="24"/>
                <w:szCs w:val="24"/>
              </w:rPr>
            </w:pPr>
          </w:p>
          <w:p w14:paraId="63771AE9" w14:textId="77777777" w:rsidR="00DB7C1E" w:rsidRPr="000B478B" w:rsidRDefault="00DB7C1E" w:rsidP="00DB7C1E">
            <w:pPr>
              <w:pStyle w:val="TableText"/>
              <w:numPr>
                <w:ilvl w:val="0"/>
                <w:numId w:val="11"/>
              </w:numPr>
              <w:rPr>
                <w:rFonts w:ascii="Arial" w:hAnsi="Arial" w:cs="Arial"/>
                <w:color w:val="auto"/>
                <w:sz w:val="24"/>
                <w:szCs w:val="24"/>
              </w:rPr>
            </w:pPr>
            <w:r w:rsidRPr="000B478B">
              <w:rPr>
                <w:rFonts w:ascii="Arial" w:hAnsi="Arial" w:cs="Arial"/>
                <w:color w:val="auto"/>
                <w:sz w:val="24"/>
                <w:szCs w:val="24"/>
              </w:rPr>
              <w:t>Lack of young people qualified in STEM subjects coming through the system to replace ageing workforce</w:t>
            </w:r>
          </w:p>
          <w:p w14:paraId="63771AEA" w14:textId="77777777" w:rsidR="00DB7C1E" w:rsidRPr="000B478B" w:rsidRDefault="00DB7C1E" w:rsidP="00DB7C1E">
            <w:pPr>
              <w:pStyle w:val="TableText"/>
              <w:numPr>
                <w:ilvl w:val="0"/>
                <w:numId w:val="12"/>
              </w:numPr>
              <w:ind w:left="335"/>
              <w:rPr>
                <w:rFonts w:ascii="Arial" w:hAnsi="Arial" w:cs="Arial"/>
                <w:color w:val="auto"/>
                <w:sz w:val="24"/>
                <w:szCs w:val="24"/>
              </w:rPr>
            </w:pPr>
            <w:r w:rsidRPr="000B478B">
              <w:rPr>
                <w:rFonts w:ascii="Arial" w:hAnsi="Arial" w:cs="Arial"/>
                <w:color w:val="auto"/>
                <w:sz w:val="24"/>
                <w:szCs w:val="24"/>
              </w:rPr>
              <w:t xml:space="preserve">Poor IAG and poor image of the engineering / manufacturing sector in schools to attract more young people </w:t>
            </w:r>
          </w:p>
          <w:p w14:paraId="63771AEB" w14:textId="77777777" w:rsidR="00DB7C1E" w:rsidRPr="000B478B" w:rsidRDefault="00DB7C1E" w:rsidP="00DB7C1E">
            <w:pPr>
              <w:pStyle w:val="TableText"/>
              <w:numPr>
                <w:ilvl w:val="0"/>
                <w:numId w:val="11"/>
              </w:numPr>
              <w:rPr>
                <w:rFonts w:ascii="Arial" w:hAnsi="Arial" w:cs="Arial"/>
                <w:color w:val="auto"/>
                <w:sz w:val="24"/>
                <w:szCs w:val="24"/>
              </w:rPr>
            </w:pPr>
            <w:r w:rsidRPr="000B478B">
              <w:rPr>
                <w:rFonts w:ascii="Arial" w:hAnsi="Arial" w:cs="Arial"/>
                <w:color w:val="auto"/>
                <w:sz w:val="24"/>
                <w:szCs w:val="24"/>
              </w:rPr>
              <w:t>Replacement pool of employees suitabl</w:t>
            </w:r>
            <w:r w:rsidR="002E1D64">
              <w:rPr>
                <w:rFonts w:ascii="Arial" w:hAnsi="Arial" w:cs="Arial"/>
                <w:color w:val="auto"/>
                <w:sz w:val="24"/>
                <w:szCs w:val="24"/>
              </w:rPr>
              <w:t>y</w:t>
            </w:r>
            <w:r w:rsidRPr="000B478B">
              <w:rPr>
                <w:rFonts w:ascii="Arial" w:hAnsi="Arial" w:cs="Arial"/>
                <w:color w:val="auto"/>
                <w:sz w:val="24"/>
                <w:szCs w:val="24"/>
              </w:rPr>
              <w:t xml:space="preserve"> qualified in skilled occupations</w:t>
            </w:r>
          </w:p>
          <w:p w14:paraId="63771AEC" w14:textId="77777777" w:rsidR="00DB7C1E" w:rsidRPr="000B478B" w:rsidRDefault="00DB7C1E" w:rsidP="00DB7C1E">
            <w:pPr>
              <w:pStyle w:val="ListParagraph"/>
              <w:numPr>
                <w:ilvl w:val="0"/>
                <w:numId w:val="11"/>
              </w:numPr>
              <w:spacing w:before="40" w:after="40"/>
              <w:jc w:val="both"/>
              <w:rPr>
                <w:rFonts w:cs="Arial"/>
              </w:rPr>
            </w:pPr>
            <w:r w:rsidRPr="000B478B">
              <w:rPr>
                <w:rFonts w:cs="Arial"/>
              </w:rPr>
              <w:t>Qualification deficits, workforce lacking Level 2’s and Manager lacking Level 4 qualifications</w:t>
            </w:r>
          </w:p>
          <w:p w14:paraId="63771AED" w14:textId="77777777" w:rsidR="00DB7C1E" w:rsidRPr="000B478B" w:rsidRDefault="00DB7C1E" w:rsidP="00DB7C1E">
            <w:pPr>
              <w:pStyle w:val="ListParagraph"/>
              <w:numPr>
                <w:ilvl w:val="0"/>
                <w:numId w:val="11"/>
              </w:numPr>
              <w:spacing w:before="40" w:after="40"/>
              <w:jc w:val="both"/>
              <w:rPr>
                <w:rFonts w:cs="Arial"/>
              </w:rPr>
            </w:pPr>
            <w:r w:rsidRPr="000B478B">
              <w:rPr>
                <w:rFonts w:cs="Arial"/>
              </w:rPr>
              <w:t>Skills shortage at Level 3 and 4 for engineers and technician staff</w:t>
            </w:r>
          </w:p>
          <w:p w14:paraId="63771AEE" w14:textId="77777777" w:rsidR="00DB7C1E" w:rsidRPr="000B478B" w:rsidRDefault="00DB7C1E" w:rsidP="00DB7C1E">
            <w:pPr>
              <w:pStyle w:val="TableText"/>
              <w:numPr>
                <w:ilvl w:val="0"/>
                <w:numId w:val="11"/>
              </w:numPr>
              <w:rPr>
                <w:rFonts w:ascii="Arial" w:hAnsi="Arial" w:cs="Arial"/>
                <w:color w:val="auto"/>
                <w:sz w:val="24"/>
                <w:szCs w:val="24"/>
              </w:rPr>
            </w:pPr>
            <w:r w:rsidRPr="000B478B">
              <w:rPr>
                <w:rFonts w:ascii="Arial" w:hAnsi="Arial" w:cs="Arial"/>
                <w:color w:val="auto"/>
                <w:sz w:val="24"/>
                <w:szCs w:val="24"/>
              </w:rPr>
              <w:t>Sector becoming more dependent on higher skills level</w:t>
            </w:r>
            <w:r w:rsidR="002E1D64">
              <w:rPr>
                <w:rFonts w:ascii="Arial" w:hAnsi="Arial" w:cs="Arial"/>
                <w:color w:val="auto"/>
                <w:sz w:val="24"/>
                <w:szCs w:val="24"/>
              </w:rPr>
              <w:t>s including numeracy /IT/literacy</w:t>
            </w:r>
          </w:p>
          <w:p w14:paraId="63771AEF" w14:textId="77777777" w:rsidR="00DB7C1E" w:rsidRPr="000B478B" w:rsidRDefault="00DB7C1E" w:rsidP="00DB7C1E">
            <w:pPr>
              <w:pStyle w:val="TableText"/>
              <w:numPr>
                <w:ilvl w:val="0"/>
                <w:numId w:val="12"/>
              </w:numPr>
              <w:ind w:left="335"/>
              <w:rPr>
                <w:rFonts w:ascii="Arial" w:hAnsi="Arial" w:cs="Arial"/>
                <w:color w:val="auto"/>
                <w:sz w:val="24"/>
                <w:szCs w:val="24"/>
              </w:rPr>
            </w:pPr>
            <w:r w:rsidRPr="000B478B">
              <w:rPr>
                <w:rFonts w:ascii="Arial" w:hAnsi="Arial" w:cs="Arial"/>
                <w:color w:val="auto"/>
                <w:sz w:val="24"/>
                <w:szCs w:val="24"/>
              </w:rPr>
              <w:t>Underinvestment by employers in the Black Country in their workforce development</w:t>
            </w:r>
            <w:r w:rsidR="002E1D64">
              <w:rPr>
                <w:rFonts w:ascii="Arial" w:hAnsi="Arial" w:cs="Arial"/>
                <w:color w:val="auto"/>
                <w:sz w:val="24"/>
                <w:szCs w:val="24"/>
              </w:rPr>
              <w:t xml:space="preserve"> which</w:t>
            </w:r>
            <w:r w:rsidRPr="000B478B">
              <w:rPr>
                <w:rFonts w:ascii="Arial" w:hAnsi="Arial" w:cs="Arial"/>
                <w:color w:val="auto"/>
                <w:sz w:val="24"/>
                <w:szCs w:val="24"/>
              </w:rPr>
              <w:t xml:space="preserve"> reflects issues around a lack of understanding of the benefits and returns on investment from training </w:t>
            </w:r>
            <w:r w:rsidR="002E1D64">
              <w:rPr>
                <w:rFonts w:ascii="Arial" w:hAnsi="Arial" w:cs="Arial"/>
                <w:color w:val="auto"/>
                <w:sz w:val="24"/>
                <w:szCs w:val="24"/>
              </w:rPr>
              <w:t xml:space="preserve">and </w:t>
            </w:r>
            <w:r w:rsidRPr="000B478B">
              <w:rPr>
                <w:rFonts w:ascii="Arial" w:hAnsi="Arial" w:cs="Arial"/>
                <w:color w:val="auto"/>
                <w:sz w:val="24"/>
                <w:szCs w:val="24"/>
              </w:rPr>
              <w:t xml:space="preserve"> development</w:t>
            </w:r>
          </w:p>
          <w:p w14:paraId="63771AF0" w14:textId="77777777" w:rsidR="00DB7C1E" w:rsidRPr="000B478B" w:rsidRDefault="00DB7C1E" w:rsidP="00DB7C1E">
            <w:pPr>
              <w:pStyle w:val="TableText"/>
              <w:ind w:left="720"/>
              <w:rPr>
                <w:rFonts w:ascii="Arial" w:hAnsi="Arial" w:cs="Arial"/>
                <w:color w:val="auto"/>
                <w:sz w:val="24"/>
                <w:szCs w:val="24"/>
              </w:rPr>
            </w:pPr>
          </w:p>
          <w:p w14:paraId="63771AF1" w14:textId="77777777" w:rsidR="00DB7C1E" w:rsidRDefault="00DB7C1E" w:rsidP="00DB7C1E">
            <w:pPr>
              <w:spacing w:line="240" w:lineRule="atLeast"/>
              <w:rPr>
                <w:rFonts w:cs="Arial"/>
              </w:rPr>
            </w:pPr>
            <w:r w:rsidRPr="000B478B">
              <w:rPr>
                <w:rFonts w:cs="Arial"/>
              </w:rPr>
              <w:t xml:space="preserve">There are specific needs in all of the priority sectors for Growth in the </w:t>
            </w:r>
            <w:r w:rsidR="000B08BE">
              <w:rPr>
                <w:rFonts w:cs="Arial"/>
              </w:rPr>
              <w:t>B</w:t>
            </w:r>
            <w:r w:rsidRPr="000B478B">
              <w:rPr>
                <w:rFonts w:cs="Arial"/>
              </w:rPr>
              <w:t xml:space="preserve">lack Country Construction, Building </w:t>
            </w:r>
            <w:r w:rsidR="00A57F84">
              <w:rPr>
                <w:rFonts w:cs="Arial"/>
              </w:rPr>
              <w:t>T</w:t>
            </w:r>
            <w:r w:rsidRPr="000B478B">
              <w:rPr>
                <w:rFonts w:cs="Arial"/>
              </w:rPr>
              <w:t>echnologies and the Green Economy:</w:t>
            </w:r>
          </w:p>
          <w:p w14:paraId="1C6C670E" w14:textId="77777777" w:rsidR="00486405" w:rsidRPr="000B478B" w:rsidRDefault="00486405" w:rsidP="00DB7C1E">
            <w:pPr>
              <w:spacing w:line="240" w:lineRule="atLeast"/>
              <w:rPr>
                <w:rFonts w:cs="Arial"/>
              </w:rPr>
            </w:pPr>
          </w:p>
          <w:p w14:paraId="63771AF2" w14:textId="77777777" w:rsidR="00DB7C1E" w:rsidRDefault="00DB7C1E" w:rsidP="00DB7C1E">
            <w:pPr>
              <w:pStyle w:val="ListParagraph"/>
              <w:numPr>
                <w:ilvl w:val="0"/>
                <w:numId w:val="13"/>
              </w:numPr>
              <w:spacing w:before="40"/>
              <w:jc w:val="both"/>
              <w:rPr>
                <w:rFonts w:cs="Arial"/>
              </w:rPr>
            </w:pPr>
            <w:r w:rsidRPr="000B478B">
              <w:rPr>
                <w:rFonts w:cs="Arial"/>
              </w:rPr>
              <w:t>Global construction output is forecast to rise from £8.5 trillion to £12 trillion by 2025</w:t>
            </w:r>
          </w:p>
          <w:p w14:paraId="63771AF3" w14:textId="77777777" w:rsidR="002E1D64" w:rsidRPr="000B478B" w:rsidRDefault="002E1D64" w:rsidP="002E1D64">
            <w:pPr>
              <w:pStyle w:val="ListParagraph"/>
              <w:numPr>
                <w:ilvl w:val="0"/>
                <w:numId w:val="13"/>
              </w:numPr>
              <w:autoSpaceDE w:val="0"/>
              <w:autoSpaceDN w:val="0"/>
              <w:adjustRightInd w:val="0"/>
              <w:spacing w:before="40"/>
              <w:jc w:val="both"/>
              <w:rPr>
                <w:rFonts w:cs="Arial"/>
              </w:rPr>
            </w:pPr>
            <w:r w:rsidRPr="000B478B">
              <w:rPr>
                <w:rFonts w:cs="Arial"/>
              </w:rPr>
              <w:t>High Speed 2 (HS2) is likely to boost construction output in the West Midlands post-2017.</w:t>
            </w:r>
          </w:p>
          <w:p w14:paraId="63771AF4" w14:textId="77777777" w:rsidR="00DB7C1E" w:rsidRPr="000B478B" w:rsidRDefault="002E1D64" w:rsidP="00DB7C1E">
            <w:pPr>
              <w:pStyle w:val="ListParagraph"/>
              <w:numPr>
                <w:ilvl w:val="0"/>
                <w:numId w:val="13"/>
              </w:numPr>
              <w:spacing w:before="40"/>
              <w:jc w:val="both"/>
              <w:rPr>
                <w:rFonts w:cs="Arial"/>
              </w:rPr>
            </w:pPr>
            <w:r>
              <w:rPr>
                <w:rFonts w:cs="Arial"/>
              </w:rPr>
              <w:t>6</w:t>
            </w:r>
            <w:r w:rsidR="00DB7C1E" w:rsidRPr="000B478B">
              <w:rPr>
                <w:rFonts w:cs="Arial"/>
              </w:rPr>
              <w:t>0,000 jobs expected to be supported by the insulation sector (Green Deal)</w:t>
            </w:r>
          </w:p>
          <w:p w14:paraId="63771AF5" w14:textId="77777777" w:rsidR="00DB7C1E" w:rsidRPr="000B478B" w:rsidRDefault="00DB7C1E" w:rsidP="00DB7C1E">
            <w:pPr>
              <w:pStyle w:val="ListParagraph"/>
              <w:numPr>
                <w:ilvl w:val="0"/>
                <w:numId w:val="13"/>
              </w:numPr>
              <w:spacing w:before="40"/>
              <w:jc w:val="both"/>
              <w:rPr>
                <w:rFonts w:cs="Arial"/>
              </w:rPr>
            </w:pPr>
            <w:r w:rsidRPr="000B478B">
              <w:rPr>
                <w:rFonts w:cs="Arial"/>
              </w:rPr>
              <w:t>42% of construction firms struggling to recruit right skills</w:t>
            </w:r>
          </w:p>
          <w:p w14:paraId="63771AF6" w14:textId="77777777" w:rsidR="00DB7C1E" w:rsidRPr="002E1D64" w:rsidRDefault="00DB7C1E" w:rsidP="00DB7C1E">
            <w:pPr>
              <w:pStyle w:val="ListParagraph"/>
              <w:numPr>
                <w:ilvl w:val="0"/>
                <w:numId w:val="13"/>
              </w:numPr>
              <w:spacing w:before="40"/>
              <w:jc w:val="both"/>
              <w:rPr>
                <w:rFonts w:cs="Arial"/>
              </w:rPr>
            </w:pPr>
            <w:r w:rsidRPr="000B478B">
              <w:rPr>
                <w:rFonts w:cs="Arial"/>
                <w:bCs/>
              </w:rPr>
              <w:lastRenderedPageBreak/>
              <w:t>Technological change, a drive towards sustainable and low-carbon construction will impact on skills levels of the workforce within the industry.</w:t>
            </w:r>
          </w:p>
          <w:p w14:paraId="63771AF7" w14:textId="77777777" w:rsidR="009707D1" w:rsidRDefault="002E1D64" w:rsidP="00957543">
            <w:pPr>
              <w:pStyle w:val="ListParagraph"/>
              <w:numPr>
                <w:ilvl w:val="0"/>
                <w:numId w:val="13"/>
              </w:numPr>
              <w:autoSpaceDE w:val="0"/>
              <w:autoSpaceDN w:val="0"/>
              <w:adjustRightInd w:val="0"/>
              <w:spacing w:before="40"/>
              <w:jc w:val="both"/>
              <w:rPr>
                <w:rFonts w:cs="Arial"/>
              </w:rPr>
            </w:pPr>
            <w:r w:rsidRPr="000B478B">
              <w:rPr>
                <w:rFonts w:cs="Arial"/>
              </w:rPr>
              <w:t>Energy efficiency improvements to the dwelling stock could stimulate activity in the repair / maintenance sector</w:t>
            </w:r>
          </w:p>
          <w:p w14:paraId="63771AF8" w14:textId="77777777" w:rsidR="00DB7C1E" w:rsidRPr="000B478B" w:rsidRDefault="00DB7C1E" w:rsidP="00DB7C1E">
            <w:pPr>
              <w:pStyle w:val="ListParagraph"/>
              <w:numPr>
                <w:ilvl w:val="0"/>
                <w:numId w:val="13"/>
              </w:numPr>
              <w:spacing w:before="40"/>
              <w:jc w:val="both"/>
              <w:rPr>
                <w:rFonts w:cs="Arial"/>
              </w:rPr>
            </w:pPr>
            <w:r w:rsidRPr="000B478B">
              <w:rPr>
                <w:rFonts w:cs="Arial"/>
                <w:bCs/>
              </w:rPr>
              <w:t>High level skills will be needed to drive the development and use of innovative methods of building and the uptake of new technologies and materials.</w:t>
            </w:r>
          </w:p>
          <w:p w14:paraId="63771AF9" w14:textId="77777777" w:rsidR="00DB7C1E" w:rsidRPr="000B478B" w:rsidRDefault="00DB7C1E" w:rsidP="00DB7C1E">
            <w:pPr>
              <w:pStyle w:val="ListParagraph"/>
              <w:numPr>
                <w:ilvl w:val="0"/>
                <w:numId w:val="13"/>
              </w:numPr>
              <w:spacing w:before="40"/>
              <w:jc w:val="both"/>
              <w:rPr>
                <w:rFonts w:cs="Arial"/>
              </w:rPr>
            </w:pPr>
            <w:r w:rsidRPr="000B478B">
              <w:rPr>
                <w:rFonts w:cs="Arial"/>
                <w:bCs/>
              </w:rPr>
              <w:t>Modern Methods of Construction (MMC) and the implementation of low carbon systems will require new skills and the adaption and upgrading of the skills of people currently working in the sector.</w:t>
            </w:r>
          </w:p>
          <w:p w14:paraId="63771AFA" w14:textId="77777777" w:rsidR="00DB7C1E" w:rsidRPr="000B478B" w:rsidRDefault="00DB7C1E" w:rsidP="00DB7C1E">
            <w:pPr>
              <w:pStyle w:val="ListParagraph"/>
              <w:numPr>
                <w:ilvl w:val="0"/>
                <w:numId w:val="14"/>
              </w:numPr>
              <w:autoSpaceDE w:val="0"/>
              <w:autoSpaceDN w:val="0"/>
              <w:adjustRightInd w:val="0"/>
              <w:spacing w:before="40"/>
              <w:jc w:val="both"/>
              <w:rPr>
                <w:rFonts w:cs="Arial"/>
              </w:rPr>
            </w:pPr>
            <w:r w:rsidRPr="000B478B">
              <w:rPr>
                <w:rFonts w:cs="Arial"/>
              </w:rPr>
              <w:t>Strong cross sector correlation between Building Technologies with advanced manufacturing is clear from the high number of jobs in the manufacture of products for the construction sector.</w:t>
            </w:r>
          </w:p>
          <w:p w14:paraId="63771AFB" w14:textId="77777777" w:rsidR="00DB7C1E" w:rsidRPr="000B478B" w:rsidRDefault="00DB7C1E" w:rsidP="00DB7C1E">
            <w:pPr>
              <w:pStyle w:val="ListParagraph"/>
              <w:numPr>
                <w:ilvl w:val="0"/>
                <w:numId w:val="14"/>
              </w:numPr>
              <w:autoSpaceDE w:val="0"/>
              <w:autoSpaceDN w:val="0"/>
              <w:adjustRightInd w:val="0"/>
              <w:spacing w:before="40"/>
              <w:jc w:val="both"/>
              <w:rPr>
                <w:rFonts w:cs="Arial"/>
              </w:rPr>
            </w:pPr>
            <w:r w:rsidRPr="000B478B">
              <w:rPr>
                <w:rFonts w:cs="Arial"/>
              </w:rPr>
              <w:t xml:space="preserve">Building Technologies Sector is facing a demographic time bomb in terms of professional skills. RICS has introduced associated qualifications to take non-graduates through entry level. </w:t>
            </w:r>
          </w:p>
          <w:p w14:paraId="63771AFC" w14:textId="77777777" w:rsidR="00DB7C1E" w:rsidRPr="000B478B" w:rsidRDefault="00DB7C1E" w:rsidP="00DB7C1E">
            <w:pPr>
              <w:pStyle w:val="ListParagraph"/>
              <w:numPr>
                <w:ilvl w:val="0"/>
                <w:numId w:val="14"/>
              </w:numPr>
              <w:autoSpaceDE w:val="0"/>
              <w:autoSpaceDN w:val="0"/>
              <w:adjustRightInd w:val="0"/>
              <w:spacing w:before="40"/>
              <w:jc w:val="both"/>
              <w:rPr>
                <w:rFonts w:cs="Arial"/>
              </w:rPr>
            </w:pPr>
            <w:r w:rsidRPr="000B478B">
              <w:rPr>
                <w:rFonts w:cs="Arial"/>
              </w:rPr>
              <w:t>There is also the need for specialist trainers with the right skills to deliver courses in Building Technologies:</w:t>
            </w:r>
          </w:p>
          <w:p w14:paraId="63771AFD" w14:textId="77777777" w:rsidR="00DB7C1E" w:rsidRPr="000B478B" w:rsidRDefault="00DB7C1E" w:rsidP="00DB7C1E">
            <w:pPr>
              <w:pStyle w:val="ListParagraph"/>
              <w:numPr>
                <w:ilvl w:val="0"/>
                <w:numId w:val="15"/>
              </w:numPr>
              <w:autoSpaceDE w:val="0"/>
              <w:autoSpaceDN w:val="0"/>
              <w:adjustRightInd w:val="0"/>
              <w:ind w:left="360"/>
              <w:rPr>
                <w:rFonts w:cs="Arial"/>
              </w:rPr>
            </w:pPr>
            <w:r w:rsidRPr="000B478B">
              <w:rPr>
                <w:rFonts w:cs="Arial"/>
              </w:rPr>
              <w:t>Extensions of existing skill sets and job functions.</w:t>
            </w:r>
          </w:p>
          <w:p w14:paraId="63771AFE" w14:textId="77777777" w:rsidR="00DB7C1E" w:rsidRPr="000B478B" w:rsidRDefault="00DB7C1E" w:rsidP="00DB7C1E">
            <w:pPr>
              <w:pStyle w:val="ListParagraph"/>
              <w:numPr>
                <w:ilvl w:val="0"/>
                <w:numId w:val="15"/>
              </w:numPr>
              <w:autoSpaceDE w:val="0"/>
              <w:autoSpaceDN w:val="0"/>
              <w:adjustRightInd w:val="0"/>
              <w:ind w:left="360"/>
              <w:rPr>
                <w:rFonts w:cs="Arial"/>
              </w:rPr>
            </w:pPr>
            <w:r w:rsidRPr="000B478B">
              <w:rPr>
                <w:rFonts w:cs="Arial"/>
              </w:rPr>
              <w:t>Existing industry workers who are already at an appropriate NVQ/SVQ level will need to  up-skill via top-up training and assessment to add environmental technologies to their core competencies</w:t>
            </w:r>
          </w:p>
          <w:p w14:paraId="63771AFF" w14:textId="77777777" w:rsidR="00DB7C1E" w:rsidRPr="000B478B" w:rsidRDefault="00DB7C1E" w:rsidP="00DB7C1E">
            <w:pPr>
              <w:pStyle w:val="ListParagraph"/>
              <w:numPr>
                <w:ilvl w:val="0"/>
                <w:numId w:val="15"/>
              </w:numPr>
              <w:autoSpaceDE w:val="0"/>
              <w:autoSpaceDN w:val="0"/>
              <w:adjustRightInd w:val="0"/>
              <w:ind w:left="360"/>
              <w:rPr>
                <w:rFonts w:cs="Arial"/>
              </w:rPr>
            </w:pPr>
            <w:r w:rsidRPr="000B478B">
              <w:rPr>
                <w:rFonts w:cs="Arial"/>
                <w:bCs/>
              </w:rPr>
              <w:t xml:space="preserve">Top three potential technologies that the West Midlands BSE sector is considering engaging in (2010) </w:t>
            </w:r>
          </w:p>
          <w:p w14:paraId="63771B00" w14:textId="77777777" w:rsidR="00DB7C1E" w:rsidRPr="000B478B" w:rsidRDefault="00DB7C1E" w:rsidP="00DB7C1E">
            <w:pPr>
              <w:pStyle w:val="ListParagraph"/>
              <w:numPr>
                <w:ilvl w:val="0"/>
                <w:numId w:val="15"/>
              </w:numPr>
              <w:autoSpaceDE w:val="0"/>
              <w:autoSpaceDN w:val="0"/>
              <w:adjustRightInd w:val="0"/>
              <w:spacing w:before="40"/>
              <w:ind w:left="786"/>
              <w:jc w:val="both"/>
              <w:rPr>
                <w:rFonts w:cs="Arial"/>
                <w:bCs/>
              </w:rPr>
            </w:pPr>
            <w:r w:rsidRPr="000B478B">
              <w:rPr>
                <w:rFonts w:cs="Arial"/>
                <w:bCs/>
              </w:rPr>
              <w:t xml:space="preserve">Solar Water </w:t>
            </w:r>
          </w:p>
          <w:p w14:paraId="63771B01" w14:textId="77777777" w:rsidR="00DB7C1E" w:rsidRPr="000B478B" w:rsidRDefault="00DB7C1E" w:rsidP="00DB7C1E">
            <w:pPr>
              <w:pStyle w:val="ListParagraph"/>
              <w:numPr>
                <w:ilvl w:val="0"/>
                <w:numId w:val="15"/>
              </w:numPr>
              <w:autoSpaceDE w:val="0"/>
              <w:autoSpaceDN w:val="0"/>
              <w:adjustRightInd w:val="0"/>
              <w:spacing w:before="40"/>
              <w:ind w:left="786"/>
              <w:jc w:val="both"/>
              <w:rPr>
                <w:rFonts w:cs="Arial"/>
              </w:rPr>
            </w:pPr>
            <w:r w:rsidRPr="000B478B">
              <w:rPr>
                <w:rFonts w:cs="Arial"/>
              </w:rPr>
              <w:t xml:space="preserve">Photovoltaic </w:t>
            </w:r>
          </w:p>
          <w:p w14:paraId="63771B02" w14:textId="77777777" w:rsidR="00DB7C1E" w:rsidRPr="000B478B" w:rsidRDefault="00DB7C1E" w:rsidP="00DB7C1E">
            <w:pPr>
              <w:pStyle w:val="ListParagraph"/>
              <w:numPr>
                <w:ilvl w:val="0"/>
                <w:numId w:val="15"/>
              </w:numPr>
              <w:autoSpaceDE w:val="0"/>
              <w:autoSpaceDN w:val="0"/>
              <w:adjustRightInd w:val="0"/>
              <w:ind w:left="786"/>
              <w:rPr>
                <w:rFonts w:cs="Arial"/>
              </w:rPr>
            </w:pPr>
            <w:r w:rsidRPr="000B478B">
              <w:rPr>
                <w:rFonts w:cs="Arial"/>
              </w:rPr>
              <w:t>Ground Source Heat Pumps</w:t>
            </w:r>
          </w:p>
          <w:p w14:paraId="63771B03" w14:textId="77777777" w:rsidR="00DB7C1E" w:rsidRPr="000B478B" w:rsidRDefault="00DB7C1E" w:rsidP="00DB7C1E">
            <w:pPr>
              <w:autoSpaceDE w:val="0"/>
              <w:autoSpaceDN w:val="0"/>
              <w:adjustRightInd w:val="0"/>
              <w:rPr>
                <w:rFonts w:cs="Arial"/>
              </w:rPr>
            </w:pPr>
          </w:p>
          <w:p w14:paraId="63771B04" w14:textId="77777777" w:rsidR="00DB7C1E" w:rsidRDefault="00DB7C1E" w:rsidP="00DB7C1E">
            <w:pPr>
              <w:autoSpaceDE w:val="0"/>
              <w:autoSpaceDN w:val="0"/>
              <w:adjustRightInd w:val="0"/>
              <w:rPr>
                <w:rFonts w:cs="Arial"/>
              </w:rPr>
            </w:pPr>
            <w:r w:rsidRPr="000B478B">
              <w:rPr>
                <w:rFonts w:cs="Arial"/>
              </w:rPr>
              <w:t>The Aerospace industry has a need for a broad range of high-value skills and disciplines, including engineering, science, project management, production, service, training and finance</w:t>
            </w:r>
            <w:r w:rsidR="00A57F84">
              <w:rPr>
                <w:rFonts w:cs="Arial"/>
              </w:rPr>
              <w:t>:</w:t>
            </w:r>
          </w:p>
          <w:p w14:paraId="05BA5204" w14:textId="77777777" w:rsidR="00486405" w:rsidRPr="000B478B" w:rsidRDefault="00486405" w:rsidP="00DB7C1E">
            <w:pPr>
              <w:autoSpaceDE w:val="0"/>
              <w:autoSpaceDN w:val="0"/>
              <w:adjustRightInd w:val="0"/>
              <w:rPr>
                <w:rFonts w:cs="Arial"/>
              </w:rPr>
            </w:pPr>
          </w:p>
          <w:p w14:paraId="63771B05" w14:textId="77777777" w:rsidR="00DB7C1E" w:rsidRPr="000B478B" w:rsidRDefault="00DB7C1E" w:rsidP="00DB7C1E">
            <w:pPr>
              <w:pStyle w:val="ListParagraph"/>
              <w:numPr>
                <w:ilvl w:val="0"/>
                <w:numId w:val="16"/>
              </w:numPr>
              <w:autoSpaceDE w:val="0"/>
              <w:autoSpaceDN w:val="0"/>
              <w:adjustRightInd w:val="0"/>
              <w:spacing w:before="40"/>
              <w:jc w:val="both"/>
              <w:rPr>
                <w:rFonts w:cs="Arial"/>
              </w:rPr>
            </w:pPr>
            <w:r w:rsidRPr="000B478B">
              <w:rPr>
                <w:rFonts w:cs="Arial"/>
              </w:rPr>
              <w:t xml:space="preserve">Over 3,000 people employed in the sector over 20 key employers </w:t>
            </w:r>
          </w:p>
          <w:p w14:paraId="63771B06" w14:textId="77777777" w:rsidR="00DB7C1E" w:rsidRPr="000B478B" w:rsidRDefault="00DB7C1E" w:rsidP="00DB7C1E">
            <w:pPr>
              <w:pStyle w:val="ListParagraph"/>
              <w:numPr>
                <w:ilvl w:val="0"/>
                <w:numId w:val="16"/>
              </w:numPr>
              <w:autoSpaceDE w:val="0"/>
              <w:autoSpaceDN w:val="0"/>
              <w:adjustRightInd w:val="0"/>
              <w:spacing w:before="40"/>
              <w:jc w:val="both"/>
              <w:rPr>
                <w:rFonts w:cs="Arial"/>
              </w:rPr>
            </w:pPr>
            <w:r w:rsidRPr="000B478B">
              <w:rPr>
                <w:rFonts w:cs="Arial"/>
              </w:rPr>
              <w:t xml:space="preserve">UK has developed a strong comparative advantage in 4 key, high-value, highly complex areas of modern aircraft:  </w:t>
            </w:r>
          </w:p>
          <w:p w14:paraId="63771B07" w14:textId="77777777" w:rsidR="00DB7C1E" w:rsidRPr="000B478B" w:rsidRDefault="00DB7C1E" w:rsidP="00DB7C1E">
            <w:pPr>
              <w:pStyle w:val="ListParagraph"/>
              <w:numPr>
                <w:ilvl w:val="1"/>
                <w:numId w:val="17"/>
              </w:numPr>
              <w:autoSpaceDE w:val="0"/>
              <w:autoSpaceDN w:val="0"/>
              <w:adjustRightInd w:val="0"/>
              <w:spacing w:before="40"/>
              <w:jc w:val="both"/>
              <w:rPr>
                <w:rFonts w:cs="Arial"/>
              </w:rPr>
            </w:pPr>
            <w:r w:rsidRPr="000B478B">
              <w:rPr>
                <w:rFonts w:cs="Arial"/>
              </w:rPr>
              <w:t>wings</w:t>
            </w:r>
          </w:p>
          <w:p w14:paraId="63771B08" w14:textId="77777777" w:rsidR="00DB7C1E" w:rsidRPr="000B478B" w:rsidRDefault="00DB7C1E" w:rsidP="00DB7C1E">
            <w:pPr>
              <w:pStyle w:val="ListParagraph"/>
              <w:numPr>
                <w:ilvl w:val="1"/>
                <w:numId w:val="17"/>
              </w:numPr>
              <w:autoSpaceDE w:val="0"/>
              <w:autoSpaceDN w:val="0"/>
              <w:adjustRightInd w:val="0"/>
              <w:spacing w:before="40"/>
              <w:jc w:val="both"/>
              <w:rPr>
                <w:rFonts w:cs="Arial"/>
              </w:rPr>
            </w:pPr>
            <w:r w:rsidRPr="000B478B">
              <w:rPr>
                <w:rFonts w:cs="Arial"/>
              </w:rPr>
              <w:t>engines</w:t>
            </w:r>
          </w:p>
          <w:p w14:paraId="63771B09" w14:textId="77777777" w:rsidR="00DB7C1E" w:rsidRPr="000B478B" w:rsidRDefault="00DB7C1E" w:rsidP="00DB7C1E">
            <w:pPr>
              <w:pStyle w:val="ListParagraph"/>
              <w:numPr>
                <w:ilvl w:val="1"/>
                <w:numId w:val="17"/>
              </w:numPr>
              <w:autoSpaceDE w:val="0"/>
              <w:autoSpaceDN w:val="0"/>
              <w:adjustRightInd w:val="0"/>
              <w:spacing w:before="40"/>
              <w:jc w:val="both"/>
              <w:rPr>
                <w:rFonts w:cs="Arial"/>
              </w:rPr>
            </w:pPr>
            <w:r w:rsidRPr="000B478B">
              <w:rPr>
                <w:rFonts w:cs="Arial"/>
              </w:rPr>
              <w:t xml:space="preserve">aero structures  </w:t>
            </w:r>
          </w:p>
          <w:p w14:paraId="63771B0A" w14:textId="77777777" w:rsidR="00DB7C1E" w:rsidRPr="000B478B" w:rsidRDefault="00DB7C1E" w:rsidP="00DB7C1E">
            <w:pPr>
              <w:pStyle w:val="ListParagraph"/>
              <w:numPr>
                <w:ilvl w:val="1"/>
                <w:numId w:val="17"/>
              </w:numPr>
              <w:autoSpaceDE w:val="0"/>
              <w:autoSpaceDN w:val="0"/>
              <w:adjustRightInd w:val="0"/>
              <w:spacing w:before="40"/>
              <w:jc w:val="both"/>
              <w:rPr>
                <w:rFonts w:cs="Arial"/>
              </w:rPr>
            </w:pPr>
            <w:r w:rsidRPr="000B478B">
              <w:rPr>
                <w:rFonts w:cs="Arial"/>
              </w:rPr>
              <w:t>advanced systems</w:t>
            </w:r>
          </w:p>
          <w:p w14:paraId="63771B0B" w14:textId="77777777" w:rsidR="00DB7C1E" w:rsidRPr="000B478B" w:rsidRDefault="00DB7C1E" w:rsidP="00DB7C1E">
            <w:pPr>
              <w:pStyle w:val="ListParagraph"/>
              <w:numPr>
                <w:ilvl w:val="0"/>
                <w:numId w:val="16"/>
              </w:numPr>
              <w:autoSpaceDE w:val="0"/>
              <w:autoSpaceDN w:val="0"/>
              <w:adjustRightInd w:val="0"/>
              <w:spacing w:before="40"/>
              <w:jc w:val="both"/>
              <w:rPr>
                <w:rFonts w:cs="Arial"/>
              </w:rPr>
            </w:pPr>
            <w:r w:rsidRPr="000B478B">
              <w:rPr>
                <w:rFonts w:cs="Arial"/>
              </w:rPr>
              <w:t>Investment in up skilling current workforce and high apprenticeships is required to meet sectors target of 50% of the workforce to be qualified to Level 4 by 2022.</w:t>
            </w:r>
          </w:p>
          <w:p w14:paraId="63771B0C" w14:textId="77777777" w:rsidR="00DB7C1E" w:rsidRPr="000B478B" w:rsidRDefault="00DB7C1E" w:rsidP="00DB7C1E">
            <w:pPr>
              <w:pStyle w:val="ListParagraph"/>
              <w:numPr>
                <w:ilvl w:val="0"/>
                <w:numId w:val="16"/>
              </w:numPr>
              <w:autoSpaceDE w:val="0"/>
              <w:autoSpaceDN w:val="0"/>
              <w:adjustRightInd w:val="0"/>
              <w:spacing w:before="40"/>
              <w:jc w:val="both"/>
              <w:rPr>
                <w:rFonts w:cs="Arial"/>
              </w:rPr>
            </w:pPr>
            <w:r w:rsidRPr="000B478B">
              <w:rPr>
                <w:rFonts w:cs="Arial"/>
              </w:rPr>
              <w:t xml:space="preserve">Opportunities for employment Additive Manufacturing within the aerospace sector and automotive sector as new technologies are starting to expand through the supply chain. </w:t>
            </w:r>
          </w:p>
          <w:p w14:paraId="63771B0D" w14:textId="77777777" w:rsidR="00DB7C1E" w:rsidRPr="000B478B" w:rsidRDefault="00DB7C1E" w:rsidP="00DB7C1E">
            <w:pPr>
              <w:pStyle w:val="ListParagraph"/>
              <w:numPr>
                <w:ilvl w:val="0"/>
                <w:numId w:val="16"/>
              </w:numPr>
              <w:autoSpaceDE w:val="0"/>
              <w:autoSpaceDN w:val="0"/>
              <w:adjustRightInd w:val="0"/>
              <w:spacing w:before="40"/>
              <w:jc w:val="both"/>
              <w:rPr>
                <w:rFonts w:cs="Arial"/>
              </w:rPr>
            </w:pPr>
            <w:r w:rsidRPr="000B478B">
              <w:rPr>
                <w:rFonts w:cs="Arial"/>
              </w:rPr>
              <w:t>Increased demand for Engineers to support the automation of Additive Manufacturing processes</w:t>
            </w:r>
          </w:p>
          <w:p w14:paraId="63771B0E" w14:textId="77777777" w:rsidR="00DB7C1E" w:rsidRPr="000B478B" w:rsidRDefault="00DB7C1E" w:rsidP="00DB7C1E">
            <w:pPr>
              <w:pStyle w:val="ListParagraph"/>
              <w:numPr>
                <w:ilvl w:val="0"/>
                <w:numId w:val="16"/>
              </w:numPr>
              <w:autoSpaceDE w:val="0"/>
              <w:autoSpaceDN w:val="0"/>
              <w:adjustRightInd w:val="0"/>
              <w:spacing w:before="40"/>
              <w:jc w:val="both"/>
              <w:rPr>
                <w:rFonts w:cs="Arial"/>
              </w:rPr>
            </w:pPr>
            <w:r w:rsidRPr="000B478B">
              <w:rPr>
                <w:rFonts w:cs="Arial"/>
              </w:rPr>
              <w:t>Shortage of necessary skills at nearly all levels</w:t>
            </w:r>
          </w:p>
          <w:p w14:paraId="63771B0F" w14:textId="77777777" w:rsidR="00DB7C1E" w:rsidRPr="000B478B" w:rsidRDefault="00DB7C1E" w:rsidP="00DB7C1E">
            <w:pPr>
              <w:pStyle w:val="ListParagraph"/>
              <w:numPr>
                <w:ilvl w:val="0"/>
                <w:numId w:val="16"/>
              </w:numPr>
              <w:autoSpaceDE w:val="0"/>
              <w:autoSpaceDN w:val="0"/>
              <w:adjustRightInd w:val="0"/>
              <w:spacing w:before="40"/>
              <w:jc w:val="both"/>
              <w:rPr>
                <w:rFonts w:cs="Arial"/>
              </w:rPr>
            </w:pPr>
            <w:r w:rsidRPr="000B478B">
              <w:rPr>
                <w:rFonts w:cs="Arial"/>
              </w:rPr>
              <w:lastRenderedPageBreak/>
              <w:t>As processes become more automated it is expected that there will be a growing need for multi-skilled craft</w:t>
            </w:r>
          </w:p>
          <w:p w14:paraId="63771B10" w14:textId="77777777" w:rsidR="00DB7C1E" w:rsidRPr="000B478B" w:rsidRDefault="00DB7C1E" w:rsidP="00DB7C1E">
            <w:pPr>
              <w:pStyle w:val="ListParagraph"/>
              <w:autoSpaceDE w:val="0"/>
              <w:autoSpaceDN w:val="0"/>
              <w:adjustRightInd w:val="0"/>
              <w:ind w:left="360"/>
              <w:rPr>
                <w:rFonts w:cs="Arial"/>
              </w:rPr>
            </w:pPr>
          </w:p>
          <w:p w14:paraId="63771B11" w14:textId="77777777" w:rsidR="00DB7C1E" w:rsidRDefault="00DB7C1E" w:rsidP="00DB7C1E">
            <w:pPr>
              <w:autoSpaceDE w:val="0"/>
              <w:autoSpaceDN w:val="0"/>
              <w:adjustRightInd w:val="0"/>
              <w:rPr>
                <w:rFonts w:cs="Arial"/>
              </w:rPr>
            </w:pPr>
            <w:r w:rsidRPr="000B478B">
              <w:rPr>
                <w:rFonts w:cs="Arial"/>
              </w:rPr>
              <w:t>Professional and Business Services underpin and support growth in all other sectors.  This sector also has changing requirements and demands:</w:t>
            </w:r>
          </w:p>
          <w:p w14:paraId="57E91355" w14:textId="77777777" w:rsidR="00486405" w:rsidRPr="000B478B" w:rsidRDefault="00486405" w:rsidP="00DB7C1E">
            <w:pPr>
              <w:autoSpaceDE w:val="0"/>
              <w:autoSpaceDN w:val="0"/>
              <w:adjustRightInd w:val="0"/>
              <w:rPr>
                <w:rFonts w:cs="Arial"/>
              </w:rPr>
            </w:pPr>
          </w:p>
          <w:p w14:paraId="63771B12" w14:textId="77777777" w:rsidR="00DB7C1E" w:rsidRPr="000B478B" w:rsidRDefault="00DB7C1E" w:rsidP="00DB7C1E">
            <w:pPr>
              <w:pStyle w:val="ListParagraph"/>
              <w:numPr>
                <w:ilvl w:val="0"/>
                <w:numId w:val="18"/>
              </w:numPr>
              <w:autoSpaceDE w:val="0"/>
              <w:autoSpaceDN w:val="0"/>
              <w:adjustRightInd w:val="0"/>
              <w:rPr>
                <w:rFonts w:cs="Arial"/>
              </w:rPr>
            </w:pPr>
            <w:r w:rsidRPr="000B478B">
              <w:rPr>
                <w:rFonts w:cs="Arial"/>
              </w:rPr>
              <w:t>Many new jobs will be at the managerial and professional level, reflecting the increasing complexity of the sector.</w:t>
            </w:r>
          </w:p>
          <w:p w14:paraId="63771B13" w14:textId="77777777" w:rsidR="00DB7C1E" w:rsidRPr="000B478B" w:rsidRDefault="00DB7C1E" w:rsidP="00DB7C1E">
            <w:pPr>
              <w:pStyle w:val="ListParagraph"/>
              <w:numPr>
                <w:ilvl w:val="0"/>
                <w:numId w:val="18"/>
              </w:numPr>
              <w:autoSpaceDE w:val="0"/>
              <w:autoSpaceDN w:val="0"/>
              <w:adjustRightInd w:val="0"/>
              <w:rPr>
                <w:rFonts w:cs="Arial"/>
              </w:rPr>
            </w:pPr>
            <w:r w:rsidRPr="000B478B">
              <w:rPr>
                <w:rFonts w:cs="Arial"/>
              </w:rPr>
              <w:t xml:space="preserve">New technology will demand a shift from low to intermediate and high skills with a greater need for Science, Engineering, Technology and </w:t>
            </w:r>
            <w:r w:rsidR="00F63BFF">
              <w:rPr>
                <w:rFonts w:cs="Arial"/>
              </w:rPr>
              <w:t>M</w:t>
            </w:r>
            <w:r w:rsidRPr="000B478B">
              <w:rPr>
                <w:rFonts w:cs="Arial"/>
              </w:rPr>
              <w:t>athematics (STEM) qualifications in the logistics sector.</w:t>
            </w:r>
          </w:p>
          <w:p w14:paraId="63771B14" w14:textId="77777777" w:rsidR="00DB7C1E" w:rsidRPr="000B478B" w:rsidRDefault="00DB7C1E" w:rsidP="00DB7C1E">
            <w:pPr>
              <w:pStyle w:val="ListParagraph"/>
              <w:numPr>
                <w:ilvl w:val="0"/>
                <w:numId w:val="18"/>
              </w:numPr>
              <w:autoSpaceDE w:val="0"/>
              <w:autoSpaceDN w:val="0"/>
              <w:adjustRightInd w:val="0"/>
              <w:rPr>
                <w:rFonts w:cs="Arial"/>
              </w:rPr>
            </w:pPr>
            <w:r w:rsidRPr="000B478B">
              <w:rPr>
                <w:rFonts w:cs="Arial"/>
              </w:rPr>
              <w:t xml:space="preserve">The following skills are harder to recruit to the logistics sector compared to the whole economy: </w:t>
            </w:r>
            <w:r w:rsidR="00F63BFF">
              <w:rPr>
                <w:rFonts w:cs="Arial"/>
              </w:rPr>
              <w:t>t</w:t>
            </w:r>
            <w:r w:rsidRPr="000B478B">
              <w:rPr>
                <w:rFonts w:cs="Arial"/>
              </w:rPr>
              <w:t xml:space="preserve">echnical, practical and job specific skills </w:t>
            </w:r>
            <w:r w:rsidR="00F63BFF">
              <w:rPr>
                <w:rFonts w:cs="Arial"/>
              </w:rPr>
              <w:t>n</w:t>
            </w:r>
            <w:r w:rsidRPr="000B478B">
              <w:rPr>
                <w:rFonts w:cs="Arial"/>
              </w:rPr>
              <w:t>umeracy, office admin</w:t>
            </w:r>
            <w:r w:rsidR="00F63BFF">
              <w:rPr>
                <w:rFonts w:cs="Arial"/>
              </w:rPr>
              <w:t>istration</w:t>
            </w:r>
            <w:r w:rsidRPr="000B478B">
              <w:rPr>
                <w:rFonts w:cs="Arial"/>
              </w:rPr>
              <w:t>, team working, customer handling and managerial skills</w:t>
            </w:r>
          </w:p>
          <w:p w14:paraId="63771B15" w14:textId="77777777" w:rsidR="00DB7C1E" w:rsidRPr="000B478B" w:rsidRDefault="00DB7C1E" w:rsidP="00DB7C1E">
            <w:pPr>
              <w:pStyle w:val="ListParagraph"/>
              <w:numPr>
                <w:ilvl w:val="0"/>
                <w:numId w:val="18"/>
              </w:numPr>
              <w:autoSpaceDE w:val="0"/>
              <w:autoSpaceDN w:val="0"/>
              <w:adjustRightInd w:val="0"/>
              <w:rPr>
                <w:rFonts w:cs="Arial"/>
              </w:rPr>
            </w:pPr>
            <w:r w:rsidRPr="000B478B">
              <w:rPr>
                <w:rFonts w:cs="Arial"/>
              </w:rPr>
              <w:t>Job increases are predicted in higher areas such as managers (logistics).</w:t>
            </w:r>
          </w:p>
          <w:p w14:paraId="63771B16" w14:textId="77777777" w:rsidR="00DB7C1E" w:rsidRPr="000B478B" w:rsidRDefault="00DB7C1E" w:rsidP="00DB7C1E">
            <w:pPr>
              <w:pStyle w:val="ListParagraph"/>
              <w:numPr>
                <w:ilvl w:val="0"/>
                <w:numId w:val="18"/>
              </w:numPr>
              <w:autoSpaceDE w:val="0"/>
              <w:autoSpaceDN w:val="0"/>
              <w:adjustRightInd w:val="0"/>
              <w:rPr>
                <w:rFonts w:cs="Arial"/>
              </w:rPr>
            </w:pPr>
            <w:r w:rsidRPr="000B478B">
              <w:rPr>
                <w:rFonts w:cs="Arial"/>
              </w:rPr>
              <w:t>Many new jobs in logistics will be at the managerial and professional level, reflecting the increasing complexity of the sector.</w:t>
            </w:r>
          </w:p>
          <w:p w14:paraId="63771B17" w14:textId="77777777" w:rsidR="00DB7C1E" w:rsidRPr="000B478B" w:rsidRDefault="00DB7C1E" w:rsidP="00DB7C1E">
            <w:pPr>
              <w:pStyle w:val="ListParagraph"/>
              <w:numPr>
                <w:ilvl w:val="0"/>
                <w:numId w:val="18"/>
              </w:numPr>
              <w:autoSpaceDE w:val="0"/>
              <w:autoSpaceDN w:val="0"/>
              <w:adjustRightInd w:val="0"/>
              <w:rPr>
                <w:rFonts w:cs="Arial"/>
              </w:rPr>
            </w:pPr>
            <w:r w:rsidRPr="000B478B">
              <w:rPr>
                <w:rFonts w:cs="Arial"/>
              </w:rPr>
              <w:t>Sector is looking to broaden entry routes and investigate new career development pathways to ensure future skills supply due to changes in funding for Higher Education.</w:t>
            </w:r>
          </w:p>
          <w:p w14:paraId="63771B18" w14:textId="77777777" w:rsidR="00957543" w:rsidRDefault="00DB7C1E" w:rsidP="00957543">
            <w:pPr>
              <w:pStyle w:val="ListParagraph"/>
              <w:numPr>
                <w:ilvl w:val="0"/>
                <w:numId w:val="18"/>
              </w:numPr>
              <w:autoSpaceDE w:val="0"/>
              <w:autoSpaceDN w:val="0"/>
              <w:adjustRightInd w:val="0"/>
              <w:rPr>
                <w:rFonts w:cs="Arial"/>
              </w:rPr>
            </w:pPr>
            <w:r w:rsidRPr="000B478B">
              <w:rPr>
                <w:rFonts w:cs="Arial"/>
              </w:rPr>
              <w:t>Increasing interest and emphasis on Apprenticeships within Professional Institutes</w:t>
            </w:r>
            <w:r w:rsidR="00957543">
              <w:rPr>
                <w:rFonts w:cs="Arial"/>
              </w:rPr>
              <w:t xml:space="preserve"> </w:t>
            </w:r>
          </w:p>
          <w:p w14:paraId="63771B19" w14:textId="77777777" w:rsidR="00957543" w:rsidRDefault="00DB7C1E" w:rsidP="00957543">
            <w:pPr>
              <w:pStyle w:val="ListParagraph"/>
              <w:numPr>
                <w:ilvl w:val="0"/>
                <w:numId w:val="18"/>
              </w:numPr>
              <w:autoSpaceDE w:val="0"/>
              <w:autoSpaceDN w:val="0"/>
              <w:adjustRightInd w:val="0"/>
              <w:rPr>
                <w:rFonts w:cs="Arial"/>
              </w:rPr>
            </w:pPr>
            <w:r w:rsidRPr="00F63BFF">
              <w:rPr>
                <w:rFonts w:cs="Arial"/>
              </w:rPr>
              <w:t>Skill gaps are particularly concentrated on sales and customer service jobs.</w:t>
            </w:r>
          </w:p>
          <w:p w14:paraId="63771B1A" w14:textId="77777777" w:rsidR="009707D1" w:rsidRDefault="00DB7C1E" w:rsidP="00957543">
            <w:pPr>
              <w:pStyle w:val="ListParagraph"/>
              <w:numPr>
                <w:ilvl w:val="0"/>
                <w:numId w:val="18"/>
              </w:numPr>
              <w:autoSpaceDE w:val="0"/>
              <w:autoSpaceDN w:val="0"/>
              <w:adjustRightInd w:val="0"/>
              <w:rPr>
                <w:rFonts w:cs="Arial"/>
              </w:rPr>
            </w:pPr>
            <w:r w:rsidRPr="00F63BFF">
              <w:rPr>
                <w:rFonts w:cs="Arial"/>
              </w:rPr>
              <w:t>Associate professional roles are the hardest to fill, due mainly to a shortage of applicants with the right skills</w:t>
            </w:r>
          </w:p>
          <w:p w14:paraId="63771B1B" w14:textId="77777777" w:rsidR="000D51DE" w:rsidRDefault="000D51DE" w:rsidP="00DB7C1E">
            <w:pPr>
              <w:rPr>
                <w:rFonts w:cs="Arial"/>
                <w:lang w:eastAsia="en-GB"/>
              </w:rPr>
            </w:pPr>
          </w:p>
          <w:p w14:paraId="63771B1C" w14:textId="77777777" w:rsidR="00DB7C1E" w:rsidRPr="006533E5" w:rsidRDefault="00DB7C1E" w:rsidP="00DB7C1E">
            <w:pPr>
              <w:autoSpaceDE w:val="0"/>
              <w:autoSpaceDN w:val="0"/>
              <w:adjustRightInd w:val="0"/>
              <w:rPr>
                <w:rFonts w:cs="Arial"/>
              </w:rPr>
            </w:pPr>
            <w:r w:rsidRPr="006533E5">
              <w:rPr>
                <w:rFonts w:cs="Arial"/>
              </w:rPr>
              <w:t>Investment in up skilling the current workforce and higher level apprenticeships is required to meet the sectors target of 50% of the workforce to be qualified to Level 4 by 2022.</w:t>
            </w:r>
          </w:p>
          <w:p w14:paraId="63771B1E" w14:textId="77777777" w:rsidR="00DB7C1E" w:rsidRPr="002833D9" w:rsidRDefault="00DB7C1E" w:rsidP="00DB7C1E">
            <w:pPr>
              <w:rPr>
                <w:rFonts w:cs="Arial"/>
                <w:lang w:eastAsia="en-GB"/>
              </w:rPr>
            </w:pPr>
          </w:p>
        </w:tc>
      </w:tr>
      <w:tr w:rsidR="00967429" w14:paraId="63771B21" w14:textId="77777777" w:rsidTr="00486405">
        <w:trPr>
          <w:trHeight w:val="567"/>
        </w:trPr>
        <w:tc>
          <w:tcPr>
            <w:tcW w:w="9088" w:type="dxa"/>
            <w:shd w:val="clear" w:color="auto" w:fill="D9D9D9" w:themeFill="background1" w:themeFillShade="D9"/>
            <w:vAlign w:val="center"/>
          </w:tcPr>
          <w:p w14:paraId="63771B20"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63771B26" w14:textId="77777777" w:rsidTr="000D51DE">
        <w:tc>
          <w:tcPr>
            <w:tcW w:w="9088" w:type="dxa"/>
          </w:tcPr>
          <w:p w14:paraId="63771B22" w14:textId="77777777" w:rsidR="002E25F4" w:rsidRDefault="002E25F4" w:rsidP="00A524B5">
            <w:pPr>
              <w:rPr>
                <w:rFonts w:cs="Arial"/>
                <w:i/>
              </w:rPr>
            </w:pPr>
          </w:p>
          <w:p w14:paraId="63771B23" w14:textId="77777777" w:rsidR="000304B2" w:rsidRPr="005A1D76" w:rsidRDefault="000304B2" w:rsidP="000304B2">
            <w:pPr>
              <w:ind w:left="360" w:hanging="360"/>
            </w:pPr>
            <w:r w:rsidRPr="005A1D76">
              <w:rPr>
                <w:b/>
              </w:rPr>
              <w:t xml:space="preserve">Candidate: </w:t>
            </w:r>
            <w:r w:rsidRPr="005A1D76">
              <w:t>means an organisation who has been invited to take part in this procurement procedure</w:t>
            </w:r>
          </w:p>
          <w:p w14:paraId="63771B24" w14:textId="77777777" w:rsidR="00084F08" w:rsidRDefault="00084F08" w:rsidP="00B432D8">
            <w:pPr>
              <w:autoSpaceDE w:val="0"/>
              <w:autoSpaceDN w:val="0"/>
              <w:adjustRightInd w:val="0"/>
              <w:ind w:left="360" w:hanging="360"/>
              <w:rPr>
                <w:b/>
              </w:rPr>
            </w:pPr>
          </w:p>
          <w:p w14:paraId="3A3418F4" w14:textId="77777777" w:rsidR="00200BC6" w:rsidRDefault="00B432D8">
            <w:pPr>
              <w:autoSpaceDE w:val="0"/>
              <w:autoSpaceDN w:val="0"/>
              <w:adjustRightInd w:val="0"/>
              <w:ind w:left="360" w:hanging="360"/>
            </w:pPr>
            <w:r w:rsidRPr="009D6E97">
              <w:rPr>
                <w:b/>
              </w:rPr>
              <w:t xml:space="preserve">Service: </w:t>
            </w:r>
            <w:r w:rsidRPr="009D6E97">
              <w:t>The</w:t>
            </w:r>
            <w:r>
              <w:t xml:space="preserve"> establishment and delivery of the </w:t>
            </w:r>
            <w:r w:rsidR="00221A1C">
              <w:t xml:space="preserve">Skills Factory in accordance with the service requirements. </w:t>
            </w:r>
          </w:p>
          <w:p w14:paraId="63771B25" w14:textId="77777777" w:rsidR="006533E5" w:rsidRPr="00590073" w:rsidRDefault="006533E5">
            <w:pPr>
              <w:autoSpaceDE w:val="0"/>
              <w:autoSpaceDN w:val="0"/>
              <w:adjustRightInd w:val="0"/>
              <w:ind w:left="360" w:hanging="360"/>
            </w:pPr>
          </w:p>
        </w:tc>
      </w:tr>
      <w:tr w:rsidR="00967429" w:rsidRPr="00544738" w14:paraId="63771B28" w14:textId="77777777" w:rsidTr="00486405">
        <w:trPr>
          <w:trHeight w:val="567"/>
        </w:trPr>
        <w:tc>
          <w:tcPr>
            <w:tcW w:w="9088" w:type="dxa"/>
            <w:shd w:val="clear" w:color="auto" w:fill="D9D9D9" w:themeFill="background1" w:themeFillShade="D9"/>
            <w:vAlign w:val="center"/>
          </w:tcPr>
          <w:p w14:paraId="63771B27" w14:textId="77777777" w:rsidR="00967429" w:rsidRPr="00C107CE" w:rsidRDefault="002E25F4" w:rsidP="00C107CE">
            <w:pPr>
              <w:autoSpaceDE w:val="0"/>
              <w:autoSpaceDN w:val="0"/>
              <w:adjustRightInd w:val="0"/>
              <w:rPr>
                <w:rFonts w:cs="Arial"/>
                <w:b/>
                <w:lang w:eastAsia="en-GB"/>
              </w:rPr>
            </w:pPr>
            <w:r w:rsidRPr="002833D9">
              <w:rPr>
                <w:rFonts w:cs="Arial"/>
                <w:b/>
                <w:lang w:eastAsia="en-GB"/>
              </w:rPr>
              <w:t>SERVICE REQUIREMENTS</w:t>
            </w:r>
          </w:p>
        </w:tc>
      </w:tr>
      <w:tr w:rsidR="00967429" w:rsidRPr="00544738" w14:paraId="63771B82" w14:textId="77777777" w:rsidTr="000D51DE">
        <w:tc>
          <w:tcPr>
            <w:tcW w:w="9088" w:type="dxa"/>
          </w:tcPr>
          <w:p w14:paraId="63771B29" w14:textId="77777777" w:rsidR="000D51DE" w:rsidRDefault="000D51DE" w:rsidP="00A524B5">
            <w:pPr>
              <w:rPr>
                <w:rFonts w:cs="Arial"/>
                <w:b/>
              </w:rPr>
            </w:pPr>
          </w:p>
          <w:p w14:paraId="63771B2A" w14:textId="77777777" w:rsidR="002E25F4" w:rsidRPr="005831B6" w:rsidRDefault="002E25F4" w:rsidP="00A524B5">
            <w:pPr>
              <w:rPr>
                <w:rFonts w:cs="Arial"/>
                <w:b/>
              </w:rPr>
            </w:pPr>
            <w:r w:rsidRPr="005831B6">
              <w:rPr>
                <w:rFonts w:cs="Arial"/>
                <w:b/>
              </w:rPr>
              <w:t xml:space="preserve">General </w:t>
            </w:r>
            <w:r w:rsidR="00EA180F" w:rsidRPr="005831B6">
              <w:rPr>
                <w:rFonts w:cs="Arial"/>
                <w:b/>
              </w:rPr>
              <w:t>Service Requirements</w:t>
            </w:r>
          </w:p>
          <w:p w14:paraId="63771B2B" w14:textId="77777777" w:rsidR="00EA180F" w:rsidRPr="005831B6" w:rsidRDefault="00EA180F" w:rsidP="00A524B5">
            <w:pPr>
              <w:rPr>
                <w:rFonts w:cs="Arial"/>
                <w:b/>
              </w:rPr>
            </w:pPr>
          </w:p>
          <w:p w14:paraId="63771B2C" w14:textId="77777777" w:rsidR="002E25F4" w:rsidRPr="005831B6" w:rsidRDefault="002E25F4" w:rsidP="00A524B5">
            <w:pPr>
              <w:rPr>
                <w:rFonts w:cs="Arial"/>
              </w:rPr>
            </w:pPr>
            <w:r w:rsidRPr="005831B6">
              <w:rPr>
                <w:rFonts w:cs="Arial"/>
              </w:rPr>
              <w:t>All activities must complement and avoid duplication with other provision, thereby adding value to D</w:t>
            </w:r>
            <w:r w:rsidR="00F3689D" w:rsidRPr="005831B6">
              <w:rPr>
                <w:rFonts w:cs="Arial"/>
              </w:rPr>
              <w:t xml:space="preserve">epartment for </w:t>
            </w:r>
            <w:r w:rsidRPr="005831B6">
              <w:rPr>
                <w:rFonts w:cs="Arial"/>
              </w:rPr>
              <w:t>W</w:t>
            </w:r>
            <w:r w:rsidR="00F3689D" w:rsidRPr="005831B6">
              <w:rPr>
                <w:rFonts w:cs="Arial"/>
              </w:rPr>
              <w:t xml:space="preserve">ork and </w:t>
            </w:r>
            <w:r w:rsidRPr="005831B6">
              <w:rPr>
                <w:rFonts w:cs="Arial"/>
              </w:rPr>
              <w:t>P</w:t>
            </w:r>
            <w:r w:rsidR="00F3689D" w:rsidRPr="005831B6">
              <w:rPr>
                <w:rFonts w:cs="Arial"/>
              </w:rPr>
              <w:t>ensions</w:t>
            </w:r>
            <w:r w:rsidRPr="005831B6">
              <w:rPr>
                <w:rFonts w:cs="Arial"/>
              </w:rPr>
              <w:t>/Big Lottery</w:t>
            </w:r>
            <w:r w:rsidR="00581451" w:rsidRPr="005831B6">
              <w:rPr>
                <w:rFonts w:cs="Arial"/>
              </w:rPr>
              <w:t>, E</w:t>
            </w:r>
            <w:r w:rsidR="00F3689D" w:rsidRPr="005831B6">
              <w:rPr>
                <w:rFonts w:cs="Arial"/>
              </w:rPr>
              <w:t xml:space="preserve">ducation </w:t>
            </w:r>
            <w:r w:rsidR="00581451" w:rsidRPr="005831B6">
              <w:rPr>
                <w:rFonts w:cs="Arial"/>
              </w:rPr>
              <w:t>F</w:t>
            </w:r>
            <w:r w:rsidR="00F3689D" w:rsidRPr="005831B6">
              <w:rPr>
                <w:rFonts w:cs="Arial"/>
              </w:rPr>
              <w:t xml:space="preserve">unding </w:t>
            </w:r>
            <w:r w:rsidR="00581451" w:rsidRPr="005831B6">
              <w:rPr>
                <w:rFonts w:cs="Arial"/>
              </w:rPr>
              <w:t>A</w:t>
            </w:r>
            <w:r w:rsidR="00F3689D" w:rsidRPr="005831B6">
              <w:rPr>
                <w:rFonts w:cs="Arial"/>
              </w:rPr>
              <w:t>gency</w:t>
            </w:r>
            <w:r w:rsidR="00581451" w:rsidRPr="005831B6">
              <w:rPr>
                <w:rFonts w:cs="Arial"/>
              </w:rPr>
              <w:t>,</w:t>
            </w:r>
            <w:r w:rsidRPr="005831B6">
              <w:rPr>
                <w:rFonts w:cs="Arial"/>
              </w:rPr>
              <w:t xml:space="preserve"> Skills Funding Agency</w:t>
            </w:r>
            <w:r w:rsidR="00C107CE" w:rsidRPr="005831B6">
              <w:rPr>
                <w:rFonts w:cs="Arial"/>
              </w:rPr>
              <w:t>, local</w:t>
            </w:r>
            <w:r w:rsidR="00581451" w:rsidRPr="005831B6">
              <w:rPr>
                <w:rFonts w:cs="Arial"/>
              </w:rPr>
              <w:t xml:space="preserve"> authority</w:t>
            </w:r>
            <w:r w:rsidR="00C0243B" w:rsidRPr="005831B6">
              <w:rPr>
                <w:rFonts w:cs="Arial"/>
              </w:rPr>
              <w:t>,</w:t>
            </w:r>
            <w:r w:rsidR="00581451" w:rsidRPr="005831B6">
              <w:rPr>
                <w:rFonts w:cs="Arial"/>
              </w:rPr>
              <w:t xml:space="preserve"> </w:t>
            </w:r>
            <w:r w:rsidR="00C0243B" w:rsidRPr="005831B6">
              <w:rPr>
                <w:rFonts w:cs="Arial"/>
              </w:rPr>
              <w:t>N</w:t>
            </w:r>
            <w:r w:rsidR="00F3689D" w:rsidRPr="005831B6">
              <w:rPr>
                <w:rFonts w:cs="Arial"/>
              </w:rPr>
              <w:t xml:space="preserve">ational </w:t>
            </w:r>
            <w:r w:rsidR="00C0243B" w:rsidRPr="005831B6">
              <w:rPr>
                <w:rFonts w:cs="Arial"/>
              </w:rPr>
              <w:t>C</w:t>
            </w:r>
            <w:r w:rsidR="00F3689D" w:rsidRPr="005831B6">
              <w:rPr>
                <w:rFonts w:cs="Arial"/>
              </w:rPr>
              <w:t xml:space="preserve">areers </w:t>
            </w:r>
            <w:r w:rsidR="00C0243B" w:rsidRPr="005831B6">
              <w:rPr>
                <w:rFonts w:cs="Arial"/>
              </w:rPr>
              <w:t>S</w:t>
            </w:r>
            <w:r w:rsidR="00F3689D" w:rsidRPr="005831B6">
              <w:rPr>
                <w:rFonts w:cs="Arial"/>
              </w:rPr>
              <w:t>ervice</w:t>
            </w:r>
            <w:r w:rsidR="00C0243B" w:rsidRPr="005831B6">
              <w:rPr>
                <w:rFonts w:cs="Arial"/>
              </w:rPr>
              <w:t xml:space="preserve"> and the new Careers Enterprise Company </w:t>
            </w:r>
            <w:r w:rsidRPr="005831B6">
              <w:rPr>
                <w:rFonts w:cs="Arial"/>
              </w:rPr>
              <w:t xml:space="preserve">funded provision. </w:t>
            </w:r>
            <w:r w:rsidR="0006724D" w:rsidRPr="005831B6">
              <w:rPr>
                <w:rFonts w:cs="Arial"/>
              </w:rPr>
              <w:t xml:space="preserve"> </w:t>
            </w:r>
            <w:r w:rsidRPr="005831B6">
              <w:rPr>
                <w:rFonts w:cs="Arial"/>
              </w:rPr>
              <w:t xml:space="preserve">Successful </w:t>
            </w:r>
            <w:r w:rsidR="00C6219F" w:rsidRPr="005831B6">
              <w:rPr>
                <w:rFonts w:cs="Arial"/>
              </w:rPr>
              <w:t>candidate</w:t>
            </w:r>
            <w:r w:rsidRPr="005831B6">
              <w:rPr>
                <w:rFonts w:cs="Arial"/>
              </w:rPr>
              <w:t xml:space="preserve">s will be </w:t>
            </w:r>
            <w:r w:rsidRPr="005831B6">
              <w:rPr>
                <w:rFonts w:cs="Arial"/>
              </w:rPr>
              <w:lastRenderedPageBreak/>
              <w:t>required to ensure that ESF provision will clearly add value and not duplicate any provision that can be arranged locally through existing mainstream institutions.</w:t>
            </w:r>
          </w:p>
          <w:p w14:paraId="63771B2D" w14:textId="77777777" w:rsidR="00ED156A" w:rsidRPr="005831B6" w:rsidRDefault="00ED156A" w:rsidP="00A524B5">
            <w:pPr>
              <w:rPr>
                <w:rFonts w:cs="Arial"/>
              </w:rPr>
            </w:pPr>
          </w:p>
          <w:p w14:paraId="63771B2E" w14:textId="77777777" w:rsidR="00B957D0" w:rsidRPr="005831B6" w:rsidRDefault="00B957D0" w:rsidP="00B957D0">
            <w:pPr>
              <w:rPr>
                <w:rFonts w:cs="Arial"/>
              </w:rPr>
            </w:pPr>
            <w:r w:rsidRPr="005831B6">
              <w:rPr>
                <w:rFonts w:cs="Arial"/>
                <w:color w:val="000000"/>
                <w:sz w:val="23"/>
                <w:szCs w:val="23"/>
                <w:lang w:eastAsia="en-GB"/>
              </w:rPr>
              <w:t>ESF will not fund activity that duplicates or cuts across national policy on grants and loans for tuition for skills activities. Exemptions to this principle will be considered only where a market failure has been demonstrated and where the activity falls within the scope of the Operational Programme.</w:t>
            </w:r>
            <w:r w:rsidR="00EE24E6" w:rsidRPr="005831B6">
              <w:rPr>
                <w:rFonts w:cs="Arial"/>
                <w:color w:val="000000"/>
                <w:sz w:val="23"/>
                <w:szCs w:val="23"/>
                <w:lang w:eastAsia="en-GB"/>
              </w:rPr>
              <w:t xml:space="preserve">  This must be made clear in the candidate’s application.</w:t>
            </w:r>
            <w:r w:rsidR="005831B6" w:rsidRPr="005831B6">
              <w:rPr>
                <w:rFonts w:cs="Arial"/>
                <w:color w:val="000000"/>
                <w:sz w:val="23"/>
                <w:szCs w:val="23"/>
                <w:lang w:eastAsia="en-GB"/>
              </w:rPr>
              <w:t xml:space="preserve">  ESOL for employed people will not be accepted.</w:t>
            </w:r>
          </w:p>
          <w:p w14:paraId="63771B30" w14:textId="77777777" w:rsidR="00680FB0" w:rsidRPr="005831B6" w:rsidRDefault="00680FB0" w:rsidP="00A524B5">
            <w:pPr>
              <w:rPr>
                <w:rFonts w:cs="Arial"/>
              </w:rPr>
            </w:pPr>
          </w:p>
          <w:p w14:paraId="63771B31" w14:textId="77777777" w:rsidR="0031325C" w:rsidRPr="005831B6" w:rsidRDefault="00ED156A" w:rsidP="00A524B5">
            <w:pPr>
              <w:rPr>
                <w:rFonts w:cs="Arial"/>
                <w:b/>
                <w:i/>
              </w:rPr>
            </w:pPr>
            <w:r w:rsidRPr="005831B6">
              <w:rPr>
                <w:rFonts w:cs="Arial"/>
                <w:b/>
                <w:i/>
              </w:rPr>
              <w:t>Capacity and readiness to deliver</w:t>
            </w:r>
          </w:p>
          <w:p w14:paraId="63771B32" w14:textId="77777777" w:rsidR="00ED156A" w:rsidRPr="005831B6" w:rsidRDefault="00ED156A" w:rsidP="00ED156A">
            <w:pPr>
              <w:autoSpaceDE w:val="0"/>
              <w:autoSpaceDN w:val="0"/>
              <w:adjustRightInd w:val="0"/>
              <w:rPr>
                <w:rFonts w:cs="Arial"/>
              </w:rPr>
            </w:pPr>
            <w:r w:rsidRPr="005831B6">
              <w:rPr>
                <w:rFonts w:cs="Arial"/>
              </w:rPr>
              <w:t>Candidates must have:</w:t>
            </w:r>
          </w:p>
          <w:p w14:paraId="63771B33" w14:textId="77777777" w:rsidR="009707D1" w:rsidRDefault="00ED156A" w:rsidP="00957543">
            <w:pPr>
              <w:pStyle w:val="ListParagraph"/>
              <w:numPr>
                <w:ilvl w:val="0"/>
                <w:numId w:val="10"/>
              </w:numPr>
              <w:autoSpaceDE w:val="0"/>
              <w:autoSpaceDN w:val="0"/>
              <w:adjustRightInd w:val="0"/>
              <w:rPr>
                <w:rFonts w:cs="Arial"/>
                <w:strike/>
                <w:szCs w:val="22"/>
              </w:rPr>
            </w:pPr>
            <w:r w:rsidRPr="005831B6">
              <w:rPr>
                <w:rFonts w:cs="Arial"/>
                <w:szCs w:val="22"/>
              </w:rPr>
              <w:t>The resources to offer</w:t>
            </w:r>
            <w:r w:rsidR="003B0CB7" w:rsidRPr="005831B6">
              <w:rPr>
                <w:rFonts w:cs="Arial"/>
                <w:szCs w:val="22"/>
              </w:rPr>
              <w:t xml:space="preserve"> locally tailored solutions </w:t>
            </w:r>
            <w:r w:rsidRPr="005831B6">
              <w:rPr>
                <w:rFonts w:cs="Arial"/>
                <w:szCs w:val="22"/>
              </w:rPr>
              <w:t>and flexible delivery</w:t>
            </w:r>
            <w:r w:rsidR="005A1D76" w:rsidRPr="005831B6">
              <w:rPr>
                <w:rFonts w:cs="Arial"/>
                <w:szCs w:val="22"/>
              </w:rPr>
              <w:t xml:space="preserve"> </w:t>
            </w:r>
            <w:r w:rsidR="003B0CB7" w:rsidRPr="005831B6">
              <w:rPr>
                <w:rFonts w:cs="Arial"/>
                <w:szCs w:val="22"/>
              </w:rPr>
              <w:t xml:space="preserve">to meet the priorities of employers and employees in the </w:t>
            </w:r>
            <w:r w:rsidR="005A1D76" w:rsidRPr="005831B6">
              <w:rPr>
                <w:rFonts w:cs="Arial"/>
                <w:szCs w:val="22"/>
              </w:rPr>
              <w:t>defined geographical area of delivery</w:t>
            </w:r>
            <w:r w:rsidR="002F4192" w:rsidRPr="005831B6">
              <w:rPr>
                <w:rFonts w:cs="Arial"/>
                <w:szCs w:val="22"/>
              </w:rPr>
              <w:t xml:space="preserve">. If the </w:t>
            </w:r>
            <w:r w:rsidR="001A4B05" w:rsidRPr="005831B6">
              <w:rPr>
                <w:rFonts w:cs="Arial"/>
                <w:szCs w:val="22"/>
              </w:rPr>
              <w:t xml:space="preserve">LEP </w:t>
            </w:r>
            <w:r w:rsidR="002F4192" w:rsidRPr="005831B6">
              <w:rPr>
                <w:rFonts w:cs="Arial"/>
                <w:szCs w:val="22"/>
              </w:rPr>
              <w:t>area</w:t>
            </w:r>
            <w:r w:rsidR="001A4B05" w:rsidRPr="005831B6">
              <w:rPr>
                <w:rFonts w:cs="Arial"/>
                <w:szCs w:val="22"/>
              </w:rPr>
              <w:t xml:space="preserve"> also has a</w:t>
            </w:r>
            <w:r w:rsidR="002F4192" w:rsidRPr="005831B6">
              <w:rPr>
                <w:rFonts w:cs="Arial"/>
                <w:szCs w:val="22"/>
              </w:rPr>
              <w:t xml:space="preserve"> ‘transitional’  </w:t>
            </w:r>
            <w:r w:rsidR="001A4B05" w:rsidRPr="005831B6">
              <w:rPr>
                <w:rFonts w:cs="Arial"/>
                <w:szCs w:val="22"/>
              </w:rPr>
              <w:t xml:space="preserve">area defined in addition to the ‘more developed’ area, </w:t>
            </w:r>
            <w:r w:rsidR="002F4192" w:rsidRPr="005831B6">
              <w:rPr>
                <w:rFonts w:cs="Arial"/>
                <w:szCs w:val="22"/>
              </w:rPr>
              <w:t xml:space="preserve">delivery locations will have to be available </w:t>
            </w:r>
            <w:r w:rsidR="002F4192" w:rsidRPr="005831B6">
              <w:rPr>
                <w:rFonts w:cs="Arial"/>
                <w:i/>
                <w:szCs w:val="22"/>
              </w:rPr>
              <w:t>in each locality</w:t>
            </w:r>
          </w:p>
          <w:p w14:paraId="63771B34" w14:textId="77777777" w:rsidR="009707D1" w:rsidRDefault="00ED156A" w:rsidP="00957543">
            <w:pPr>
              <w:pStyle w:val="ListParagraph"/>
              <w:numPr>
                <w:ilvl w:val="0"/>
                <w:numId w:val="10"/>
              </w:numPr>
              <w:rPr>
                <w:rFonts w:cs="Arial"/>
                <w:lang w:eastAsia="en-GB"/>
              </w:rPr>
            </w:pPr>
            <w:r w:rsidRPr="005831B6">
              <w:rPr>
                <w:rFonts w:cs="Arial"/>
                <w:bCs/>
                <w:lang w:eastAsia="en-GB"/>
              </w:rPr>
              <w:t xml:space="preserve">The capacity to deliver </w:t>
            </w:r>
            <w:r w:rsidR="00261697" w:rsidRPr="005831B6">
              <w:rPr>
                <w:rFonts w:cs="Arial"/>
                <w:bCs/>
                <w:lang w:eastAsia="en-GB"/>
              </w:rPr>
              <w:t xml:space="preserve">the </w:t>
            </w:r>
            <w:r w:rsidR="00900291" w:rsidRPr="005831B6">
              <w:rPr>
                <w:rFonts w:cs="Arial"/>
                <w:bCs/>
                <w:lang w:eastAsia="en-GB"/>
              </w:rPr>
              <w:t xml:space="preserve">Service </w:t>
            </w:r>
            <w:r w:rsidRPr="005831B6">
              <w:rPr>
                <w:rFonts w:cs="Arial"/>
                <w:bCs/>
                <w:lang w:eastAsia="en-GB"/>
              </w:rPr>
              <w:t>immediately upon commencement of the contract and that delivery should not be delayed in any way by any recruitment processes or other processes or relationships that need to be established.</w:t>
            </w:r>
          </w:p>
          <w:p w14:paraId="63771B35" w14:textId="77777777" w:rsidR="009707D1" w:rsidRDefault="00261697" w:rsidP="00957543">
            <w:pPr>
              <w:pStyle w:val="ListParagraph"/>
              <w:numPr>
                <w:ilvl w:val="0"/>
                <w:numId w:val="10"/>
              </w:numPr>
              <w:rPr>
                <w:rFonts w:cs="Arial"/>
                <w:lang w:eastAsia="en-GB"/>
              </w:rPr>
            </w:pPr>
            <w:r w:rsidRPr="005831B6">
              <w:rPr>
                <w:rFonts w:cs="Arial"/>
                <w:lang w:eastAsia="en-GB"/>
              </w:rPr>
              <w:t xml:space="preserve">Where required, </w:t>
            </w:r>
            <w:r w:rsidR="00900291" w:rsidRPr="005831B6">
              <w:rPr>
                <w:rFonts w:cs="Arial"/>
                <w:lang w:eastAsia="en-GB"/>
              </w:rPr>
              <w:t>C</w:t>
            </w:r>
            <w:r w:rsidR="002F71DB" w:rsidRPr="005831B6">
              <w:rPr>
                <w:rFonts w:cs="Arial"/>
                <w:lang w:eastAsia="en-GB"/>
              </w:rPr>
              <w:t xml:space="preserve">andidates must be able to demonstrate the ability to undertake robust initial assessment of eligible individuals. </w:t>
            </w:r>
          </w:p>
          <w:p w14:paraId="63771B36" w14:textId="77777777" w:rsidR="00ED156A" w:rsidRPr="005831B6" w:rsidRDefault="00ED156A" w:rsidP="00515602">
            <w:pPr>
              <w:rPr>
                <w:rFonts w:cs="Arial"/>
                <w:lang w:eastAsia="en-GB"/>
              </w:rPr>
            </w:pPr>
          </w:p>
          <w:p w14:paraId="63771B39" w14:textId="77777777" w:rsidR="00ED156A" w:rsidRPr="005831B6" w:rsidRDefault="00ED156A" w:rsidP="00515602">
            <w:pPr>
              <w:rPr>
                <w:rFonts w:cs="Arial"/>
                <w:b/>
                <w:i/>
                <w:lang w:eastAsia="en-GB"/>
              </w:rPr>
            </w:pPr>
            <w:r w:rsidRPr="005831B6">
              <w:rPr>
                <w:rFonts w:cs="Arial"/>
                <w:b/>
                <w:i/>
                <w:lang w:eastAsia="en-GB"/>
              </w:rPr>
              <w:t>Track record</w:t>
            </w:r>
          </w:p>
          <w:p w14:paraId="63771B3A" w14:textId="77777777" w:rsidR="00ED156A" w:rsidRPr="005831B6" w:rsidRDefault="00812EC6" w:rsidP="00515602">
            <w:pPr>
              <w:rPr>
                <w:rFonts w:cs="Arial"/>
                <w:szCs w:val="22"/>
              </w:rPr>
            </w:pPr>
            <w:r w:rsidRPr="005831B6">
              <w:rPr>
                <w:rFonts w:cs="Arial"/>
              </w:rPr>
              <w:t>T</w:t>
            </w:r>
            <w:r w:rsidRPr="005831B6">
              <w:rPr>
                <w:rFonts w:cs="Arial"/>
                <w:szCs w:val="22"/>
              </w:rPr>
              <w:t>he ability to deliver the</w:t>
            </w:r>
            <w:r w:rsidR="00900291" w:rsidRPr="005831B6">
              <w:rPr>
                <w:rFonts w:cs="Arial"/>
                <w:szCs w:val="22"/>
              </w:rPr>
              <w:t xml:space="preserve"> Service</w:t>
            </w:r>
            <w:r w:rsidRPr="005831B6">
              <w:rPr>
                <w:rFonts w:cs="Arial"/>
                <w:szCs w:val="22"/>
              </w:rPr>
              <w:t xml:space="preserve">, based on a track record in the successful delivery and management of this type </w:t>
            </w:r>
            <w:r w:rsidR="00273291" w:rsidRPr="005831B6">
              <w:rPr>
                <w:rFonts w:cs="Arial"/>
                <w:szCs w:val="22"/>
              </w:rPr>
              <w:t xml:space="preserve">and size </w:t>
            </w:r>
            <w:r w:rsidRPr="005831B6">
              <w:rPr>
                <w:rFonts w:cs="Arial"/>
                <w:szCs w:val="22"/>
              </w:rPr>
              <w:t>of programme</w:t>
            </w:r>
            <w:r w:rsidR="008C2129" w:rsidRPr="005831B6">
              <w:rPr>
                <w:rFonts w:cs="Arial"/>
                <w:szCs w:val="22"/>
              </w:rPr>
              <w:t>.</w:t>
            </w:r>
          </w:p>
          <w:p w14:paraId="63771B3B" w14:textId="77777777" w:rsidR="00E43DDB" w:rsidRPr="005831B6" w:rsidRDefault="00E43DDB" w:rsidP="00515602">
            <w:pPr>
              <w:rPr>
                <w:rFonts w:cs="Arial"/>
                <w:szCs w:val="22"/>
              </w:rPr>
            </w:pPr>
          </w:p>
          <w:p w14:paraId="63771B3C" w14:textId="77777777" w:rsidR="00E43DDB" w:rsidRPr="005831B6" w:rsidRDefault="00E43DDB" w:rsidP="00E43DDB">
            <w:pPr>
              <w:rPr>
                <w:rFonts w:cs="Arial"/>
                <w:b/>
                <w:i/>
                <w:lang w:eastAsia="en-GB"/>
              </w:rPr>
            </w:pPr>
            <w:r w:rsidRPr="005831B6">
              <w:rPr>
                <w:rFonts w:cs="Arial"/>
                <w:b/>
                <w:i/>
                <w:lang w:eastAsia="en-GB"/>
              </w:rPr>
              <w:t>Information, Advice and Guidance</w:t>
            </w:r>
          </w:p>
          <w:p w14:paraId="63771B3D" w14:textId="77777777" w:rsidR="00E43DDB" w:rsidRPr="005831B6" w:rsidRDefault="00E43DDB" w:rsidP="00E43DDB">
            <w:pPr>
              <w:rPr>
                <w:rFonts w:cs="Arial"/>
                <w:lang w:eastAsia="en-GB"/>
              </w:rPr>
            </w:pPr>
            <w:r w:rsidRPr="005831B6">
              <w:rPr>
                <w:rFonts w:cs="Arial"/>
                <w:lang w:eastAsia="en-GB"/>
              </w:rPr>
              <w:t xml:space="preserve">Where the </w:t>
            </w:r>
            <w:r w:rsidR="00900291" w:rsidRPr="005831B6">
              <w:rPr>
                <w:rFonts w:cs="Arial"/>
                <w:lang w:eastAsia="en-GB"/>
              </w:rPr>
              <w:t xml:space="preserve">Service </w:t>
            </w:r>
            <w:r w:rsidRPr="005831B6">
              <w:rPr>
                <w:rFonts w:cs="Arial"/>
                <w:lang w:eastAsia="en-GB"/>
              </w:rPr>
              <w:t>requires effective Information, Advice and Guidance successful</w:t>
            </w:r>
            <w:r w:rsidR="005831B6" w:rsidRPr="005831B6">
              <w:rPr>
                <w:rFonts w:cs="Arial"/>
                <w:lang w:eastAsia="en-GB"/>
              </w:rPr>
              <w:t xml:space="preserve"> </w:t>
            </w:r>
            <w:r w:rsidR="00900291" w:rsidRPr="005831B6">
              <w:rPr>
                <w:rFonts w:cs="Arial"/>
                <w:lang w:eastAsia="en-GB"/>
              </w:rPr>
              <w:t xml:space="preserve">Candidates </w:t>
            </w:r>
            <w:r w:rsidRPr="005831B6">
              <w:rPr>
                <w:rFonts w:cs="Arial"/>
                <w:lang w:eastAsia="en-GB"/>
              </w:rPr>
              <w:t>and/or subcontractors delivering this element will either hold or be</w:t>
            </w:r>
            <w:r w:rsidR="005831B6" w:rsidRPr="005831B6">
              <w:rPr>
                <w:rFonts w:cs="Arial"/>
                <w:lang w:eastAsia="en-GB"/>
              </w:rPr>
              <w:t xml:space="preserve"> </w:t>
            </w:r>
            <w:r w:rsidRPr="005831B6">
              <w:rPr>
                <w:rFonts w:cs="Arial"/>
                <w:lang w:eastAsia="en-GB"/>
              </w:rPr>
              <w:t>working towards the Matrix standard.</w:t>
            </w:r>
          </w:p>
          <w:p w14:paraId="63771B3E" w14:textId="77777777" w:rsidR="00E43DDB" w:rsidRPr="005831B6" w:rsidRDefault="00E43DDB" w:rsidP="00E43DDB">
            <w:pPr>
              <w:rPr>
                <w:rFonts w:cs="Arial"/>
                <w:lang w:eastAsia="en-GB"/>
              </w:rPr>
            </w:pPr>
          </w:p>
          <w:p w14:paraId="63771B3F" w14:textId="77777777" w:rsidR="00ED156A" w:rsidRPr="005831B6" w:rsidRDefault="002E25F4" w:rsidP="00A524B5">
            <w:pPr>
              <w:rPr>
                <w:rFonts w:cs="Arial"/>
              </w:rPr>
            </w:pPr>
            <w:r w:rsidRPr="005831B6">
              <w:rPr>
                <w:rFonts w:cs="Arial"/>
                <w:b/>
                <w:i/>
              </w:rPr>
              <w:t>Management and quality assurance</w:t>
            </w:r>
          </w:p>
          <w:p w14:paraId="63771B40" w14:textId="77777777" w:rsidR="002E25F4" w:rsidRPr="005831B6" w:rsidRDefault="002E25F4" w:rsidP="00A524B5">
            <w:pPr>
              <w:rPr>
                <w:rFonts w:cs="Arial"/>
              </w:rPr>
            </w:pPr>
            <w:r w:rsidRPr="005831B6">
              <w:rPr>
                <w:rFonts w:cs="Arial"/>
              </w:rPr>
              <w:t xml:space="preserve">Candidates will need to have effective </w:t>
            </w:r>
            <w:r w:rsidR="008C2129" w:rsidRPr="005831B6">
              <w:rPr>
                <w:rFonts w:cs="Arial"/>
              </w:rPr>
              <w:t xml:space="preserve">project </w:t>
            </w:r>
            <w:r w:rsidRPr="005831B6">
              <w:rPr>
                <w:rFonts w:cs="Arial"/>
              </w:rPr>
              <w:t>management arrangements in place to ensure all of the req</w:t>
            </w:r>
            <w:r w:rsidR="001E712C" w:rsidRPr="005831B6">
              <w:rPr>
                <w:rFonts w:cs="Arial"/>
              </w:rPr>
              <w:t>uirements of this specification are fulfilled</w:t>
            </w:r>
            <w:r w:rsidRPr="005831B6">
              <w:rPr>
                <w:rFonts w:cs="Arial"/>
              </w:rPr>
              <w:t xml:space="preserve">. </w:t>
            </w:r>
            <w:r w:rsidR="00F45857" w:rsidRPr="005831B6">
              <w:rPr>
                <w:rFonts w:cs="Arial"/>
              </w:rPr>
              <w:t xml:space="preserve"> </w:t>
            </w:r>
            <w:r w:rsidRPr="005831B6">
              <w:rPr>
                <w:rFonts w:cs="Arial"/>
              </w:rPr>
              <w:t>The Service must be delivered to a high quality and successful tenderers will need to have in place quality assurance and improvement processes.</w:t>
            </w:r>
          </w:p>
          <w:p w14:paraId="63771B41" w14:textId="77777777" w:rsidR="00B06A9F" w:rsidRPr="005831B6" w:rsidRDefault="00B06A9F" w:rsidP="00A524B5">
            <w:pPr>
              <w:rPr>
                <w:rFonts w:cs="Arial"/>
              </w:rPr>
            </w:pPr>
          </w:p>
          <w:p w14:paraId="63771B42" w14:textId="77777777" w:rsidR="00B06A9F" w:rsidRPr="005831B6" w:rsidRDefault="00B06A9F" w:rsidP="00515602">
            <w:pPr>
              <w:rPr>
                <w:rFonts w:cs="Arial"/>
              </w:rPr>
            </w:pPr>
            <w:r w:rsidRPr="005831B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 accordingly.  </w:t>
            </w:r>
          </w:p>
          <w:p w14:paraId="63771B43" w14:textId="77777777" w:rsidR="001A4B05" w:rsidRPr="005831B6" w:rsidRDefault="001A4B05" w:rsidP="00A524B5">
            <w:pPr>
              <w:rPr>
                <w:rFonts w:cs="Arial"/>
              </w:rPr>
            </w:pPr>
          </w:p>
          <w:p w14:paraId="63771B44" w14:textId="77777777" w:rsidR="002E25F4" w:rsidRPr="005831B6" w:rsidRDefault="002E25F4" w:rsidP="00A524B5">
            <w:pPr>
              <w:rPr>
                <w:rFonts w:cs="Arial"/>
              </w:rPr>
            </w:pPr>
            <w:r w:rsidRPr="005831B6">
              <w:rPr>
                <w:rFonts w:cs="Arial"/>
                <w:b/>
                <w:i/>
              </w:rPr>
              <w:t>Partnership working</w:t>
            </w:r>
          </w:p>
          <w:p w14:paraId="63771B45" w14:textId="77777777" w:rsidR="002E25F4" w:rsidRPr="005831B6" w:rsidRDefault="002E25F4" w:rsidP="00A524B5">
            <w:pPr>
              <w:rPr>
                <w:rFonts w:cs="Arial"/>
              </w:rPr>
            </w:pPr>
            <w:r w:rsidRPr="005831B6">
              <w:rPr>
                <w:rFonts w:cs="Arial"/>
              </w:rPr>
              <w:t>Candidates will be required to work in partnership with other organisations delivering education and training in the area to ensure the Service is complementary to and not in competition with other funded provision</w:t>
            </w:r>
            <w:r w:rsidR="00261697" w:rsidRPr="005831B6">
              <w:rPr>
                <w:rFonts w:cs="Arial"/>
              </w:rPr>
              <w:t xml:space="preserve"> or projects</w:t>
            </w:r>
            <w:r w:rsidRPr="005831B6">
              <w:rPr>
                <w:rFonts w:cs="Arial"/>
              </w:rPr>
              <w:t>.</w:t>
            </w:r>
          </w:p>
          <w:p w14:paraId="63771B46" w14:textId="77777777" w:rsidR="002E25F4" w:rsidRPr="005831B6" w:rsidRDefault="002E25F4" w:rsidP="00A524B5">
            <w:pPr>
              <w:rPr>
                <w:rFonts w:cs="Arial"/>
              </w:rPr>
            </w:pPr>
          </w:p>
          <w:p w14:paraId="63771B47" w14:textId="77777777" w:rsidR="002E25F4" w:rsidRPr="005831B6" w:rsidRDefault="002E25F4" w:rsidP="00A524B5">
            <w:pPr>
              <w:rPr>
                <w:rFonts w:cs="Arial"/>
              </w:rPr>
            </w:pPr>
            <w:r w:rsidRPr="005831B6">
              <w:rPr>
                <w:rFonts w:cs="Arial"/>
              </w:rPr>
              <w:lastRenderedPageBreak/>
              <w:t xml:space="preserve">The Service must be able to respond to changing local needs and opportunities, as well as policy changes. </w:t>
            </w:r>
          </w:p>
          <w:p w14:paraId="63771B48" w14:textId="77777777" w:rsidR="00ED156A" w:rsidRPr="005831B6" w:rsidRDefault="00ED156A" w:rsidP="00A524B5">
            <w:pPr>
              <w:rPr>
                <w:rFonts w:cs="Arial"/>
              </w:rPr>
            </w:pPr>
          </w:p>
          <w:p w14:paraId="63771B49" w14:textId="77777777" w:rsidR="002E25F4" w:rsidRPr="005831B6" w:rsidRDefault="00ED156A" w:rsidP="00C107CE">
            <w:pPr>
              <w:autoSpaceDE w:val="0"/>
              <w:autoSpaceDN w:val="0"/>
              <w:adjustRightInd w:val="0"/>
              <w:rPr>
                <w:rFonts w:cs="Arial"/>
              </w:rPr>
            </w:pPr>
            <w:r w:rsidRPr="005831B6">
              <w:rPr>
                <w:rFonts w:cs="Arial"/>
              </w:rPr>
              <w:t xml:space="preserve">Candidates will be required to establish linkages with and have an understanding of, local stakeholder needs and develop strong links with the key stakeholders. </w:t>
            </w:r>
          </w:p>
          <w:p w14:paraId="63771B4A" w14:textId="77777777" w:rsidR="00C0243B" w:rsidRPr="005831B6" w:rsidRDefault="00C0243B" w:rsidP="00A524B5">
            <w:pPr>
              <w:rPr>
                <w:rFonts w:cs="Arial"/>
              </w:rPr>
            </w:pPr>
          </w:p>
          <w:p w14:paraId="63771B4C" w14:textId="77777777" w:rsidR="002E25F4" w:rsidRPr="005831B6" w:rsidRDefault="002E25F4" w:rsidP="00A524B5">
            <w:pPr>
              <w:rPr>
                <w:rFonts w:cs="Arial"/>
              </w:rPr>
            </w:pPr>
            <w:r w:rsidRPr="005831B6">
              <w:rPr>
                <w:rFonts w:cs="Arial"/>
                <w:b/>
                <w:i/>
              </w:rPr>
              <w:t>Market intelligence and local knowledge</w:t>
            </w:r>
          </w:p>
          <w:p w14:paraId="63771B4D" w14:textId="77777777" w:rsidR="002E25F4" w:rsidRPr="005831B6" w:rsidRDefault="002E25F4" w:rsidP="00BC7F87">
            <w:pPr>
              <w:autoSpaceDE w:val="0"/>
              <w:autoSpaceDN w:val="0"/>
              <w:adjustRightInd w:val="0"/>
              <w:ind w:left="29"/>
              <w:rPr>
                <w:rFonts w:cs="Arial"/>
                <w:strike/>
                <w:szCs w:val="22"/>
              </w:rPr>
            </w:pPr>
            <w:r w:rsidRPr="005831B6">
              <w:rPr>
                <w:rFonts w:cs="Arial"/>
              </w:rPr>
              <w:t>The delivery of the Service must take into account the current and future social and economic indicators including labour market</w:t>
            </w:r>
            <w:r w:rsidR="00BC7F87" w:rsidRPr="005831B6">
              <w:rPr>
                <w:rFonts w:cs="Arial"/>
              </w:rPr>
              <w:t xml:space="preserve"> intelligence. Candidates must be able to demonstrate a</w:t>
            </w:r>
            <w:r w:rsidR="00812EC6" w:rsidRPr="005831B6">
              <w:rPr>
                <w:rFonts w:cs="Arial"/>
                <w:szCs w:val="22"/>
              </w:rPr>
              <w:t xml:space="preserve"> comprehensive understanding of the current employment market and the c</w:t>
            </w:r>
            <w:r w:rsidR="00812EC6" w:rsidRPr="005831B6">
              <w:rPr>
                <w:rFonts w:cs="Arial"/>
              </w:rPr>
              <w:t>urrent and future social and economic indicators including labour market intelligence</w:t>
            </w:r>
            <w:r w:rsidR="00BC7F87" w:rsidRPr="005831B6">
              <w:rPr>
                <w:rFonts w:cs="Arial"/>
              </w:rPr>
              <w:t xml:space="preserve"> for the geographical area being supported</w:t>
            </w:r>
            <w:r w:rsidR="00885437" w:rsidRPr="005831B6">
              <w:rPr>
                <w:rFonts w:cs="Arial"/>
              </w:rPr>
              <w:t xml:space="preserve">. Candidates must also have an understanding of local skills shortages and gaps and any existing skills support structures within the LEP area. </w:t>
            </w:r>
          </w:p>
          <w:p w14:paraId="63771B4E" w14:textId="77777777" w:rsidR="00812EC6" w:rsidRPr="005831B6" w:rsidRDefault="00812EC6" w:rsidP="00A524B5">
            <w:pPr>
              <w:rPr>
                <w:rFonts w:cs="Arial"/>
              </w:rPr>
            </w:pPr>
          </w:p>
          <w:p w14:paraId="63771B4F" w14:textId="77777777" w:rsidR="002E25F4" w:rsidRPr="005831B6" w:rsidRDefault="002E25F4" w:rsidP="00A524B5">
            <w:pPr>
              <w:pStyle w:val="letteredlist"/>
              <w:numPr>
                <w:ilvl w:val="0"/>
                <w:numId w:val="0"/>
              </w:numPr>
              <w:spacing w:after="0"/>
              <w:ind w:left="29"/>
              <w:rPr>
                <w:b/>
                <w:i/>
              </w:rPr>
            </w:pPr>
            <w:r w:rsidRPr="005831B6">
              <w:rPr>
                <w:b/>
                <w:i/>
              </w:rPr>
              <w:t>Management information and reporting</w:t>
            </w:r>
          </w:p>
          <w:p w14:paraId="63771B50" w14:textId="77777777" w:rsidR="002E25F4" w:rsidRPr="005831B6" w:rsidRDefault="002E25F4" w:rsidP="00A524B5">
            <w:pPr>
              <w:rPr>
                <w:rFonts w:cs="Arial"/>
              </w:rPr>
            </w:pPr>
            <w:r w:rsidRPr="005831B6">
              <w:t xml:space="preserve">Candidates will develop management information systems to enable it to submit data to the Skills Funding Agency via </w:t>
            </w:r>
            <w:r w:rsidR="00971956" w:rsidRPr="005831B6">
              <w:t xml:space="preserve">Supplementary Data (and </w:t>
            </w:r>
            <w:r w:rsidRPr="005831B6">
              <w:t xml:space="preserve">the Individual Learner Record </w:t>
            </w:r>
            <w:r w:rsidR="00F20E79" w:rsidRPr="005831B6">
              <w:t xml:space="preserve">(ILR) </w:t>
            </w:r>
            <w:r w:rsidR="00971956" w:rsidRPr="005831B6">
              <w:t xml:space="preserve">where the project pays on starts, achievements or progressions) </w:t>
            </w:r>
            <w:r w:rsidRPr="005831B6">
              <w:t xml:space="preserve">and put in place robust arrangements for ensuring that the evidence required to support payments is collected and retained.  </w:t>
            </w:r>
          </w:p>
          <w:p w14:paraId="63771B51" w14:textId="77777777" w:rsidR="002E25F4" w:rsidRPr="005831B6" w:rsidRDefault="002E25F4" w:rsidP="00A524B5">
            <w:pPr>
              <w:rPr>
                <w:rFonts w:cs="Arial"/>
              </w:rPr>
            </w:pPr>
          </w:p>
          <w:p w14:paraId="63771B52" w14:textId="77777777" w:rsidR="00745DD8" w:rsidRPr="005831B6" w:rsidRDefault="002E25F4" w:rsidP="00A524B5">
            <w:pPr>
              <w:rPr>
                <w:rFonts w:cs="Arial"/>
                <w:strike/>
              </w:rPr>
            </w:pPr>
            <w:r w:rsidRPr="005831B6">
              <w:rPr>
                <w:rFonts w:cs="Arial"/>
              </w:rPr>
              <w:t xml:space="preserve">Candidates will be required to share with LEPs </w:t>
            </w:r>
            <w:r w:rsidR="00025EF8" w:rsidRPr="005831B6">
              <w:rPr>
                <w:rFonts w:cs="Arial"/>
              </w:rPr>
              <w:t xml:space="preserve">and the Skills Funding Agency </w:t>
            </w:r>
            <w:r w:rsidRPr="005831B6">
              <w:rPr>
                <w:rFonts w:cs="Arial"/>
              </w:rPr>
              <w:t xml:space="preserve">ongoing performance management data as well as additional intelligence to improve the effectiveness </w:t>
            </w:r>
            <w:r w:rsidR="002F71DB" w:rsidRPr="005831B6">
              <w:rPr>
                <w:rFonts w:cs="Arial"/>
              </w:rPr>
              <w:t xml:space="preserve">of </w:t>
            </w:r>
            <w:r w:rsidR="006B0A4D" w:rsidRPr="005831B6">
              <w:rPr>
                <w:rFonts w:cs="Arial"/>
              </w:rPr>
              <w:t>projects in the LEP area in the future</w:t>
            </w:r>
            <w:r w:rsidR="00745DD8" w:rsidRPr="005831B6">
              <w:rPr>
                <w:rFonts w:cs="Arial"/>
                <w:strike/>
              </w:rPr>
              <w:t>.</w:t>
            </w:r>
          </w:p>
          <w:p w14:paraId="63771B53" w14:textId="77777777" w:rsidR="00745DD8" w:rsidRPr="005831B6" w:rsidRDefault="00745DD8" w:rsidP="00A524B5">
            <w:pPr>
              <w:rPr>
                <w:rFonts w:cs="Arial"/>
                <w:strike/>
              </w:rPr>
            </w:pPr>
          </w:p>
          <w:p w14:paraId="63771B54" w14:textId="77777777" w:rsidR="00745DD8" w:rsidRPr="005831B6" w:rsidRDefault="00745DD8" w:rsidP="00A524B5">
            <w:pPr>
              <w:rPr>
                <w:rFonts w:cs="Arial"/>
              </w:rPr>
            </w:pPr>
            <w:r w:rsidRPr="005831B6">
              <w:rPr>
                <w:rFonts w:cs="Arial"/>
              </w:rPr>
              <w:t>Candidates will be required to evaluate the effectiveness of the project as it completes and present the final evaluation report to the LEP.</w:t>
            </w:r>
          </w:p>
          <w:p w14:paraId="63771B55" w14:textId="77777777" w:rsidR="00745DD8" w:rsidRPr="005831B6" w:rsidRDefault="00745DD8" w:rsidP="009E7A30">
            <w:pPr>
              <w:rPr>
                <w:rFonts w:cs="Arial"/>
              </w:rPr>
            </w:pPr>
          </w:p>
          <w:p w14:paraId="63771B57" w14:textId="77777777" w:rsidR="00EA180F" w:rsidRPr="005831B6" w:rsidRDefault="00EA180F" w:rsidP="009E7A30">
            <w:pPr>
              <w:rPr>
                <w:rFonts w:cs="Arial"/>
                <w:b/>
              </w:rPr>
            </w:pPr>
            <w:r w:rsidRPr="005831B6">
              <w:rPr>
                <w:rFonts w:cs="Arial"/>
                <w:b/>
              </w:rPr>
              <w:t>Specific Service Requirements</w:t>
            </w:r>
          </w:p>
          <w:p w14:paraId="63771B58" w14:textId="77777777" w:rsidR="00FD6B67" w:rsidRPr="005831B6" w:rsidRDefault="00FD6B67" w:rsidP="009E7A30">
            <w:pPr>
              <w:rPr>
                <w:rFonts w:cs="Arial"/>
                <w:b/>
              </w:rPr>
            </w:pPr>
          </w:p>
          <w:p w14:paraId="63771B59" w14:textId="77777777" w:rsidR="00B957D0" w:rsidRPr="005831B6" w:rsidRDefault="00DE33D5" w:rsidP="009E7A30">
            <w:pPr>
              <w:rPr>
                <w:rFonts w:cs="Arial"/>
              </w:rPr>
            </w:pPr>
            <w:r>
              <w:rPr>
                <w:rFonts w:cs="Arial"/>
              </w:rPr>
              <w:t xml:space="preserve">The aim of the Service </w:t>
            </w:r>
            <w:r w:rsidR="003E377D">
              <w:rPr>
                <w:rFonts w:cs="Arial"/>
              </w:rPr>
              <w:t>is to</w:t>
            </w:r>
            <w:r>
              <w:rPr>
                <w:rFonts w:cs="Arial"/>
              </w:rPr>
              <w:t xml:space="preserve"> </w:t>
            </w:r>
            <w:r w:rsidR="00B957D0" w:rsidRPr="005831B6">
              <w:rPr>
                <w:rFonts w:cs="Arial"/>
              </w:rPr>
              <w:t>make education and training provision more responsive to the needs of the economy, so that employers’ skills needs are more quickly and more effectively met, and individuals receive better designed skills provision which equips them for the world of work.</w:t>
            </w:r>
          </w:p>
          <w:p w14:paraId="63771B5A" w14:textId="77777777" w:rsidR="00B957D0" w:rsidRPr="005831B6" w:rsidRDefault="00B957D0" w:rsidP="009E7A30">
            <w:pPr>
              <w:rPr>
                <w:rFonts w:cs="Arial"/>
              </w:rPr>
            </w:pPr>
          </w:p>
          <w:p w14:paraId="63771B5B" w14:textId="0023468A" w:rsidR="00971956" w:rsidRPr="005831B6" w:rsidRDefault="00DE33D5" w:rsidP="009E7A30">
            <w:pPr>
              <w:rPr>
                <w:rFonts w:cs="Arial"/>
              </w:rPr>
            </w:pPr>
            <w:r>
              <w:rPr>
                <w:rFonts w:cs="Arial"/>
              </w:rPr>
              <w:t>T</w:t>
            </w:r>
            <w:r w:rsidR="005B0247" w:rsidRPr="005831B6">
              <w:rPr>
                <w:rFonts w:cs="Arial"/>
              </w:rPr>
              <w:t>he</w:t>
            </w:r>
            <w:r w:rsidR="00074F50" w:rsidRPr="005831B6">
              <w:rPr>
                <w:rFonts w:cs="Arial"/>
              </w:rPr>
              <w:t xml:space="preserve"> </w:t>
            </w:r>
            <w:r w:rsidR="003E377D" w:rsidRPr="005831B6">
              <w:rPr>
                <w:rFonts w:cs="Arial"/>
              </w:rPr>
              <w:t xml:space="preserve">Service </w:t>
            </w:r>
            <w:r w:rsidR="003E377D">
              <w:rPr>
                <w:rFonts w:cs="Arial"/>
              </w:rPr>
              <w:t xml:space="preserve">must </w:t>
            </w:r>
            <w:r w:rsidR="003E377D" w:rsidRPr="005831B6">
              <w:rPr>
                <w:rFonts w:cs="Arial"/>
              </w:rPr>
              <w:t>promote</w:t>
            </w:r>
            <w:r w:rsidR="00B957D0" w:rsidRPr="005831B6">
              <w:rPr>
                <w:rFonts w:cs="Arial"/>
              </w:rPr>
              <w:t xml:space="preserve"> improvements in the labour market relevance of skills provision through active engagement with relevant institutions and employers, particularly SMEs and </w:t>
            </w:r>
            <w:r w:rsidR="006769F7">
              <w:rPr>
                <w:rFonts w:cs="Arial"/>
              </w:rPr>
              <w:t>m</w:t>
            </w:r>
            <w:r w:rsidR="00B957D0" w:rsidRPr="005831B6">
              <w:rPr>
                <w:rFonts w:cs="Arial"/>
              </w:rPr>
              <w:t>icro businesses.</w:t>
            </w:r>
          </w:p>
          <w:p w14:paraId="63771B5C" w14:textId="77777777" w:rsidR="00971956" w:rsidRPr="005831B6" w:rsidRDefault="00971956" w:rsidP="009E7A30">
            <w:pPr>
              <w:rPr>
                <w:rFonts w:cs="Arial"/>
              </w:rPr>
            </w:pPr>
          </w:p>
          <w:p w14:paraId="63771B5E" w14:textId="33A10558" w:rsidR="00E11AC3" w:rsidRPr="000B478B" w:rsidRDefault="00DE33D5" w:rsidP="005B0247">
            <w:pPr>
              <w:rPr>
                <w:rFonts w:cs="Arial"/>
              </w:rPr>
            </w:pPr>
            <w:r>
              <w:rPr>
                <w:rFonts w:cs="Arial"/>
              </w:rPr>
              <w:t xml:space="preserve">The </w:t>
            </w:r>
            <w:r w:rsidR="003E377D">
              <w:rPr>
                <w:rFonts w:cs="Arial"/>
              </w:rPr>
              <w:t>Service must</w:t>
            </w:r>
            <w:r>
              <w:rPr>
                <w:rFonts w:cs="Arial"/>
              </w:rPr>
              <w:t xml:space="preserve"> </w:t>
            </w:r>
            <w:r w:rsidR="00B10AD3">
              <w:rPr>
                <w:rFonts w:cs="Arial"/>
              </w:rPr>
              <w:t xml:space="preserve">set up and manage a Skills Factory </w:t>
            </w:r>
            <w:r w:rsidR="005B0247" w:rsidRPr="000B478B">
              <w:rPr>
                <w:rFonts w:cs="Arial"/>
              </w:rPr>
              <w:t xml:space="preserve">to increase the number of suitably qualified staff, in response to employer need and demand in our Growth Sectors. </w:t>
            </w:r>
            <w:r w:rsidR="00B10AD3">
              <w:rPr>
                <w:rFonts w:cs="Arial"/>
              </w:rPr>
              <w:t xml:space="preserve">This will </w:t>
            </w:r>
            <w:r w:rsidR="00B10AD3" w:rsidRPr="000B478B">
              <w:rPr>
                <w:rFonts w:cs="Arial"/>
              </w:rPr>
              <w:t xml:space="preserve">build upon the work currently being delivered in the sub-region </w:t>
            </w:r>
            <w:r w:rsidR="00B10AD3">
              <w:rPr>
                <w:rFonts w:cs="Arial"/>
              </w:rPr>
              <w:t>and</w:t>
            </w:r>
            <w:r w:rsidR="00B10AD3" w:rsidRPr="000B478B">
              <w:rPr>
                <w:rFonts w:cs="Arial"/>
              </w:rPr>
              <w:t xml:space="preserve"> provide an employer led e</w:t>
            </w:r>
            <w:r w:rsidR="00B10AD3">
              <w:rPr>
                <w:rFonts w:cs="Arial"/>
              </w:rPr>
              <w:t>ducation and training programme.</w:t>
            </w:r>
          </w:p>
          <w:p w14:paraId="63771B5F" w14:textId="77777777" w:rsidR="005B0247" w:rsidRPr="000B478B" w:rsidRDefault="005B0247" w:rsidP="005B0247">
            <w:pPr>
              <w:rPr>
                <w:rFonts w:cs="Arial"/>
              </w:rPr>
            </w:pPr>
            <w:r w:rsidRPr="000B478B">
              <w:rPr>
                <w:rFonts w:cs="Arial"/>
              </w:rPr>
              <w:t xml:space="preserve"> </w:t>
            </w:r>
          </w:p>
          <w:p w14:paraId="63771B60" w14:textId="77777777" w:rsidR="005B0247" w:rsidRPr="000B478B" w:rsidRDefault="005B0247" w:rsidP="005B0247">
            <w:pPr>
              <w:rPr>
                <w:rFonts w:cs="Arial"/>
              </w:rPr>
            </w:pPr>
            <w:r w:rsidRPr="000B478B">
              <w:rPr>
                <w:rFonts w:cs="Arial"/>
              </w:rPr>
              <w:t xml:space="preserve">There are four strands to the </w:t>
            </w:r>
            <w:r w:rsidR="00DE33D5">
              <w:rPr>
                <w:rFonts w:cs="Arial"/>
              </w:rPr>
              <w:t>S</w:t>
            </w:r>
            <w:r w:rsidR="00DB7C1E">
              <w:rPr>
                <w:rFonts w:cs="Arial"/>
              </w:rPr>
              <w:t>ervice</w:t>
            </w:r>
            <w:r w:rsidRPr="000B478B">
              <w:rPr>
                <w:rFonts w:cs="Arial"/>
              </w:rPr>
              <w:t>:</w:t>
            </w:r>
          </w:p>
          <w:p w14:paraId="63771B61" w14:textId="77777777" w:rsidR="00E11AC3" w:rsidRDefault="00E11AC3" w:rsidP="005B0247">
            <w:pPr>
              <w:rPr>
                <w:rFonts w:cs="Arial"/>
              </w:rPr>
            </w:pPr>
          </w:p>
          <w:p w14:paraId="63771B62" w14:textId="77777777" w:rsidR="00B10AD3" w:rsidRDefault="00B10AD3" w:rsidP="00B10AD3">
            <w:pPr>
              <w:rPr>
                <w:rFonts w:cs="Arial"/>
              </w:rPr>
            </w:pPr>
            <w:r>
              <w:rPr>
                <w:rFonts w:cs="Arial"/>
              </w:rPr>
              <w:t>1</w:t>
            </w:r>
            <w:r w:rsidRPr="000B478B">
              <w:rPr>
                <w:rFonts w:cs="Arial"/>
              </w:rPr>
              <w:t xml:space="preserve">. Skills Factory Brand: Establish </w:t>
            </w:r>
            <w:r>
              <w:rPr>
                <w:rFonts w:cs="Arial"/>
              </w:rPr>
              <w:t>a</w:t>
            </w:r>
            <w:r w:rsidRPr="000B478B">
              <w:rPr>
                <w:rFonts w:cs="Arial"/>
              </w:rPr>
              <w:t xml:space="preserve"> Skills Factory as a first point of contact in the region for skills development in growth sectors.</w:t>
            </w:r>
            <w:r>
              <w:rPr>
                <w:rFonts w:cs="Arial"/>
              </w:rPr>
              <w:t xml:space="preserve"> The Skills Factory should have a </w:t>
            </w:r>
            <w:r>
              <w:rPr>
                <w:rFonts w:cs="Arial"/>
              </w:rPr>
              <w:lastRenderedPageBreak/>
              <w:t xml:space="preserve">physical presence in the Black Country through, for example, a team of advisors who offer businesses impartial advice on up-skilling, apprenticeships, training and networking to develop a pipeline of suitably skilled staff for transformational growth sectors. Advisors should engage with local schools to bridge the gap between education and employment and ensure young people receive the right career advice and opportunities. The Black Country has identified the following transformation and growth sectors which would benefit from Skills Factory delivery and </w:t>
            </w:r>
            <w:r w:rsidR="00957543">
              <w:rPr>
                <w:rFonts w:cs="Arial"/>
              </w:rPr>
              <w:t>candidates</w:t>
            </w:r>
            <w:r>
              <w:rPr>
                <w:rFonts w:cs="Arial"/>
              </w:rPr>
              <w:t xml:space="preserve"> should consider the most effective services in one or more of these:</w:t>
            </w:r>
          </w:p>
          <w:p w14:paraId="21F99E13" w14:textId="77777777" w:rsidR="00486405" w:rsidRDefault="00486405" w:rsidP="00B10AD3">
            <w:pPr>
              <w:rPr>
                <w:rFonts w:cs="Arial"/>
              </w:rPr>
            </w:pPr>
          </w:p>
          <w:p w14:paraId="63771B63" w14:textId="77777777" w:rsidR="00B10AD3" w:rsidRDefault="00B10AD3" w:rsidP="00B10AD3">
            <w:pPr>
              <w:pStyle w:val="ListParagraph"/>
              <w:numPr>
                <w:ilvl w:val="0"/>
                <w:numId w:val="10"/>
              </w:numPr>
              <w:rPr>
                <w:rFonts w:cs="Arial"/>
              </w:rPr>
            </w:pPr>
            <w:r w:rsidRPr="000B478B">
              <w:rPr>
                <w:rFonts w:cs="Arial"/>
              </w:rPr>
              <w:t>Advance manufacturing (HVM) , including food and drink</w:t>
            </w:r>
          </w:p>
          <w:p w14:paraId="63771B64" w14:textId="77777777" w:rsidR="00B10AD3" w:rsidRDefault="00B10AD3" w:rsidP="00B10AD3">
            <w:pPr>
              <w:pStyle w:val="ListParagraph"/>
              <w:numPr>
                <w:ilvl w:val="0"/>
                <w:numId w:val="10"/>
              </w:numPr>
              <w:rPr>
                <w:rFonts w:cs="Arial"/>
              </w:rPr>
            </w:pPr>
            <w:r w:rsidRPr="000B478B">
              <w:rPr>
                <w:rFonts w:cs="Arial"/>
              </w:rPr>
              <w:t>Transport technologies, including aerospace</w:t>
            </w:r>
          </w:p>
          <w:p w14:paraId="63771B65" w14:textId="77777777" w:rsidR="00B10AD3" w:rsidRDefault="00B10AD3" w:rsidP="00B10AD3">
            <w:pPr>
              <w:pStyle w:val="ListParagraph"/>
              <w:numPr>
                <w:ilvl w:val="0"/>
                <w:numId w:val="10"/>
              </w:numPr>
              <w:rPr>
                <w:rFonts w:cs="Arial"/>
              </w:rPr>
            </w:pPr>
            <w:r w:rsidRPr="000B478B">
              <w:rPr>
                <w:rFonts w:cs="Arial"/>
              </w:rPr>
              <w:t>Construction, including building technologies</w:t>
            </w:r>
          </w:p>
          <w:p w14:paraId="63771B66" w14:textId="77777777" w:rsidR="00B10AD3" w:rsidRDefault="00B10AD3" w:rsidP="00B10AD3">
            <w:pPr>
              <w:pStyle w:val="ListParagraph"/>
              <w:numPr>
                <w:ilvl w:val="0"/>
                <w:numId w:val="10"/>
              </w:numPr>
              <w:rPr>
                <w:rFonts w:cs="Arial"/>
              </w:rPr>
            </w:pPr>
            <w:r w:rsidRPr="000B478B">
              <w:rPr>
                <w:rFonts w:cs="Arial"/>
              </w:rPr>
              <w:t>Environmental technologies</w:t>
            </w:r>
          </w:p>
          <w:p w14:paraId="63771B67" w14:textId="77777777" w:rsidR="00B10AD3" w:rsidRDefault="00B10AD3" w:rsidP="00B10AD3">
            <w:pPr>
              <w:pStyle w:val="ListParagraph"/>
              <w:numPr>
                <w:ilvl w:val="0"/>
                <w:numId w:val="10"/>
              </w:numPr>
              <w:rPr>
                <w:rFonts w:cs="Arial"/>
              </w:rPr>
            </w:pPr>
            <w:r w:rsidRPr="000B478B">
              <w:rPr>
                <w:rFonts w:cs="Arial"/>
              </w:rPr>
              <w:t>Business services</w:t>
            </w:r>
          </w:p>
          <w:p w14:paraId="63771B68" w14:textId="77777777" w:rsidR="00B10AD3" w:rsidRPr="000B478B" w:rsidRDefault="00B10AD3" w:rsidP="005B0247">
            <w:pPr>
              <w:rPr>
                <w:rFonts w:cs="Arial"/>
              </w:rPr>
            </w:pPr>
          </w:p>
          <w:p w14:paraId="63771B69" w14:textId="77777777" w:rsidR="00D70093" w:rsidRDefault="00B10AD3" w:rsidP="005B0247">
            <w:pPr>
              <w:rPr>
                <w:rFonts w:cs="Arial"/>
              </w:rPr>
            </w:pPr>
            <w:r>
              <w:rPr>
                <w:rFonts w:cs="Arial"/>
              </w:rPr>
              <w:t>2</w:t>
            </w:r>
            <w:r w:rsidR="005B0247" w:rsidRPr="000B478B">
              <w:rPr>
                <w:rFonts w:cs="Arial"/>
              </w:rPr>
              <w:t xml:space="preserve">. Up-skilling: </w:t>
            </w:r>
            <w:r w:rsidR="00957543">
              <w:rPr>
                <w:rFonts w:cs="Arial"/>
              </w:rPr>
              <w:t xml:space="preserve">The Skills Factory will provide </w:t>
            </w:r>
            <w:r w:rsidR="005B0247" w:rsidRPr="000B478B">
              <w:rPr>
                <w:rFonts w:cs="Arial"/>
              </w:rPr>
              <w:t xml:space="preserve">the brokerage of subsidised “bite-sized” training courses in specific skills gap areas to meet </w:t>
            </w:r>
            <w:r w:rsidR="00E11AC3" w:rsidRPr="000B478B">
              <w:rPr>
                <w:rFonts w:cs="Arial"/>
              </w:rPr>
              <w:t>employers’</w:t>
            </w:r>
            <w:r w:rsidR="005B0247" w:rsidRPr="000B478B">
              <w:rPr>
                <w:rFonts w:cs="Arial"/>
              </w:rPr>
              <w:t xml:space="preserve"> needs so as to increase the pipeline of suitably skilled staff</w:t>
            </w:r>
            <w:r w:rsidR="00957543">
              <w:rPr>
                <w:rFonts w:cs="Arial"/>
              </w:rPr>
              <w:t xml:space="preserve"> for the Skills Factory sector(s)</w:t>
            </w:r>
            <w:r w:rsidR="005B0247" w:rsidRPr="000B478B">
              <w:rPr>
                <w:rFonts w:cs="Arial"/>
              </w:rPr>
              <w:t>.</w:t>
            </w:r>
            <w:r w:rsidR="00D70093">
              <w:rPr>
                <w:rFonts w:cs="Arial"/>
              </w:rPr>
              <w:t xml:space="preserve"> </w:t>
            </w:r>
            <w:r w:rsidR="00203C8D">
              <w:rPr>
                <w:rFonts w:cs="Arial"/>
              </w:rPr>
              <w:t xml:space="preserve"> The candidate should work in conjunction with colleges and training providers to offer training on </w:t>
            </w:r>
            <w:r w:rsidR="00D70093">
              <w:rPr>
                <w:rFonts w:cs="Arial"/>
              </w:rPr>
              <w:t>technical and non</w:t>
            </w:r>
            <w:r>
              <w:rPr>
                <w:rFonts w:cs="Arial"/>
              </w:rPr>
              <w:t>-</w:t>
            </w:r>
            <w:r w:rsidR="00D70093">
              <w:rPr>
                <w:rFonts w:cs="Arial"/>
              </w:rPr>
              <w:t>technical issues such as engineering, pneumatic</w:t>
            </w:r>
            <w:r w:rsidR="0011380D">
              <w:rPr>
                <w:rFonts w:cs="Arial"/>
              </w:rPr>
              <w:t>s</w:t>
            </w:r>
            <w:r w:rsidR="00D70093">
              <w:rPr>
                <w:rFonts w:cs="Arial"/>
              </w:rPr>
              <w:t xml:space="preserve"> and hydraulics, electrical</w:t>
            </w:r>
            <w:r w:rsidR="00FB5BBD">
              <w:rPr>
                <w:rFonts w:cs="Arial"/>
              </w:rPr>
              <w:t>/testing, technologies</w:t>
            </w:r>
            <w:r w:rsidR="00D70093">
              <w:rPr>
                <w:rFonts w:cs="Arial"/>
              </w:rPr>
              <w:t xml:space="preserve">, </w:t>
            </w:r>
            <w:r w:rsidR="00FB5BBD">
              <w:rPr>
                <w:rFonts w:cs="Arial"/>
              </w:rPr>
              <w:t xml:space="preserve">low carbon, </w:t>
            </w:r>
            <w:r w:rsidR="00D70093">
              <w:rPr>
                <w:rFonts w:cs="Arial"/>
              </w:rPr>
              <w:t xml:space="preserve">efficiency, </w:t>
            </w:r>
            <w:r w:rsidR="00FB5BBD">
              <w:rPr>
                <w:rFonts w:cs="Arial"/>
              </w:rPr>
              <w:t xml:space="preserve">business </w:t>
            </w:r>
            <w:r w:rsidR="00D70093">
              <w:rPr>
                <w:rFonts w:cs="Arial"/>
              </w:rPr>
              <w:t>planning</w:t>
            </w:r>
            <w:r w:rsidR="00FB5BBD">
              <w:rPr>
                <w:rFonts w:cs="Arial"/>
              </w:rPr>
              <w:t>, quality control</w:t>
            </w:r>
            <w:r w:rsidR="00D70093">
              <w:rPr>
                <w:rFonts w:cs="Arial"/>
              </w:rPr>
              <w:t xml:space="preserve"> and health and safety. Management and leadership training should be provided such as project management, developing/coaching staff, appraisal and performance management, timekeeping, </w:t>
            </w:r>
            <w:r w:rsidR="00FB5BBD">
              <w:rPr>
                <w:rFonts w:cs="Arial"/>
              </w:rPr>
              <w:t xml:space="preserve">problem solving, decision making, </w:t>
            </w:r>
            <w:r w:rsidR="00D70093">
              <w:rPr>
                <w:rFonts w:cs="Arial"/>
              </w:rPr>
              <w:t>communication skills</w:t>
            </w:r>
            <w:r w:rsidR="00FB5BBD">
              <w:rPr>
                <w:rFonts w:cs="Arial"/>
              </w:rPr>
              <w:t xml:space="preserve"> and/or employment law</w:t>
            </w:r>
            <w:r w:rsidR="00D70093">
              <w:rPr>
                <w:rFonts w:cs="Arial"/>
              </w:rPr>
              <w:t xml:space="preserve">. The candidate should be able </w:t>
            </w:r>
            <w:r w:rsidR="00957543">
              <w:rPr>
                <w:rFonts w:cs="Arial"/>
              </w:rPr>
              <w:t xml:space="preserve">to </w:t>
            </w:r>
            <w:r w:rsidR="00203C8D">
              <w:rPr>
                <w:rFonts w:cs="Arial"/>
              </w:rPr>
              <w:t xml:space="preserve">brokerage </w:t>
            </w:r>
            <w:r w:rsidR="00D70093">
              <w:rPr>
                <w:rFonts w:cs="Arial"/>
              </w:rPr>
              <w:t xml:space="preserve">bespoke training to meet specific </w:t>
            </w:r>
            <w:r w:rsidR="00203C8D">
              <w:rPr>
                <w:rFonts w:cs="Arial"/>
              </w:rPr>
              <w:t>business</w:t>
            </w:r>
            <w:r w:rsidR="00D70093">
              <w:rPr>
                <w:rFonts w:cs="Arial"/>
              </w:rPr>
              <w:t xml:space="preserve"> need.</w:t>
            </w:r>
          </w:p>
          <w:p w14:paraId="63771B6A" w14:textId="77777777" w:rsidR="00D70093" w:rsidRPr="000B478B" w:rsidRDefault="00D70093" w:rsidP="005B0247">
            <w:pPr>
              <w:rPr>
                <w:rFonts w:cs="Arial"/>
              </w:rPr>
            </w:pPr>
          </w:p>
          <w:p w14:paraId="63771B6B" w14:textId="77777777" w:rsidR="005B0247" w:rsidRDefault="00B10AD3" w:rsidP="005B0247">
            <w:pPr>
              <w:rPr>
                <w:rFonts w:cs="Arial"/>
              </w:rPr>
            </w:pPr>
            <w:r>
              <w:rPr>
                <w:rFonts w:cs="Arial"/>
              </w:rPr>
              <w:t>3</w:t>
            </w:r>
            <w:r w:rsidR="005B0247" w:rsidRPr="000B478B">
              <w:rPr>
                <w:rFonts w:cs="Arial"/>
              </w:rPr>
              <w:t xml:space="preserve">. Apprentices: </w:t>
            </w:r>
            <w:r w:rsidR="00957543">
              <w:rPr>
                <w:rFonts w:cs="Arial"/>
              </w:rPr>
              <w:t xml:space="preserve">The Skills Factory will </w:t>
            </w:r>
            <w:r w:rsidR="005B0247" w:rsidRPr="000B478B">
              <w:rPr>
                <w:rFonts w:cs="Arial"/>
              </w:rPr>
              <w:t>increase the take up of apprenticeships and progression onto high level qualifications</w:t>
            </w:r>
            <w:r w:rsidR="00D70093">
              <w:rPr>
                <w:rFonts w:cs="Arial"/>
              </w:rPr>
              <w:t xml:space="preserve"> </w:t>
            </w:r>
            <w:r w:rsidR="00957543">
              <w:rPr>
                <w:rFonts w:cs="Arial"/>
              </w:rPr>
              <w:t xml:space="preserve">in the Skills Factory sector(s) </w:t>
            </w:r>
            <w:r w:rsidR="00D70093">
              <w:rPr>
                <w:rFonts w:cs="Arial"/>
              </w:rPr>
              <w:t xml:space="preserve">for both young people engaged through </w:t>
            </w:r>
            <w:r w:rsidR="008651BF">
              <w:rPr>
                <w:rFonts w:cs="Arial"/>
              </w:rPr>
              <w:t>educational establishments and existing SME workforce.</w:t>
            </w:r>
          </w:p>
          <w:p w14:paraId="63771B6C" w14:textId="77777777" w:rsidR="00D70093" w:rsidRPr="000B478B" w:rsidRDefault="00D70093" w:rsidP="005B0247">
            <w:pPr>
              <w:rPr>
                <w:rFonts w:cs="Arial"/>
              </w:rPr>
            </w:pPr>
          </w:p>
          <w:p w14:paraId="63771B6D" w14:textId="77777777" w:rsidR="005B0247" w:rsidRDefault="00B10AD3" w:rsidP="005B0247">
            <w:pPr>
              <w:rPr>
                <w:rFonts w:cs="Arial"/>
              </w:rPr>
            </w:pPr>
            <w:r>
              <w:rPr>
                <w:rFonts w:cs="Arial"/>
              </w:rPr>
              <w:t>4</w:t>
            </w:r>
            <w:r w:rsidR="005B0247" w:rsidRPr="000B478B">
              <w:rPr>
                <w:rFonts w:cs="Arial"/>
              </w:rPr>
              <w:t xml:space="preserve">. School Engagement: </w:t>
            </w:r>
            <w:r w:rsidR="00957543">
              <w:rPr>
                <w:rFonts w:cs="Arial"/>
              </w:rPr>
              <w:t>The Skills Factory will encourage</w:t>
            </w:r>
            <w:r w:rsidR="00957543" w:rsidRPr="000B478B">
              <w:rPr>
                <w:rFonts w:cs="Arial"/>
              </w:rPr>
              <w:t xml:space="preserve"> </w:t>
            </w:r>
            <w:r w:rsidR="005B0247" w:rsidRPr="000B478B">
              <w:rPr>
                <w:rFonts w:cs="Arial"/>
              </w:rPr>
              <w:t xml:space="preserve">young people to understand and engage in </w:t>
            </w:r>
            <w:r w:rsidR="00957543">
              <w:rPr>
                <w:rFonts w:cs="Arial"/>
              </w:rPr>
              <w:t>the Skills Factory sector(s)</w:t>
            </w:r>
            <w:r w:rsidR="005B0247" w:rsidRPr="000B478B">
              <w:rPr>
                <w:rFonts w:cs="Arial"/>
              </w:rPr>
              <w:t xml:space="preserve"> by targeting schools, further/higher education, teachers, parents and pupils</w:t>
            </w:r>
            <w:r w:rsidR="0011380D">
              <w:rPr>
                <w:rFonts w:cs="Arial"/>
              </w:rPr>
              <w:t xml:space="preserve"> providing expert career advice and </w:t>
            </w:r>
            <w:r w:rsidR="00FB5BBD">
              <w:rPr>
                <w:rFonts w:cs="Arial"/>
              </w:rPr>
              <w:t>positive pathways.</w:t>
            </w:r>
          </w:p>
          <w:p w14:paraId="63771B6F" w14:textId="77777777" w:rsidR="002548FD" w:rsidRDefault="002548FD" w:rsidP="005B0247">
            <w:pPr>
              <w:rPr>
                <w:rFonts w:cs="Arial"/>
              </w:rPr>
            </w:pPr>
          </w:p>
          <w:p w14:paraId="63771B70" w14:textId="77777777" w:rsidR="009707D1" w:rsidRDefault="005B0247" w:rsidP="00957543">
            <w:pPr>
              <w:numPr>
                <w:ilvl w:val="0"/>
                <w:numId w:val="10"/>
              </w:numPr>
              <w:ind w:right="-82"/>
              <w:rPr>
                <w:rFonts w:cs="Arial"/>
              </w:rPr>
            </w:pPr>
            <w:r w:rsidRPr="000B478B">
              <w:rPr>
                <w:rFonts w:cs="Arial"/>
              </w:rPr>
              <w:t xml:space="preserve">The </w:t>
            </w:r>
            <w:r w:rsidR="00DE33D5">
              <w:rPr>
                <w:rFonts w:cs="Arial"/>
              </w:rPr>
              <w:t xml:space="preserve">Service  must </w:t>
            </w:r>
            <w:r w:rsidRPr="000B478B">
              <w:rPr>
                <w:rFonts w:cs="Arial"/>
              </w:rPr>
              <w:t xml:space="preserve">engage </w:t>
            </w:r>
            <w:r w:rsidR="00DB7C1E">
              <w:rPr>
                <w:rFonts w:cs="Arial"/>
              </w:rPr>
              <w:t xml:space="preserve">with </w:t>
            </w:r>
            <w:r w:rsidR="00D414F2">
              <w:rPr>
                <w:rFonts w:cs="Arial"/>
              </w:rPr>
              <w:t xml:space="preserve">a total of </w:t>
            </w:r>
            <w:r w:rsidRPr="000B478B">
              <w:rPr>
                <w:rFonts w:cs="Arial"/>
              </w:rPr>
              <w:t xml:space="preserve"> </w:t>
            </w:r>
            <w:r w:rsidR="004778A7">
              <w:rPr>
                <w:rFonts w:cs="Arial"/>
              </w:rPr>
              <w:t xml:space="preserve">800 </w:t>
            </w:r>
            <w:r w:rsidRPr="000B478B">
              <w:rPr>
                <w:rFonts w:cs="Arial"/>
              </w:rPr>
              <w:t xml:space="preserve">employers by </w:t>
            </w:r>
            <w:r w:rsidR="00DB7C1E">
              <w:rPr>
                <w:rFonts w:cs="Arial"/>
              </w:rPr>
              <w:t xml:space="preserve">March </w:t>
            </w:r>
            <w:r w:rsidRPr="000B478B">
              <w:rPr>
                <w:rFonts w:cs="Arial"/>
              </w:rPr>
              <w:t>20</w:t>
            </w:r>
            <w:r w:rsidR="00DB7C1E">
              <w:rPr>
                <w:rFonts w:cs="Arial"/>
              </w:rPr>
              <w:t>18</w:t>
            </w:r>
          </w:p>
          <w:p w14:paraId="63771B71" w14:textId="6455BC5A" w:rsidR="009707D1" w:rsidRDefault="005B0247" w:rsidP="00957543">
            <w:pPr>
              <w:numPr>
                <w:ilvl w:val="0"/>
                <w:numId w:val="10"/>
              </w:numPr>
              <w:ind w:right="-82"/>
              <w:rPr>
                <w:rFonts w:cs="Arial"/>
                <w:b/>
                <w:bCs/>
                <w:iCs/>
                <w:sz w:val="28"/>
                <w:szCs w:val="28"/>
              </w:rPr>
            </w:pPr>
            <w:r w:rsidRPr="000B478B">
              <w:rPr>
                <w:rFonts w:cs="Arial"/>
              </w:rPr>
              <w:t xml:space="preserve">The </w:t>
            </w:r>
            <w:r w:rsidR="00DE33D5">
              <w:rPr>
                <w:rFonts w:cs="Arial"/>
              </w:rPr>
              <w:t xml:space="preserve"> Service  must </w:t>
            </w:r>
            <w:r w:rsidRPr="000B478B">
              <w:rPr>
                <w:rFonts w:cs="Arial"/>
              </w:rPr>
              <w:t>start</w:t>
            </w:r>
            <w:r w:rsidR="00DB7C1E">
              <w:rPr>
                <w:rFonts w:cs="Arial"/>
              </w:rPr>
              <w:t xml:space="preserve"> </w:t>
            </w:r>
            <w:r w:rsidR="00D414F2">
              <w:rPr>
                <w:rFonts w:cs="Arial"/>
              </w:rPr>
              <w:t xml:space="preserve">a total of </w:t>
            </w:r>
            <w:r w:rsidR="00956BDA">
              <w:rPr>
                <w:rFonts w:cs="Arial"/>
              </w:rPr>
              <w:t xml:space="preserve">270 </w:t>
            </w:r>
            <w:r w:rsidRPr="000B478B">
              <w:rPr>
                <w:rFonts w:cs="Arial"/>
              </w:rPr>
              <w:t xml:space="preserve"> </w:t>
            </w:r>
            <w:r w:rsidR="00DB7C1E">
              <w:rPr>
                <w:rFonts w:cs="Arial"/>
              </w:rPr>
              <w:t xml:space="preserve">new </w:t>
            </w:r>
            <w:r w:rsidRPr="000B478B">
              <w:rPr>
                <w:rFonts w:cs="Arial"/>
              </w:rPr>
              <w:t>apprenticeship</w:t>
            </w:r>
            <w:r w:rsidR="00DB7C1E">
              <w:rPr>
                <w:rFonts w:cs="Arial"/>
              </w:rPr>
              <w:t>s</w:t>
            </w:r>
            <w:r w:rsidRPr="000B478B">
              <w:rPr>
                <w:rFonts w:cs="Arial"/>
              </w:rPr>
              <w:t xml:space="preserve"> by </w:t>
            </w:r>
            <w:r w:rsidR="00DB7C1E">
              <w:rPr>
                <w:rFonts w:cs="Arial"/>
              </w:rPr>
              <w:t xml:space="preserve">March </w:t>
            </w:r>
            <w:r w:rsidRPr="000B478B">
              <w:rPr>
                <w:rFonts w:cs="Arial"/>
              </w:rPr>
              <w:t>20</w:t>
            </w:r>
            <w:r w:rsidR="00DB7C1E">
              <w:rPr>
                <w:rFonts w:cs="Arial"/>
              </w:rPr>
              <w:t>18</w:t>
            </w:r>
          </w:p>
          <w:p w14:paraId="63771B72" w14:textId="77777777" w:rsidR="009707D1" w:rsidRDefault="005B0247" w:rsidP="00957543">
            <w:pPr>
              <w:pStyle w:val="ListParagraph"/>
              <w:numPr>
                <w:ilvl w:val="0"/>
                <w:numId w:val="10"/>
              </w:numPr>
              <w:rPr>
                <w:rFonts w:cs="Arial"/>
                <w:b/>
                <w:bCs/>
                <w:iCs/>
                <w:sz w:val="28"/>
                <w:szCs w:val="28"/>
              </w:rPr>
            </w:pPr>
            <w:r w:rsidRPr="000B478B">
              <w:rPr>
                <w:rFonts w:cs="Arial"/>
              </w:rPr>
              <w:t xml:space="preserve">The </w:t>
            </w:r>
            <w:r w:rsidR="00DE33D5">
              <w:rPr>
                <w:rFonts w:cs="Arial"/>
              </w:rPr>
              <w:t xml:space="preserve"> Service  must </w:t>
            </w:r>
            <w:r w:rsidR="006769F7">
              <w:rPr>
                <w:rFonts w:cs="Arial"/>
              </w:rPr>
              <w:t xml:space="preserve">deliver </w:t>
            </w:r>
            <w:r w:rsidR="00D414F2">
              <w:rPr>
                <w:rFonts w:cs="Arial"/>
              </w:rPr>
              <w:t xml:space="preserve">a total </w:t>
            </w:r>
            <w:r w:rsidR="000E7198">
              <w:rPr>
                <w:rFonts w:cs="Arial"/>
              </w:rPr>
              <w:t>404</w:t>
            </w:r>
            <w:r w:rsidR="006769F7">
              <w:rPr>
                <w:rFonts w:cs="Arial"/>
              </w:rPr>
              <w:t xml:space="preserve"> bite size courses</w:t>
            </w:r>
            <w:r w:rsidR="000E7198">
              <w:rPr>
                <w:rFonts w:cs="Arial"/>
              </w:rPr>
              <w:t xml:space="preserve"> </w:t>
            </w:r>
            <w:r w:rsidRPr="000B478B">
              <w:rPr>
                <w:rFonts w:cs="Arial"/>
              </w:rPr>
              <w:t xml:space="preserve"> by </w:t>
            </w:r>
            <w:r w:rsidR="00DB7C1E">
              <w:rPr>
                <w:rFonts w:cs="Arial"/>
              </w:rPr>
              <w:t xml:space="preserve">March </w:t>
            </w:r>
            <w:r w:rsidRPr="000B478B">
              <w:rPr>
                <w:rFonts w:cs="Arial"/>
              </w:rPr>
              <w:t>20</w:t>
            </w:r>
            <w:r w:rsidR="00DB7C1E">
              <w:rPr>
                <w:rFonts w:cs="Arial"/>
              </w:rPr>
              <w:t>18</w:t>
            </w:r>
          </w:p>
          <w:p w14:paraId="63771B73" w14:textId="77777777" w:rsidR="009707D1" w:rsidRPr="006533E5" w:rsidRDefault="003E377D" w:rsidP="00957543">
            <w:pPr>
              <w:pStyle w:val="ListParagraph"/>
              <w:numPr>
                <w:ilvl w:val="0"/>
                <w:numId w:val="10"/>
              </w:numPr>
              <w:rPr>
                <w:rFonts w:cs="Arial"/>
                <w:bCs/>
                <w:iCs/>
              </w:rPr>
            </w:pPr>
            <w:r w:rsidRPr="003E377D">
              <w:rPr>
                <w:rFonts w:cs="Arial"/>
                <w:bCs/>
                <w:iCs/>
              </w:rPr>
              <w:t xml:space="preserve">The </w:t>
            </w:r>
            <w:r>
              <w:rPr>
                <w:rFonts w:cs="Arial"/>
                <w:bCs/>
                <w:iCs/>
              </w:rPr>
              <w:t>Service must</w:t>
            </w:r>
            <w:r w:rsidR="00D87466" w:rsidRPr="006533E5">
              <w:rPr>
                <w:rFonts w:cs="Arial"/>
                <w:bCs/>
                <w:iCs/>
              </w:rPr>
              <w:t xml:space="preserve"> engage </w:t>
            </w:r>
            <w:r w:rsidR="00D414F2" w:rsidRPr="006533E5">
              <w:rPr>
                <w:rFonts w:cs="Arial"/>
                <w:bCs/>
                <w:iCs/>
              </w:rPr>
              <w:t xml:space="preserve">a total of </w:t>
            </w:r>
            <w:r w:rsidR="00D87466" w:rsidRPr="006533E5">
              <w:rPr>
                <w:rFonts w:cs="Arial"/>
                <w:bCs/>
                <w:iCs/>
              </w:rPr>
              <w:t>15 schools by March 2018.</w:t>
            </w:r>
          </w:p>
          <w:p w14:paraId="63771B74" w14:textId="77777777" w:rsidR="000B478B" w:rsidRPr="006769F7" w:rsidRDefault="006769F7" w:rsidP="006533E5">
            <w:pPr>
              <w:pStyle w:val="ListParagraph"/>
              <w:numPr>
                <w:ilvl w:val="0"/>
                <w:numId w:val="10"/>
              </w:numPr>
              <w:rPr>
                <w:rFonts w:cs="Arial"/>
              </w:rPr>
            </w:pPr>
            <w:r>
              <w:rPr>
                <w:rFonts w:cs="Arial"/>
              </w:rPr>
              <w:t xml:space="preserve">The </w:t>
            </w:r>
            <w:r w:rsidR="00221A1C">
              <w:rPr>
                <w:rFonts w:cs="Arial"/>
              </w:rPr>
              <w:t>Service  must</w:t>
            </w:r>
            <w:r>
              <w:rPr>
                <w:rFonts w:cs="Arial"/>
              </w:rPr>
              <w:t xml:space="preserve"> start a total 671 skills starts by March 2018</w:t>
            </w:r>
          </w:p>
          <w:p w14:paraId="63771B75" w14:textId="77777777" w:rsidR="003D5144" w:rsidRDefault="003D5144" w:rsidP="003D5144">
            <w:pPr>
              <w:rPr>
                <w:rFonts w:cs="Arial"/>
              </w:rPr>
            </w:pPr>
          </w:p>
          <w:p w14:paraId="63771B76" w14:textId="77777777" w:rsidR="003D5144" w:rsidRDefault="003D5144" w:rsidP="005B0247">
            <w:pPr>
              <w:rPr>
                <w:rFonts w:cs="Arial"/>
              </w:rPr>
            </w:pPr>
            <w:r>
              <w:rPr>
                <w:rFonts w:cs="Arial"/>
              </w:rPr>
              <w:t xml:space="preserve">The </w:t>
            </w:r>
            <w:r w:rsidR="00221A1C">
              <w:rPr>
                <w:rFonts w:cs="Arial"/>
              </w:rPr>
              <w:t xml:space="preserve">Services must be delivered to the following </w:t>
            </w:r>
            <w:r>
              <w:rPr>
                <w:rFonts w:cs="Arial"/>
              </w:rPr>
              <w:t>sectors:</w:t>
            </w:r>
          </w:p>
          <w:p w14:paraId="63771B77" w14:textId="77777777" w:rsidR="003D5144" w:rsidRPr="000B478B" w:rsidRDefault="003D5144" w:rsidP="005B0247">
            <w:pPr>
              <w:rPr>
                <w:rFonts w:cs="Arial"/>
              </w:rPr>
            </w:pPr>
          </w:p>
          <w:p w14:paraId="63771B78" w14:textId="77777777" w:rsidR="009707D1" w:rsidRDefault="005B0247" w:rsidP="00695948">
            <w:pPr>
              <w:pStyle w:val="ListParagraph"/>
              <w:numPr>
                <w:ilvl w:val="0"/>
                <w:numId w:val="10"/>
              </w:numPr>
              <w:rPr>
                <w:rFonts w:cs="Arial"/>
              </w:rPr>
            </w:pPr>
            <w:r w:rsidRPr="000B478B">
              <w:rPr>
                <w:rFonts w:cs="Arial"/>
              </w:rPr>
              <w:t>Advance manufacturing (HVM) , including food and drink</w:t>
            </w:r>
          </w:p>
          <w:p w14:paraId="63771B79" w14:textId="77777777" w:rsidR="009707D1" w:rsidRDefault="005B0247" w:rsidP="00695948">
            <w:pPr>
              <w:pStyle w:val="ListParagraph"/>
              <w:numPr>
                <w:ilvl w:val="0"/>
                <w:numId w:val="10"/>
              </w:numPr>
              <w:rPr>
                <w:rFonts w:cs="Arial"/>
              </w:rPr>
            </w:pPr>
            <w:r w:rsidRPr="000B478B">
              <w:rPr>
                <w:rFonts w:cs="Arial"/>
              </w:rPr>
              <w:t>Transport technologies, including aerospace</w:t>
            </w:r>
          </w:p>
          <w:p w14:paraId="63771B7A" w14:textId="77777777" w:rsidR="009707D1" w:rsidRDefault="005B0247" w:rsidP="00695948">
            <w:pPr>
              <w:pStyle w:val="ListParagraph"/>
              <w:numPr>
                <w:ilvl w:val="0"/>
                <w:numId w:val="10"/>
              </w:numPr>
              <w:rPr>
                <w:rFonts w:cs="Arial"/>
              </w:rPr>
            </w:pPr>
            <w:r w:rsidRPr="000B478B">
              <w:rPr>
                <w:rFonts w:cs="Arial"/>
              </w:rPr>
              <w:t>Construction, including building technologies</w:t>
            </w:r>
          </w:p>
          <w:p w14:paraId="63771B7B" w14:textId="77777777" w:rsidR="009707D1" w:rsidRDefault="005B0247" w:rsidP="00695948">
            <w:pPr>
              <w:pStyle w:val="ListParagraph"/>
              <w:numPr>
                <w:ilvl w:val="0"/>
                <w:numId w:val="10"/>
              </w:numPr>
              <w:rPr>
                <w:rFonts w:cs="Arial"/>
              </w:rPr>
            </w:pPr>
            <w:r w:rsidRPr="000B478B">
              <w:rPr>
                <w:rFonts w:cs="Arial"/>
              </w:rPr>
              <w:lastRenderedPageBreak/>
              <w:t>Environmental technologies</w:t>
            </w:r>
          </w:p>
          <w:p w14:paraId="63771B7C" w14:textId="77777777" w:rsidR="009707D1" w:rsidRDefault="005B0247" w:rsidP="00695948">
            <w:pPr>
              <w:pStyle w:val="ListParagraph"/>
              <w:numPr>
                <w:ilvl w:val="0"/>
                <w:numId w:val="10"/>
              </w:numPr>
              <w:rPr>
                <w:rFonts w:cs="Arial"/>
              </w:rPr>
            </w:pPr>
            <w:r w:rsidRPr="000B478B">
              <w:rPr>
                <w:rFonts w:cs="Arial"/>
              </w:rPr>
              <w:t>Business services</w:t>
            </w:r>
          </w:p>
          <w:p w14:paraId="63771B7D" w14:textId="77777777" w:rsidR="00695948" w:rsidRPr="00695948" w:rsidRDefault="00695948" w:rsidP="00695948">
            <w:pPr>
              <w:rPr>
                <w:rFonts w:cs="Arial"/>
              </w:rPr>
            </w:pPr>
          </w:p>
          <w:p w14:paraId="63771B7E" w14:textId="77777777" w:rsidR="005B0247" w:rsidRDefault="005B0247" w:rsidP="005B0247">
            <w:pPr>
              <w:rPr>
                <w:rFonts w:cs="Arial"/>
              </w:rPr>
            </w:pPr>
            <w:r w:rsidRPr="000B478B">
              <w:rPr>
                <w:rFonts w:cs="Arial"/>
              </w:rPr>
              <w:t xml:space="preserve">The </w:t>
            </w:r>
            <w:r w:rsidR="00221A1C">
              <w:rPr>
                <w:rFonts w:cs="Arial"/>
              </w:rPr>
              <w:t xml:space="preserve">successful Candidate must ensure </w:t>
            </w:r>
            <w:r w:rsidR="003E377D">
              <w:rPr>
                <w:rFonts w:cs="Arial"/>
              </w:rPr>
              <w:t xml:space="preserve">that </w:t>
            </w:r>
            <w:r w:rsidR="003E377D" w:rsidRPr="000B478B">
              <w:rPr>
                <w:rFonts w:cs="Arial"/>
              </w:rPr>
              <w:t>the</w:t>
            </w:r>
            <w:r w:rsidRPr="000B478B">
              <w:rPr>
                <w:rFonts w:cs="Arial"/>
              </w:rPr>
              <w:t xml:space="preserve"> Skills </w:t>
            </w:r>
            <w:r w:rsidR="003E377D" w:rsidRPr="000B478B">
              <w:rPr>
                <w:rFonts w:cs="Arial"/>
              </w:rPr>
              <w:t xml:space="preserve">Factory </w:t>
            </w:r>
            <w:r w:rsidR="003E377D">
              <w:rPr>
                <w:rFonts w:cs="Arial"/>
              </w:rPr>
              <w:t>has</w:t>
            </w:r>
            <w:r w:rsidR="00221A1C">
              <w:rPr>
                <w:rFonts w:cs="Arial"/>
              </w:rPr>
              <w:t xml:space="preserve"> </w:t>
            </w:r>
            <w:r w:rsidRPr="000B478B">
              <w:rPr>
                <w:rFonts w:cs="Arial"/>
              </w:rPr>
              <w:t>the detailed technical &amp; industry knowledge required to ensure that it is truly employer-led.</w:t>
            </w:r>
          </w:p>
          <w:p w14:paraId="63771B81" w14:textId="77777777" w:rsidR="00344FA1" w:rsidRPr="007C2B80" w:rsidRDefault="00344FA1" w:rsidP="00C107CE">
            <w:pPr>
              <w:pStyle w:val="ListParagraph"/>
              <w:autoSpaceDE w:val="0"/>
              <w:autoSpaceDN w:val="0"/>
              <w:adjustRightInd w:val="0"/>
              <w:ind w:left="313"/>
              <w:rPr>
                <w:rFonts w:cs="Arial"/>
              </w:rPr>
            </w:pPr>
          </w:p>
        </w:tc>
      </w:tr>
      <w:tr w:rsidR="00967429" w:rsidRPr="00544738" w14:paraId="63771B84" w14:textId="77777777" w:rsidTr="00486405">
        <w:trPr>
          <w:trHeight w:val="567"/>
        </w:trPr>
        <w:tc>
          <w:tcPr>
            <w:tcW w:w="9088" w:type="dxa"/>
            <w:shd w:val="clear" w:color="auto" w:fill="D9D9D9" w:themeFill="background1" w:themeFillShade="D9"/>
            <w:vAlign w:val="center"/>
          </w:tcPr>
          <w:p w14:paraId="63771B83" w14:textId="77777777" w:rsidR="00967429" w:rsidRPr="00544738" w:rsidRDefault="00A005EF" w:rsidP="00FD3B0A">
            <w:pPr>
              <w:pStyle w:val="SpecificationHeading"/>
            </w:pPr>
            <w:r w:rsidRPr="002833D9">
              <w:lastRenderedPageBreak/>
              <w:t>ELIGIBILITY</w:t>
            </w:r>
          </w:p>
        </w:tc>
      </w:tr>
      <w:tr w:rsidR="00967429" w:rsidRPr="00EF4406" w14:paraId="63771B9C" w14:textId="77777777" w:rsidTr="000D51DE">
        <w:tc>
          <w:tcPr>
            <w:tcW w:w="9088" w:type="dxa"/>
          </w:tcPr>
          <w:p w14:paraId="63771B85" w14:textId="77777777" w:rsidR="001E23AA" w:rsidRDefault="001E23AA" w:rsidP="002F70E9">
            <w:pPr>
              <w:rPr>
                <w:rFonts w:cs="Arial"/>
                <w:b/>
                <w:u w:val="single"/>
              </w:rPr>
            </w:pPr>
          </w:p>
          <w:p w14:paraId="63771B86" w14:textId="77777777" w:rsidR="00A005EF" w:rsidRPr="00344FA1" w:rsidRDefault="00A005EF" w:rsidP="00A005EF">
            <w:r>
              <w:rPr>
                <w:b/>
              </w:rPr>
              <w:t>General</w:t>
            </w:r>
          </w:p>
          <w:p w14:paraId="63771B87"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8"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63771B88" w14:textId="77777777" w:rsidR="00A005EF" w:rsidRDefault="00A005EF" w:rsidP="00C107CE">
            <w:pPr>
              <w:rPr>
                <w:rFonts w:cs="Arial"/>
              </w:rPr>
            </w:pPr>
          </w:p>
          <w:p w14:paraId="63771B89" w14:textId="77777777" w:rsidR="00394F36" w:rsidRDefault="00394F36" w:rsidP="00394F36">
            <w:pPr>
              <w:rPr>
                <w:rFonts w:cs="Arial"/>
              </w:rPr>
            </w:pPr>
            <w:r w:rsidRPr="00F67261">
              <w:rPr>
                <w:rFonts w:cs="Arial"/>
              </w:rPr>
              <w:t>Please note LEP Specific requirements are subject to the National Eligibility Rules detailed above.</w:t>
            </w:r>
          </w:p>
          <w:p w14:paraId="63771B8A" w14:textId="77777777" w:rsidR="00084F08" w:rsidRDefault="00084F08" w:rsidP="00394F36">
            <w:pPr>
              <w:rPr>
                <w:rFonts w:cs="Arial"/>
              </w:rPr>
            </w:pPr>
          </w:p>
          <w:p w14:paraId="63771B8B" w14:textId="4827A695" w:rsidR="00394F36" w:rsidRDefault="00394F36" w:rsidP="00394F36">
            <w:pPr>
              <w:rPr>
                <w:rFonts w:ascii="Calibri" w:hAnsi="Calibri"/>
                <w:iCs/>
                <w:sz w:val="22"/>
                <w:szCs w:val="22"/>
              </w:rPr>
            </w:pPr>
            <w:r>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w:t>
            </w:r>
            <w:r w:rsidR="00745DD8">
              <w:rPr>
                <w:rFonts w:cs="Arial"/>
                <w:iCs/>
              </w:rPr>
              <w:t>eting the Services deliverables</w:t>
            </w:r>
            <w:r w:rsidR="00C161DC">
              <w:rPr>
                <w:rFonts w:cs="Arial"/>
                <w:iCs/>
              </w:rPr>
              <w:t>.</w:t>
            </w:r>
          </w:p>
          <w:p w14:paraId="63771B8D" w14:textId="77777777" w:rsidR="00394F36" w:rsidRDefault="00394F36" w:rsidP="00A005EF">
            <w:pPr>
              <w:rPr>
                <w:rFonts w:cs="Arial"/>
              </w:rPr>
            </w:pPr>
          </w:p>
          <w:p w14:paraId="63771B8E" w14:textId="77777777" w:rsidR="00394F36" w:rsidRDefault="005831B6" w:rsidP="00A005EF">
            <w:r>
              <w:t>This</w:t>
            </w:r>
            <w:r w:rsidR="00074F50">
              <w:t xml:space="preserve"> Service </w:t>
            </w:r>
            <w:r w:rsidR="00084F08" w:rsidRPr="00B432D8">
              <w:t xml:space="preserve">is being delivered under investment priority 2.2 and the Managing Authority has confirmed that the focus is a project developing an improved education system and for the purposes of this specification the </w:t>
            </w:r>
            <w:r w:rsidR="00084F08">
              <w:t xml:space="preserve">programme participant </w:t>
            </w:r>
            <w:r w:rsidR="00084F08" w:rsidRPr="00B432D8">
              <w:t xml:space="preserve">eligibility </w:t>
            </w:r>
            <w:r w:rsidR="00084F08">
              <w:t>requirements are not relevant.  LEP specific eligibility is shown below.</w:t>
            </w:r>
          </w:p>
          <w:p w14:paraId="63771B92" w14:textId="77777777" w:rsidR="00030CDC" w:rsidRDefault="00030CDC" w:rsidP="00A005EF">
            <w:pPr>
              <w:rPr>
                <w:rFonts w:cs="Arial"/>
              </w:rPr>
            </w:pPr>
          </w:p>
          <w:p w14:paraId="63771B93" w14:textId="77777777" w:rsidR="00084F08" w:rsidRPr="000B478B" w:rsidRDefault="00084F08" w:rsidP="00A005EF">
            <w:pPr>
              <w:rPr>
                <w:rFonts w:cs="Arial"/>
                <w:b/>
              </w:rPr>
            </w:pPr>
            <w:r w:rsidRPr="000B478B">
              <w:rPr>
                <w:rFonts w:cs="Arial"/>
                <w:b/>
              </w:rPr>
              <w:t>LEP Specific Eligibility</w:t>
            </w:r>
          </w:p>
          <w:p w14:paraId="63771B94" w14:textId="77777777" w:rsidR="00084F08" w:rsidRPr="000B478B" w:rsidRDefault="00084F08" w:rsidP="00A005EF">
            <w:pPr>
              <w:rPr>
                <w:rFonts w:cs="Arial"/>
              </w:rPr>
            </w:pPr>
          </w:p>
          <w:p w14:paraId="63771B95" w14:textId="77777777" w:rsidR="00084F08" w:rsidRPr="000B478B" w:rsidRDefault="00084F08" w:rsidP="00A005EF">
            <w:pPr>
              <w:rPr>
                <w:rFonts w:cs="Arial"/>
              </w:rPr>
            </w:pPr>
            <w:r w:rsidRPr="000B478B">
              <w:rPr>
                <w:rFonts w:cs="Arial"/>
              </w:rPr>
              <w:t xml:space="preserve">Employers – </w:t>
            </w:r>
            <w:r w:rsidR="00DB7C1E" w:rsidRPr="00DB7C1E">
              <w:rPr>
                <w:rFonts w:cs="Arial"/>
              </w:rPr>
              <w:t>Provision is open to all Black Country employers but emphasis to be on Transformational and Enabling sector</w:t>
            </w:r>
            <w:r w:rsidR="00D61D79">
              <w:rPr>
                <w:rFonts w:cs="Arial"/>
              </w:rPr>
              <w:t>(</w:t>
            </w:r>
            <w:r w:rsidR="00DB7C1E" w:rsidRPr="00DB7C1E">
              <w:rPr>
                <w:rFonts w:cs="Arial"/>
              </w:rPr>
              <w:t>s</w:t>
            </w:r>
            <w:r w:rsidR="00D61D79">
              <w:rPr>
                <w:rFonts w:cs="Arial"/>
              </w:rPr>
              <w:t>) selected</w:t>
            </w:r>
            <w:r w:rsidR="00DB7C1E" w:rsidRPr="00DB7C1E">
              <w:rPr>
                <w:rFonts w:cs="Arial"/>
              </w:rPr>
              <w:t xml:space="preserve"> and </w:t>
            </w:r>
            <w:r w:rsidR="00874A4D">
              <w:rPr>
                <w:rFonts w:cs="Arial"/>
              </w:rPr>
              <w:t xml:space="preserve">particularly </w:t>
            </w:r>
            <w:r w:rsidR="00DB7C1E" w:rsidRPr="00DB7C1E">
              <w:rPr>
                <w:rFonts w:cs="Arial"/>
              </w:rPr>
              <w:t>SME's (less than 250 employees)</w:t>
            </w:r>
            <w:r w:rsidR="00874A4D">
              <w:rPr>
                <w:rFonts w:cs="Arial"/>
              </w:rPr>
              <w:t xml:space="preserve"> and Micro businesses.</w:t>
            </w:r>
          </w:p>
          <w:p w14:paraId="63771B96" w14:textId="77777777" w:rsidR="00084F08" w:rsidRPr="000B478B" w:rsidRDefault="00084F08" w:rsidP="00A005EF">
            <w:pPr>
              <w:rPr>
                <w:rFonts w:cs="Arial"/>
              </w:rPr>
            </w:pPr>
          </w:p>
          <w:p w14:paraId="63771B99" w14:textId="2A8ADF1A" w:rsidR="00084F08" w:rsidRDefault="00084F08" w:rsidP="00A005EF">
            <w:pPr>
              <w:rPr>
                <w:rFonts w:cs="Arial"/>
              </w:rPr>
            </w:pPr>
            <w:r w:rsidRPr="000B478B">
              <w:rPr>
                <w:rFonts w:cs="Arial"/>
              </w:rPr>
              <w:t>Participants –</w:t>
            </w:r>
            <w:r>
              <w:rPr>
                <w:rFonts w:cs="Arial"/>
              </w:rPr>
              <w:t xml:space="preserve"> </w:t>
            </w:r>
            <w:r w:rsidR="00D25726">
              <w:rPr>
                <w:rFonts w:cs="Arial"/>
              </w:rPr>
              <w:t>not applicable in 2.2, but the service will work with employees of the employers and young people in education.</w:t>
            </w:r>
          </w:p>
          <w:p w14:paraId="63771B9B" w14:textId="77777777" w:rsidR="00FD3B0A" w:rsidRPr="00344FA1" w:rsidRDefault="00FD3B0A" w:rsidP="00225C7E">
            <w:pPr>
              <w:autoSpaceDE w:val="0"/>
              <w:autoSpaceDN w:val="0"/>
              <w:adjustRightInd w:val="0"/>
              <w:rPr>
                <w:rFonts w:cs="Arial"/>
                <w:color w:val="000000"/>
              </w:rPr>
            </w:pPr>
          </w:p>
        </w:tc>
      </w:tr>
      <w:tr w:rsidR="00967429" w:rsidRPr="00EF4406" w14:paraId="63771B9E" w14:textId="77777777" w:rsidTr="00486405">
        <w:trPr>
          <w:trHeight w:val="567"/>
        </w:trPr>
        <w:tc>
          <w:tcPr>
            <w:tcW w:w="9088" w:type="dxa"/>
            <w:shd w:val="clear" w:color="auto" w:fill="D9D9D9" w:themeFill="background1" w:themeFillShade="D9"/>
            <w:vAlign w:val="center"/>
          </w:tcPr>
          <w:p w14:paraId="63771B9D" w14:textId="77777777" w:rsidR="00967429" w:rsidRPr="00A005EF" w:rsidRDefault="00A005EF" w:rsidP="005E37D8">
            <w:pPr>
              <w:spacing w:before="120" w:after="120"/>
              <w:rPr>
                <w:b/>
                <w:bCs/>
              </w:rPr>
            </w:pPr>
            <w:r w:rsidRPr="00A005EF">
              <w:rPr>
                <w:b/>
              </w:rPr>
              <w:t>GEOGRAPHY / AREA OF DELIVERY</w:t>
            </w:r>
          </w:p>
        </w:tc>
      </w:tr>
      <w:tr w:rsidR="00967429" w:rsidRPr="0052695C" w14:paraId="63771BA7" w14:textId="77777777" w:rsidTr="000D51DE">
        <w:trPr>
          <w:trHeight w:val="983"/>
        </w:trPr>
        <w:tc>
          <w:tcPr>
            <w:tcW w:w="9088" w:type="dxa"/>
          </w:tcPr>
          <w:p w14:paraId="63771B9F" w14:textId="77777777" w:rsidR="00A005EF" w:rsidRDefault="00A005EF" w:rsidP="00A005EF"/>
          <w:p w14:paraId="63771BA0" w14:textId="77777777" w:rsidR="007E7731" w:rsidRDefault="007E7731" w:rsidP="00A005EF">
            <w:pPr>
              <w:rPr>
                <w:b/>
              </w:rPr>
            </w:pPr>
            <w:r>
              <w:rPr>
                <w:b/>
              </w:rPr>
              <w:t>LEP Specific</w:t>
            </w:r>
          </w:p>
          <w:p w14:paraId="63771BA1" w14:textId="77777777" w:rsidR="007E7731" w:rsidRPr="00C107CE" w:rsidRDefault="007E7731" w:rsidP="00A005EF">
            <w:pPr>
              <w:rPr>
                <w:b/>
              </w:rPr>
            </w:pPr>
          </w:p>
          <w:p w14:paraId="63771BA2" w14:textId="77777777" w:rsidR="00787807" w:rsidRDefault="00A005EF" w:rsidP="00A005EF">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2E4A4E" w:rsidRPr="000B478B">
              <w:rPr>
                <w:rFonts w:cs="Arial"/>
              </w:rPr>
              <w:t>Black Country</w:t>
            </w:r>
            <w:r w:rsidR="000304B2">
              <w:rPr>
                <w:rFonts w:cs="Arial"/>
              </w:rPr>
              <w:t xml:space="preserve"> </w:t>
            </w:r>
            <w:r w:rsidR="00105A7C">
              <w:rPr>
                <w:rFonts w:cs="Arial"/>
              </w:rPr>
              <w:t>Local Enterprise Partnership area</w:t>
            </w:r>
            <w:r w:rsidR="007C2B80">
              <w:rPr>
                <w:rFonts w:cs="Arial"/>
              </w:rPr>
              <w:t>.</w:t>
            </w:r>
          </w:p>
          <w:p w14:paraId="63771BA3" w14:textId="77777777" w:rsidR="00DB7C1E" w:rsidRDefault="00DB7C1E" w:rsidP="00A005EF">
            <w:pPr>
              <w:autoSpaceDE w:val="0"/>
              <w:autoSpaceDN w:val="0"/>
              <w:adjustRightInd w:val="0"/>
              <w:rPr>
                <w:rFonts w:cs="Arial"/>
              </w:rPr>
            </w:pPr>
          </w:p>
          <w:p w14:paraId="63771BA6" w14:textId="0B45AF76" w:rsidR="007C2B80" w:rsidRPr="00A20C16" w:rsidRDefault="00DB7C1E" w:rsidP="006F7F5C">
            <w:pPr>
              <w:autoSpaceDE w:val="0"/>
              <w:autoSpaceDN w:val="0"/>
              <w:adjustRightInd w:val="0"/>
              <w:rPr>
                <w:rFonts w:cs="Arial"/>
              </w:rPr>
            </w:pPr>
            <w:r w:rsidRPr="00DB7C1E">
              <w:rPr>
                <w:rFonts w:cs="Arial"/>
              </w:rPr>
              <w:t xml:space="preserve">The service should be available </w:t>
            </w:r>
            <w:r w:rsidR="00256761">
              <w:rPr>
                <w:rFonts w:cs="Arial"/>
              </w:rPr>
              <w:t xml:space="preserve">to employers </w:t>
            </w:r>
            <w:r w:rsidRPr="00DB7C1E">
              <w:rPr>
                <w:rFonts w:cs="Arial"/>
              </w:rPr>
              <w:t>across the whol</w:t>
            </w:r>
            <w:r w:rsidR="00A20C16">
              <w:rPr>
                <w:rFonts w:cs="Arial"/>
              </w:rPr>
              <w:t>e of the Black Country LEP area.</w:t>
            </w:r>
          </w:p>
        </w:tc>
      </w:tr>
      <w:tr w:rsidR="00967429" w:rsidRPr="00505117" w14:paraId="63771BA9" w14:textId="77777777" w:rsidTr="00486405">
        <w:trPr>
          <w:trHeight w:val="567"/>
        </w:trPr>
        <w:tc>
          <w:tcPr>
            <w:tcW w:w="9088" w:type="dxa"/>
            <w:shd w:val="clear" w:color="auto" w:fill="D9D9D9" w:themeFill="background1" w:themeFillShade="D9"/>
            <w:vAlign w:val="center"/>
          </w:tcPr>
          <w:p w14:paraId="63771BA8" w14:textId="77777777" w:rsidR="00967429" w:rsidRPr="00A005EF" w:rsidRDefault="00A005EF" w:rsidP="00DA3E5E">
            <w:pPr>
              <w:spacing w:before="120" w:after="120"/>
              <w:rPr>
                <w:b/>
                <w:bCs/>
              </w:rPr>
            </w:pPr>
            <w:r w:rsidRPr="00A005EF">
              <w:rPr>
                <w:b/>
              </w:rPr>
              <w:lastRenderedPageBreak/>
              <w:t>FUNDING AND DELIVERABLES</w:t>
            </w:r>
          </w:p>
        </w:tc>
      </w:tr>
      <w:tr w:rsidR="00967429" w:rsidRPr="00EF4406" w14:paraId="63771BDC" w14:textId="77777777" w:rsidTr="000D51DE">
        <w:trPr>
          <w:trHeight w:val="1408"/>
        </w:trPr>
        <w:tc>
          <w:tcPr>
            <w:tcW w:w="9088" w:type="dxa"/>
          </w:tcPr>
          <w:p w14:paraId="63771BAA" w14:textId="77777777" w:rsidR="007E7731" w:rsidRDefault="007E7731" w:rsidP="00A005EF">
            <w:pPr>
              <w:rPr>
                <w:rFonts w:cs="Arial"/>
              </w:rPr>
            </w:pPr>
          </w:p>
          <w:p w14:paraId="63771BAB" w14:textId="77777777" w:rsidR="007E7731" w:rsidRPr="00C107CE" w:rsidRDefault="007E7731" w:rsidP="00A005EF">
            <w:pPr>
              <w:rPr>
                <w:rFonts w:cs="Arial"/>
                <w:b/>
              </w:rPr>
            </w:pPr>
            <w:r>
              <w:rPr>
                <w:rFonts w:cs="Arial"/>
                <w:b/>
              </w:rPr>
              <w:t>LEP Specific</w:t>
            </w:r>
          </w:p>
          <w:p w14:paraId="63771BAC" w14:textId="77777777" w:rsidR="007E7731" w:rsidRDefault="007E7731" w:rsidP="00A005EF">
            <w:pPr>
              <w:rPr>
                <w:rFonts w:cs="Arial"/>
              </w:rPr>
            </w:pPr>
          </w:p>
          <w:p w14:paraId="63771BAD" w14:textId="2DBA22AB" w:rsidR="00A005EF" w:rsidRPr="00BC7F87" w:rsidRDefault="00475879" w:rsidP="00A005EF">
            <w:pPr>
              <w:rPr>
                <w:rFonts w:cs="Arial"/>
              </w:rPr>
            </w:pPr>
            <w:r w:rsidRPr="00BC7F87">
              <w:rPr>
                <w:rFonts w:cs="Arial"/>
              </w:rPr>
              <w:t>Currently</w:t>
            </w:r>
            <w:r w:rsidR="00A005EF" w:rsidRPr="00BC7F87">
              <w:rPr>
                <w:rFonts w:cs="Arial"/>
              </w:rPr>
              <w:t xml:space="preserve"> </w:t>
            </w:r>
            <w:r w:rsidR="006D2B9A">
              <w:rPr>
                <w:rFonts w:cs="Arial"/>
              </w:rPr>
              <w:t xml:space="preserve">£533,672 </w:t>
            </w:r>
            <w:r w:rsidR="009552C2" w:rsidRPr="00BC7F87">
              <w:rPr>
                <w:rFonts w:cs="Arial"/>
              </w:rPr>
              <w:t>will be available</w:t>
            </w:r>
            <w:r w:rsidR="00C107CE" w:rsidRPr="00BC7F87">
              <w:rPr>
                <w:rFonts w:cs="Arial"/>
              </w:rPr>
              <w:t xml:space="preserve"> for the period from</w:t>
            </w:r>
            <w:r w:rsidR="006533E5">
              <w:rPr>
                <w:rFonts w:cs="Arial"/>
              </w:rPr>
              <w:t xml:space="preserve"> September </w:t>
            </w:r>
            <w:r w:rsidR="006A28A1">
              <w:rPr>
                <w:rFonts w:cs="Arial"/>
              </w:rPr>
              <w:t>2016</w:t>
            </w:r>
            <w:r w:rsidR="00C107CE" w:rsidRPr="00BC7F87">
              <w:rPr>
                <w:rFonts w:cs="Arial"/>
              </w:rPr>
              <w:t xml:space="preserve"> to </w:t>
            </w:r>
            <w:r w:rsidR="006A28A1">
              <w:rPr>
                <w:rFonts w:cs="Arial"/>
              </w:rPr>
              <w:t>March 2018</w:t>
            </w:r>
            <w:r w:rsidR="006533E5">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63771BAE" w14:textId="77777777" w:rsidR="00A005EF" w:rsidRDefault="00A005EF" w:rsidP="00A005EF">
            <w:pPr>
              <w:rPr>
                <w:b/>
              </w:rPr>
            </w:pPr>
          </w:p>
          <w:p w14:paraId="63771BAF" w14:textId="77777777" w:rsidR="005831B6" w:rsidRDefault="00394F36" w:rsidP="00394F36">
            <w:pPr>
              <w:rPr>
                <w:rFonts w:cs="Arial"/>
              </w:rPr>
            </w:pPr>
            <w:r>
              <w:rPr>
                <w:rFonts w:cs="Arial"/>
              </w:rPr>
              <w:t xml:space="preserve">The table below shows the initial planned outcomes, but performance management may change the volumes and mix during the life of the contract.  </w:t>
            </w:r>
          </w:p>
          <w:p w14:paraId="63771BB2" w14:textId="77777777" w:rsidR="00394F36" w:rsidRDefault="00394F36" w:rsidP="00A005EF">
            <w:pPr>
              <w:rPr>
                <w:b/>
              </w:rPr>
            </w:pPr>
          </w:p>
          <w:p w14:paraId="63771BB3" w14:textId="77777777" w:rsidR="00221575" w:rsidRPr="00221575" w:rsidRDefault="00221575" w:rsidP="00A005EF">
            <w:r>
              <w:t>The brokerage and apprenticeship participants will have an assessment and plan.</w:t>
            </w:r>
          </w:p>
          <w:p w14:paraId="63771BB4" w14:textId="77777777" w:rsidR="00221575" w:rsidRPr="00BC7F87" w:rsidRDefault="00221575" w:rsidP="00A005EF">
            <w:pPr>
              <w:rPr>
                <w:b/>
              </w:rPr>
            </w:pPr>
          </w:p>
          <w:p w14:paraId="63771BB5" w14:textId="77777777" w:rsidR="00C107CE" w:rsidRPr="00F06A90"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63771BB6" w14:textId="77777777" w:rsidR="003D58B2" w:rsidRDefault="003D58B2" w:rsidP="00A005EF">
            <w:pPr>
              <w:rPr>
                <w:rFonts w:cs="Arial"/>
              </w:rPr>
            </w:pPr>
          </w:p>
          <w:tbl>
            <w:tblPr>
              <w:tblW w:w="8387" w:type="dxa"/>
              <w:tblLayout w:type="fixed"/>
              <w:tblLook w:val="04A0" w:firstRow="1" w:lastRow="0" w:firstColumn="1" w:lastColumn="0" w:noHBand="0" w:noVBand="1"/>
            </w:tblPr>
            <w:tblGrid>
              <w:gridCol w:w="4418"/>
              <w:gridCol w:w="1134"/>
              <w:gridCol w:w="1418"/>
              <w:gridCol w:w="1417"/>
            </w:tblGrid>
            <w:tr w:rsidR="00830E61" w:rsidRPr="006533E5" w14:paraId="63771BBB" w14:textId="77777777" w:rsidTr="006533E5">
              <w:trPr>
                <w:trHeight w:val="636"/>
              </w:trPr>
              <w:tc>
                <w:tcPr>
                  <w:tcW w:w="4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771BB7" w14:textId="77777777" w:rsidR="00830E61" w:rsidRPr="006533E5" w:rsidRDefault="00830E61" w:rsidP="00830E61">
                  <w:pPr>
                    <w:rPr>
                      <w:rFonts w:cs="Arial"/>
                      <w:b/>
                      <w:bCs/>
                      <w:color w:val="000000"/>
                      <w:sz w:val="20"/>
                      <w:szCs w:val="20"/>
                      <w:lang w:eastAsia="en-GB"/>
                    </w:rPr>
                  </w:pPr>
                  <w:r w:rsidRPr="006533E5">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771BB8" w14:textId="77777777" w:rsidR="00830E61" w:rsidRPr="006533E5" w:rsidRDefault="00830E61" w:rsidP="00830E61">
                  <w:pPr>
                    <w:jc w:val="center"/>
                    <w:rPr>
                      <w:rFonts w:cs="Arial"/>
                      <w:b/>
                      <w:bCs/>
                      <w:color w:val="000000"/>
                      <w:sz w:val="20"/>
                      <w:szCs w:val="20"/>
                      <w:lang w:eastAsia="en-GB"/>
                    </w:rPr>
                  </w:pPr>
                  <w:r w:rsidRPr="006533E5">
                    <w:rPr>
                      <w:rFonts w:cs="Arial"/>
                      <w:b/>
                      <w:bCs/>
                      <w:color w:val="000000"/>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771BB9" w14:textId="77777777" w:rsidR="00830E61" w:rsidRPr="006533E5" w:rsidRDefault="00830E61" w:rsidP="00830E61">
                  <w:pPr>
                    <w:jc w:val="center"/>
                    <w:rPr>
                      <w:rFonts w:cs="Arial"/>
                      <w:b/>
                      <w:bCs/>
                      <w:color w:val="000000"/>
                      <w:sz w:val="20"/>
                      <w:szCs w:val="20"/>
                      <w:lang w:eastAsia="en-GB"/>
                    </w:rPr>
                  </w:pPr>
                  <w:r w:rsidRPr="006533E5">
                    <w:rPr>
                      <w:rFonts w:cs="Arial"/>
                      <w:b/>
                      <w:bCs/>
                      <w:color w:val="000000"/>
                      <w:sz w:val="20"/>
                      <w:szCs w:val="20"/>
                      <w:lang w:eastAsia="en-GB"/>
                    </w:rPr>
                    <w:t>Unit Cost Total Value Average per Intervention</w:t>
                  </w:r>
                </w:p>
              </w:tc>
              <w:tc>
                <w:tcPr>
                  <w:tcW w:w="141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771BBA" w14:textId="77777777" w:rsidR="00830E61" w:rsidRPr="006533E5" w:rsidRDefault="00830E61" w:rsidP="00830E61">
                  <w:pPr>
                    <w:jc w:val="center"/>
                    <w:rPr>
                      <w:rFonts w:cs="Arial"/>
                      <w:b/>
                      <w:bCs/>
                      <w:color w:val="000000"/>
                      <w:sz w:val="20"/>
                      <w:szCs w:val="20"/>
                      <w:lang w:eastAsia="en-GB"/>
                    </w:rPr>
                  </w:pPr>
                  <w:r w:rsidRPr="006533E5">
                    <w:rPr>
                      <w:rFonts w:cs="Arial"/>
                      <w:b/>
                      <w:bCs/>
                      <w:color w:val="000000"/>
                      <w:sz w:val="20"/>
                      <w:szCs w:val="20"/>
                      <w:lang w:eastAsia="en-GB"/>
                    </w:rPr>
                    <w:t>£</w:t>
                  </w:r>
                </w:p>
              </w:tc>
            </w:tr>
            <w:tr w:rsidR="006533E5" w:rsidRPr="006533E5" w14:paraId="63771BC0" w14:textId="77777777" w:rsidTr="006533E5">
              <w:trPr>
                <w:trHeight w:val="339"/>
              </w:trPr>
              <w:tc>
                <w:tcPr>
                  <w:tcW w:w="4418" w:type="dxa"/>
                  <w:tcBorders>
                    <w:top w:val="single" w:sz="6" w:space="0" w:color="000000"/>
                    <w:left w:val="single" w:sz="6" w:space="0" w:color="auto"/>
                    <w:bottom w:val="single" w:sz="6" w:space="0" w:color="auto"/>
                    <w:right w:val="single" w:sz="6" w:space="0" w:color="auto"/>
                  </w:tcBorders>
                  <w:shd w:val="solid" w:color="C0C0C0" w:fill="C0C0C0"/>
                </w:tcPr>
                <w:p w14:paraId="63771BBC" w14:textId="77777777" w:rsidR="00E22522" w:rsidRPr="006533E5" w:rsidRDefault="00E22522" w:rsidP="00E22522">
                  <w:pPr>
                    <w:rPr>
                      <w:rFonts w:cs="Arial"/>
                      <w:color w:val="000000"/>
                      <w:sz w:val="20"/>
                      <w:szCs w:val="20"/>
                      <w:lang w:eastAsia="en-GB"/>
                    </w:rPr>
                  </w:pPr>
                  <w:r w:rsidRPr="006533E5">
                    <w:rPr>
                      <w:rFonts w:cs="Arial"/>
                      <w:color w:val="000000"/>
                      <w:sz w:val="20"/>
                      <w:szCs w:val="20"/>
                      <w:lang w:eastAsia="en-GB"/>
                    </w:rPr>
                    <w:t>SD01 - Employers engaged</w:t>
                  </w:r>
                </w:p>
              </w:tc>
              <w:tc>
                <w:tcPr>
                  <w:tcW w:w="1134" w:type="dxa"/>
                  <w:tcBorders>
                    <w:top w:val="single" w:sz="6" w:space="0" w:color="000000"/>
                    <w:left w:val="single" w:sz="6" w:space="0" w:color="auto"/>
                    <w:bottom w:val="single" w:sz="6" w:space="0" w:color="auto"/>
                    <w:right w:val="single" w:sz="6" w:space="0" w:color="auto"/>
                  </w:tcBorders>
                  <w:shd w:val="solid" w:color="C0C0C0" w:fill="C0C0C0"/>
                </w:tcPr>
                <w:p w14:paraId="63771BBD" w14:textId="77777777" w:rsidR="00E22522" w:rsidRPr="006533E5" w:rsidRDefault="00E22522" w:rsidP="00E22522">
                  <w:pPr>
                    <w:jc w:val="center"/>
                    <w:rPr>
                      <w:rFonts w:cs="Arial"/>
                      <w:color w:val="000000"/>
                      <w:sz w:val="20"/>
                      <w:szCs w:val="20"/>
                      <w:lang w:eastAsia="en-GB"/>
                    </w:rPr>
                  </w:pPr>
                  <w:r w:rsidRPr="006533E5">
                    <w:rPr>
                      <w:rFonts w:cs="Arial"/>
                      <w:color w:val="000000"/>
                      <w:sz w:val="20"/>
                      <w:szCs w:val="20"/>
                      <w:lang w:eastAsia="en-GB"/>
                    </w:rPr>
                    <w:t>800</w:t>
                  </w:r>
                </w:p>
              </w:tc>
              <w:tc>
                <w:tcPr>
                  <w:tcW w:w="1418" w:type="dxa"/>
                  <w:tcBorders>
                    <w:top w:val="single" w:sz="6" w:space="0" w:color="000000"/>
                    <w:left w:val="single" w:sz="6" w:space="0" w:color="auto"/>
                    <w:bottom w:val="single" w:sz="6" w:space="0" w:color="auto"/>
                    <w:right w:val="single" w:sz="6" w:space="0" w:color="auto"/>
                  </w:tcBorders>
                  <w:shd w:val="solid" w:color="C0C0C0" w:fill="C0C0C0"/>
                  <w:noWrap/>
                </w:tcPr>
                <w:p w14:paraId="63771BBE" w14:textId="77777777" w:rsidR="00E22522" w:rsidRPr="006533E5" w:rsidRDefault="00E22522" w:rsidP="00E22522">
                  <w:pPr>
                    <w:jc w:val="center"/>
                    <w:rPr>
                      <w:rFonts w:cs="Arial"/>
                      <w:color w:val="000000"/>
                      <w:sz w:val="20"/>
                      <w:szCs w:val="20"/>
                      <w:lang w:eastAsia="en-GB"/>
                    </w:rPr>
                  </w:pPr>
                  <w:r w:rsidRPr="006533E5">
                    <w:rPr>
                      <w:rFonts w:cs="Arial"/>
                      <w:color w:val="000000"/>
                      <w:sz w:val="20"/>
                      <w:szCs w:val="20"/>
                      <w:lang w:eastAsia="en-GB"/>
                    </w:rPr>
                    <w:t>£300</w:t>
                  </w:r>
                </w:p>
              </w:tc>
              <w:tc>
                <w:tcPr>
                  <w:tcW w:w="1417" w:type="dxa"/>
                  <w:tcBorders>
                    <w:top w:val="single" w:sz="6" w:space="0" w:color="000000"/>
                    <w:left w:val="single" w:sz="6" w:space="0" w:color="auto"/>
                    <w:bottom w:val="single" w:sz="6" w:space="0" w:color="auto"/>
                    <w:right w:val="single" w:sz="6" w:space="0" w:color="auto"/>
                  </w:tcBorders>
                  <w:shd w:val="solid" w:color="C0C0C0" w:fill="C0C0C0"/>
                  <w:noWrap/>
                </w:tcPr>
                <w:p w14:paraId="63771BBF" w14:textId="77777777" w:rsidR="00E22522" w:rsidRPr="006533E5" w:rsidRDefault="00E22522" w:rsidP="00E22522">
                  <w:pPr>
                    <w:jc w:val="center"/>
                    <w:rPr>
                      <w:rFonts w:cs="Arial"/>
                      <w:color w:val="000000"/>
                      <w:sz w:val="20"/>
                      <w:szCs w:val="20"/>
                      <w:lang w:eastAsia="en-GB"/>
                    </w:rPr>
                  </w:pPr>
                  <w:r w:rsidRPr="006533E5">
                    <w:rPr>
                      <w:rFonts w:cs="Arial"/>
                      <w:color w:val="000000"/>
                      <w:sz w:val="20"/>
                      <w:szCs w:val="20"/>
                      <w:lang w:eastAsia="en-GB"/>
                    </w:rPr>
                    <w:t>£240,000</w:t>
                  </w:r>
                </w:p>
              </w:tc>
            </w:tr>
            <w:tr w:rsidR="00E22522" w:rsidRPr="006533E5" w14:paraId="63771BC5" w14:textId="77777777" w:rsidTr="006533E5">
              <w:trPr>
                <w:trHeight w:val="260"/>
              </w:trPr>
              <w:tc>
                <w:tcPr>
                  <w:tcW w:w="4418" w:type="dxa"/>
                  <w:tcBorders>
                    <w:top w:val="single" w:sz="6" w:space="0" w:color="000000"/>
                    <w:left w:val="single" w:sz="6" w:space="0" w:color="auto"/>
                    <w:bottom w:val="single" w:sz="6" w:space="0" w:color="auto"/>
                    <w:right w:val="single" w:sz="6" w:space="0" w:color="auto"/>
                  </w:tcBorders>
                </w:tcPr>
                <w:p w14:paraId="63771BC1" w14:textId="77777777" w:rsidR="00E22522" w:rsidRPr="006533E5" w:rsidRDefault="00E22522" w:rsidP="00E22522">
                  <w:pPr>
                    <w:rPr>
                      <w:rFonts w:cs="Arial"/>
                      <w:color w:val="000000"/>
                      <w:sz w:val="20"/>
                      <w:szCs w:val="20"/>
                      <w:lang w:eastAsia="en-GB"/>
                    </w:rPr>
                  </w:pPr>
                  <w:r w:rsidRPr="006533E5">
                    <w:rPr>
                      <w:rFonts w:cs="Arial"/>
                      <w:color w:val="000000"/>
                      <w:sz w:val="20"/>
                      <w:szCs w:val="20"/>
                      <w:lang w:eastAsia="en-GB"/>
                    </w:rPr>
                    <w:t xml:space="preserve">ST01 Learner Assessment and Plan </w:t>
                  </w:r>
                </w:p>
              </w:tc>
              <w:tc>
                <w:tcPr>
                  <w:tcW w:w="1134" w:type="dxa"/>
                  <w:tcBorders>
                    <w:top w:val="single" w:sz="6" w:space="0" w:color="auto"/>
                    <w:left w:val="single" w:sz="6" w:space="0" w:color="auto"/>
                    <w:bottom w:val="single" w:sz="6" w:space="0" w:color="auto"/>
                    <w:right w:val="single" w:sz="6" w:space="0" w:color="auto"/>
                  </w:tcBorders>
                </w:tcPr>
                <w:p w14:paraId="63771BC2" w14:textId="77777777" w:rsidR="00E22522" w:rsidRPr="006533E5" w:rsidRDefault="00E22522" w:rsidP="00E22522">
                  <w:pPr>
                    <w:jc w:val="center"/>
                    <w:rPr>
                      <w:rFonts w:cs="Arial"/>
                      <w:sz w:val="20"/>
                      <w:szCs w:val="20"/>
                      <w:lang w:eastAsia="en-GB"/>
                    </w:rPr>
                  </w:pPr>
                  <w:r w:rsidRPr="006533E5">
                    <w:rPr>
                      <w:rFonts w:cs="Arial"/>
                      <w:color w:val="000000"/>
                      <w:sz w:val="20"/>
                      <w:szCs w:val="20"/>
                      <w:lang w:eastAsia="en-GB"/>
                    </w:rPr>
                    <w:t>671</w:t>
                  </w:r>
                </w:p>
              </w:tc>
              <w:tc>
                <w:tcPr>
                  <w:tcW w:w="1418" w:type="dxa"/>
                  <w:tcBorders>
                    <w:top w:val="single" w:sz="6" w:space="0" w:color="auto"/>
                    <w:left w:val="single" w:sz="6" w:space="0" w:color="auto"/>
                    <w:bottom w:val="single" w:sz="6" w:space="0" w:color="auto"/>
                    <w:right w:val="single" w:sz="6" w:space="0" w:color="auto"/>
                  </w:tcBorders>
                  <w:noWrap/>
                </w:tcPr>
                <w:p w14:paraId="63771BC3" w14:textId="77777777" w:rsidR="00E22522" w:rsidRPr="006533E5" w:rsidRDefault="00E22522" w:rsidP="00E22522">
                  <w:pPr>
                    <w:jc w:val="center"/>
                    <w:rPr>
                      <w:rFonts w:cs="Arial"/>
                      <w:color w:val="000000"/>
                      <w:sz w:val="20"/>
                      <w:szCs w:val="20"/>
                      <w:lang w:eastAsia="en-GB"/>
                    </w:rPr>
                  </w:pPr>
                  <w:r w:rsidRPr="006533E5">
                    <w:rPr>
                      <w:rFonts w:cs="Arial"/>
                      <w:color w:val="000000"/>
                      <w:sz w:val="20"/>
                      <w:szCs w:val="20"/>
                      <w:lang w:eastAsia="en-GB"/>
                    </w:rPr>
                    <w:t>£100</w:t>
                  </w:r>
                </w:p>
              </w:tc>
              <w:tc>
                <w:tcPr>
                  <w:tcW w:w="1417" w:type="dxa"/>
                  <w:tcBorders>
                    <w:top w:val="single" w:sz="6" w:space="0" w:color="auto"/>
                    <w:left w:val="single" w:sz="6" w:space="0" w:color="auto"/>
                    <w:bottom w:val="single" w:sz="6" w:space="0" w:color="auto"/>
                    <w:right w:val="single" w:sz="6" w:space="0" w:color="auto"/>
                  </w:tcBorders>
                  <w:noWrap/>
                </w:tcPr>
                <w:p w14:paraId="63771BC4" w14:textId="77777777" w:rsidR="00E22522" w:rsidRPr="006533E5" w:rsidRDefault="00E22522" w:rsidP="00E22522">
                  <w:pPr>
                    <w:jc w:val="center"/>
                    <w:rPr>
                      <w:rFonts w:cs="Arial"/>
                      <w:color w:val="000000"/>
                      <w:sz w:val="20"/>
                      <w:szCs w:val="20"/>
                      <w:lang w:eastAsia="en-GB"/>
                    </w:rPr>
                  </w:pPr>
                  <w:r w:rsidRPr="006533E5">
                    <w:rPr>
                      <w:rFonts w:cs="Arial"/>
                      <w:color w:val="000000"/>
                      <w:sz w:val="20"/>
                      <w:szCs w:val="20"/>
                      <w:lang w:eastAsia="en-GB"/>
                    </w:rPr>
                    <w:t>£67,100</w:t>
                  </w:r>
                </w:p>
              </w:tc>
            </w:tr>
            <w:tr w:rsidR="006533E5" w:rsidRPr="006533E5" w14:paraId="63771BCA" w14:textId="77777777" w:rsidTr="006533E5">
              <w:trPr>
                <w:trHeight w:val="278"/>
              </w:trPr>
              <w:tc>
                <w:tcPr>
                  <w:tcW w:w="4418" w:type="dxa"/>
                  <w:tcBorders>
                    <w:top w:val="single" w:sz="6" w:space="0" w:color="000000"/>
                    <w:left w:val="single" w:sz="6" w:space="0" w:color="auto"/>
                    <w:bottom w:val="single" w:sz="6" w:space="0" w:color="auto"/>
                    <w:right w:val="single" w:sz="6" w:space="0" w:color="auto"/>
                  </w:tcBorders>
                  <w:shd w:val="solid" w:color="C0C0C0" w:fill="C0C0C0"/>
                </w:tcPr>
                <w:p w14:paraId="63771BC6" w14:textId="77777777" w:rsidR="00E22522" w:rsidRPr="006533E5" w:rsidRDefault="00E22522" w:rsidP="00E22522">
                  <w:pPr>
                    <w:rPr>
                      <w:rFonts w:cs="Arial"/>
                      <w:color w:val="000000"/>
                      <w:sz w:val="20"/>
                      <w:szCs w:val="20"/>
                      <w:lang w:eastAsia="en-GB"/>
                    </w:rPr>
                  </w:pPr>
                  <w:r w:rsidRPr="006533E5">
                    <w:rPr>
                      <w:rFonts w:cs="Arial"/>
                      <w:color w:val="000000"/>
                      <w:sz w:val="20"/>
                      <w:szCs w:val="20"/>
                      <w:lang w:eastAsia="en-GB"/>
                    </w:rPr>
                    <w:t>PG04 Progression Apprenticeship (EDU)</w:t>
                  </w:r>
                </w:p>
              </w:tc>
              <w:tc>
                <w:tcPr>
                  <w:tcW w:w="1134" w:type="dxa"/>
                  <w:tcBorders>
                    <w:top w:val="single" w:sz="6" w:space="0" w:color="auto"/>
                    <w:left w:val="single" w:sz="6" w:space="0" w:color="auto"/>
                    <w:bottom w:val="single" w:sz="6" w:space="0" w:color="auto"/>
                    <w:right w:val="single" w:sz="6" w:space="0" w:color="auto"/>
                  </w:tcBorders>
                  <w:shd w:val="solid" w:color="C0C0C0" w:fill="C0C0C0"/>
                </w:tcPr>
                <w:p w14:paraId="63771BC7" w14:textId="77777777" w:rsidR="00E22522" w:rsidRPr="006533E5" w:rsidRDefault="00E22522" w:rsidP="00E22522">
                  <w:pPr>
                    <w:jc w:val="center"/>
                    <w:rPr>
                      <w:rFonts w:cs="Arial"/>
                      <w:sz w:val="20"/>
                      <w:szCs w:val="20"/>
                      <w:lang w:eastAsia="en-GB"/>
                    </w:rPr>
                  </w:pPr>
                  <w:r w:rsidRPr="006533E5">
                    <w:rPr>
                      <w:rFonts w:cs="Arial"/>
                      <w:color w:val="000000"/>
                      <w:sz w:val="20"/>
                      <w:szCs w:val="20"/>
                      <w:lang w:eastAsia="en-GB"/>
                    </w:rPr>
                    <w:t>270</w:t>
                  </w:r>
                </w:p>
              </w:tc>
              <w:tc>
                <w:tcPr>
                  <w:tcW w:w="1418" w:type="dxa"/>
                  <w:tcBorders>
                    <w:top w:val="single" w:sz="6" w:space="0" w:color="auto"/>
                    <w:left w:val="single" w:sz="6" w:space="0" w:color="auto"/>
                    <w:bottom w:val="single" w:sz="6" w:space="0" w:color="auto"/>
                    <w:right w:val="single" w:sz="6" w:space="0" w:color="auto"/>
                  </w:tcBorders>
                  <w:shd w:val="solid" w:color="C0C0C0" w:fill="C0C0C0"/>
                  <w:noWrap/>
                </w:tcPr>
                <w:p w14:paraId="63771BC8" w14:textId="77777777" w:rsidR="00E22522" w:rsidRPr="006533E5" w:rsidRDefault="00E22522" w:rsidP="00E22522">
                  <w:pPr>
                    <w:jc w:val="center"/>
                    <w:rPr>
                      <w:rFonts w:cs="Arial"/>
                      <w:color w:val="000000"/>
                      <w:sz w:val="20"/>
                      <w:szCs w:val="20"/>
                      <w:lang w:eastAsia="en-GB"/>
                    </w:rPr>
                  </w:pPr>
                  <w:r w:rsidRPr="006533E5">
                    <w:rPr>
                      <w:rFonts w:cs="Arial"/>
                      <w:color w:val="000000"/>
                      <w:sz w:val="20"/>
                      <w:szCs w:val="20"/>
                      <w:lang w:eastAsia="en-GB"/>
                    </w:rPr>
                    <w:t>£400</w:t>
                  </w:r>
                </w:p>
              </w:tc>
              <w:tc>
                <w:tcPr>
                  <w:tcW w:w="1417" w:type="dxa"/>
                  <w:tcBorders>
                    <w:top w:val="single" w:sz="6" w:space="0" w:color="auto"/>
                    <w:left w:val="single" w:sz="6" w:space="0" w:color="auto"/>
                    <w:bottom w:val="single" w:sz="6" w:space="0" w:color="auto"/>
                    <w:right w:val="single" w:sz="6" w:space="0" w:color="auto"/>
                  </w:tcBorders>
                  <w:shd w:val="solid" w:color="C0C0C0" w:fill="C0C0C0"/>
                  <w:noWrap/>
                </w:tcPr>
                <w:p w14:paraId="63771BC9" w14:textId="77777777" w:rsidR="00E22522" w:rsidRPr="006533E5" w:rsidRDefault="00E22522" w:rsidP="00E22522">
                  <w:pPr>
                    <w:jc w:val="center"/>
                    <w:rPr>
                      <w:rFonts w:cs="Arial"/>
                      <w:color w:val="000000"/>
                      <w:sz w:val="20"/>
                      <w:szCs w:val="20"/>
                      <w:lang w:eastAsia="en-GB"/>
                    </w:rPr>
                  </w:pPr>
                  <w:r w:rsidRPr="006533E5">
                    <w:rPr>
                      <w:rFonts w:cs="Arial"/>
                      <w:color w:val="000000"/>
                      <w:sz w:val="20"/>
                      <w:szCs w:val="20"/>
                      <w:lang w:eastAsia="en-GB"/>
                    </w:rPr>
                    <w:t>£108,000</w:t>
                  </w:r>
                </w:p>
              </w:tc>
            </w:tr>
            <w:tr w:rsidR="00E22522" w:rsidRPr="006533E5" w14:paraId="63771BCF" w14:textId="77777777" w:rsidTr="006533E5">
              <w:trPr>
                <w:trHeight w:val="450"/>
              </w:trPr>
              <w:tc>
                <w:tcPr>
                  <w:tcW w:w="4418" w:type="dxa"/>
                  <w:tcBorders>
                    <w:top w:val="single" w:sz="6" w:space="0" w:color="000000"/>
                    <w:left w:val="single" w:sz="6" w:space="0" w:color="auto"/>
                    <w:bottom w:val="single" w:sz="6" w:space="0" w:color="auto"/>
                    <w:right w:val="single" w:sz="6" w:space="0" w:color="auto"/>
                  </w:tcBorders>
                </w:tcPr>
                <w:p w14:paraId="63771BCB" w14:textId="77777777" w:rsidR="00E22522" w:rsidRPr="006533E5" w:rsidRDefault="00E22522" w:rsidP="00E22522">
                  <w:pPr>
                    <w:rPr>
                      <w:rFonts w:cs="Arial"/>
                      <w:color w:val="000000"/>
                      <w:sz w:val="20"/>
                      <w:szCs w:val="20"/>
                      <w:lang w:eastAsia="en-GB"/>
                    </w:rPr>
                  </w:pPr>
                  <w:r w:rsidRPr="006533E5">
                    <w:rPr>
                      <w:rFonts w:cs="Arial"/>
                      <w:color w:val="000000"/>
                      <w:sz w:val="20"/>
                      <w:szCs w:val="20"/>
                      <w:lang w:eastAsia="en-GB"/>
                    </w:rPr>
                    <w:t xml:space="preserve">SD02 </w:t>
                  </w:r>
                  <w:r w:rsidR="006769F7" w:rsidRPr="006533E5">
                    <w:rPr>
                      <w:rFonts w:cs="Arial"/>
                      <w:sz w:val="20"/>
                      <w:szCs w:val="20"/>
                    </w:rPr>
                    <w:t>Skills Factory bite size courses for individuals</w:t>
                  </w:r>
                </w:p>
              </w:tc>
              <w:tc>
                <w:tcPr>
                  <w:tcW w:w="1134" w:type="dxa"/>
                  <w:tcBorders>
                    <w:top w:val="single" w:sz="6" w:space="0" w:color="auto"/>
                    <w:left w:val="single" w:sz="6" w:space="0" w:color="auto"/>
                    <w:bottom w:val="single" w:sz="6" w:space="0" w:color="auto"/>
                    <w:right w:val="single" w:sz="6" w:space="0" w:color="auto"/>
                  </w:tcBorders>
                </w:tcPr>
                <w:p w14:paraId="63771BCC" w14:textId="77777777" w:rsidR="00E22522" w:rsidRPr="006533E5" w:rsidRDefault="00E22522" w:rsidP="00E22522">
                  <w:pPr>
                    <w:jc w:val="center"/>
                    <w:rPr>
                      <w:rFonts w:cs="Arial"/>
                      <w:color w:val="000000"/>
                      <w:sz w:val="20"/>
                      <w:szCs w:val="20"/>
                      <w:lang w:eastAsia="en-GB"/>
                    </w:rPr>
                  </w:pPr>
                  <w:r w:rsidRPr="006533E5">
                    <w:rPr>
                      <w:rFonts w:cs="Arial"/>
                      <w:color w:val="000000"/>
                      <w:sz w:val="20"/>
                      <w:szCs w:val="20"/>
                      <w:lang w:eastAsia="en-GB"/>
                    </w:rPr>
                    <w:t>404</w:t>
                  </w:r>
                </w:p>
              </w:tc>
              <w:tc>
                <w:tcPr>
                  <w:tcW w:w="1418" w:type="dxa"/>
                  <w:tcBorders>
                    <w:top w:val="single" w:sz="6" w:space="0" w:color="auto"/>
                    <w:left w:val="single" w:sz="6" w:space="0" w:color="auto"/>
                    <w:bottom w:val="single" w:sz="6" w:space="0" w:color="auto"/>
                    <w:right w:val="single" w:sz="6" w:space="0" w:color="auto"/>
                  </w:tcBorders>
                  <w:noWrap/>
                </w:tcPr>
                <w:p w14:paraId="63771BCD" w14:textId="77777777" w:rsidR="00E22522" w:rsidRPr="006533E5" w:rsidRDefault="00E22522" w:rsidP="00E22522">
                  <w:pPr>
                    <w:jc w:val="center"/>
                    <w:rPr>
                      <w:rFonts w:cs="Arial"/>
                      <w:color w:val="000000"/>
                      <w:sz w:val="20"/>
                      <w:szCs w:val="20"/>
                      <w:lang w:eastAsia="en-GB"/>
                    </w:rPr>
                  </w:pPr>
                  <w:r w:rsidRPr="006533E5">
                    <w:rPr>
                      <w:rFonts w:cs="Arial"/>
                      <w:color w:val="000000"/>
                      <w:sz w:val="20"/>
                      <w:szCs w:val="20"/>
                      <w:lang w:eastAsia="en-GB"/>
                    </w:rPr>
                    <w:t>£250</w:t>
                  </w:r>
                </w:p>
              </w:tc>
              <w:tc>
                <w:tcPr>
                  <w:tcW w:w="1417" w:type="dxa"/>
                  <w:tcBorders>
                    <w:top w:val="single" w:sz="6" w:space="0" w:color="auto"/>
                    <w:left w:val="single" w:sz="6" w:space="0" w:color="auto"/>
                    <w:bottom w:val="single" w:sz="6" w:space="0" w:color="auto"/>
                    <w:right w:val="single" w:sz="6" w:space="0" w:color="auto"/>
                  </w:tcBorders>
                  <w:noWrap/>
                </w:tcPr>
                <w:p w14:paraId="63771BCE" w14:textId="77777777" w:rsidR="00E22522" w:rsidRPr="006533E5" w:rsidRDefault="00E22522" w:rsidP="00E22522">
                  <w:pPr>
                    <w:jc w:val="center"/>
                    <w:rPr>
                      <w:rFonts w:cs="Arial"/>
                      <w:color w:val="000000"/>
                      <w:sz w:val="20"/>
                      <w:szCs w:val="20"/>
                      <w:lang w:eastAsia="en-GB"/>
                    </w:rPr>
                  </w:pPr>
                  <w:r w:rsidRPr="006533E5">
                    <w:rPr>
                      <w:rFonts w:cs="Arial"/>
                      <w:color w:val="000000"/>
                      <w:sz w:val="20"/>
                      <w:szCs w:val="20"/>
                      <w:lang w:eastAsia="en-GB"/>
                    </w:rPr>
                    <w:t>£101,000</w:t>
                  </w:r>
                </w:p>
              </w:tc>
            </w:tr>
            <w:tr w:rsidR="006533E5" w:rsidRPr="006533E5" w14:paraId="63771BD4" w14:textId="77777777" w:rsidTr="006533E5">
              <w:trPr>
                <w:trHeight w:val="360"/>
              </w:trPr>
              <w:tc>
                <w:tcPr>
                  <w:tcW w:w="4418" w:type="dxa"/>
                  <w:tcBorders>
                    <w:top w:val="single" w:sz="6" w:space="0" w:color="000000"/>
                    <w:left w:val="single" w:sz="6" w:space="0" w:color="auto"/>
                    <w:bottom w:val="single" w:sz="6" w:space="0" w:color="auto"/>
                    <w:right w:val="single" w:sz="6" w:space="0" w:color="auto"/>
                  </w:tcBorders>
                  <w:shd w:val="solid" w:color="C0C0C0" w:fill="C0C0C0"/>
                </w:tcPr>
                <w:p w14:paraId="63771BD0" w14:textId="77777777" w:rsidR="00E22522" w:rsidRPr="006533E5" w:rsidRDefault="00E22522" w:rsidP="00E22522">
                  <w:pPr>
                    <w:rPr>
                      <w:rFonts w:cs="Arial"/>
                      <w:color w:val="000000"/>
                      <w:sz w:val="20"/>
                      <w:szCs w:val="20"/>
                      <w:lang w:eastAsia="en-GB"/>
                    </w:rPr>
                  </w:pPr>
                  <w:r w:rsidRPr="006533E5">
                    <w:rPr>
                      <w:rFonts w:cs="Arial"/>
                      <w:color w:val="000000"/>
                      <w:sz w:val="20"/>
                      <w:szCs w:val="20"/>
                      <w:lang w:eastAsia="en-GB"/>
                    </w:rPr>
                    <w:t>SD03 Schools engaged</w:t>
                  </w:r>
                </w:p>
              </w:tc>
              <w:tc>
                <w:tcPr>
                  <w:tcW w:w="1134" w:type="dxa"/>
                  <w:tcBorders>
                    <w:top w:val="single" w:sz="6" w:space="0" w:color="auto"/>
                    <w:left w:val="single" w:sz="6" w:space="0" w:color="auto"/>
                    <w:bottom w:val="single" w:sz="6" w:space="0" w:color="auto"/>
                    <w:right w:val="single" w:sz="6" w:space="0" w:color="auto"/>
                  </w:tcBorders>
                  <w:shd w:val="solid" w:color="C0C0C0" w:fill="C0C0C0"/>
                </w:tcPr>
                <w:p w14:paraId="63771BD1" w14:textId="77777777" w:rsidR="00E22522" w:rsidRPr="006533E5" w:rsidRDefault="00E22522" w:rsidP="00E22522">
                  <w:pPr>
                    <w:jc w:val="center"/>
                    <w:rPr>
                      <w:rFonts w:cs="Arial"/>
                      <w:sz w:val="20"/>
                      <w:szCs w:val="20"/>
                      <w:lang w:eastAsia="en-GB"/>
                    </w:rPr>
                  </w:pPr>
                  <w:r w:rsidRPr="006533E5">
                    <w:rPr>
                      <w:rFonts w:cs="Arial"/>
                      <w:color w:val="000000"/>
                      <w:sz w:val="20"/>
                      <w:szCs w:val="20"/>
                      <w:lang w:eastAsia="en-GB"/>
                    </w:rPr>
                    <w:t>15</w:t>
                  </w:r>
                </w:p>
              </w:tc>
              <w:tc>
                <w:tcPr>
                  <w:tcW w:w="1418" w:type="dxa"/>
                  <w:tcBorders>
                    <w:top w:val="single" w:sz="6" w:space="0" w:color="auto"/>
                    <w:left w:val="single" w:sz="6" w:space="0" w:color="auto"/>
                    <w:bottom w:val="single" w:sz="6" w:space="0" w:color="auto"/>
                    <w:right w:val="single" w:sz="6" w:space="0" w:color="auto"/>
                  </w:tcBorders>
                  <w:shd w:val="solid" w:color="C0C0C0" w:fill="C0C0C0"/>
                  <w:noWrap/>
                </w:tcPr>
                <w:p w14:paraId="63771BD2" w14:textId="77777777" w:rsidR="00E22522" w:rsidRPr="006533E5" w:rsidRDefault="00E22522" w:rsidP="00E22522">
                  <w:pPr>
                    <w:jc w:val="center"/>
                    <w:rPr>
                      <w:rFonts w:cs="Arial"/>
                      <w:color w:val="000000"/>
                      <w:sz w:val="20"/>
                      <w:szCs w:val="20"/>
                      <w:lang w:eastAsia="en-GB"/>
                    </w:rPr>
                  </w:pPr>
                  <w:r w:rsidRPr="006533E5">
                    <w:rPr>
                      <w:rFonts w:cs="Arial"/>
                      <w:color w:val="000000"/>
                      <w:sz w:val="20"/>
                      <w:szCs w:val="20"/>
                      <w:lang w:eastAsia="en-GB"/>
                    </w:rPr>
                    <w:t>£500</w:t>
                  </w:r>
                </w:p>
              </w:tc>
              <w:tc>
                <w:tcPr>
                  <w:tcW w:w="1417" w:type="dxa"/>
                  <w:tcBorders>
                    <w:top w:val="single" w:sz="6" w:space="0" w:color="auto"/>
                    <w:left w:val="single" w:sz="6" w:space="0" w:color="auto"/>
                    <w:bottom w:val="single" w:sz="6" w:space="0" w:color="auto"/>
                    <w:right w:val="single" w:sz="6" w:space="0" w:color="auto"/>
                  </w:tcBorders>
                  <w:shd w:val="solid" w:color="C0C0C0" w:fill="C0C0C0"/>
                  <w:noWrap/>
                </w:tcPr>
                <w:p w14:paraId="63771BD3" w14:textId="77777777" w:rsidR="00E22522" w:rsidRPr="006533E5" w:rsidRDefault="00E22522" w:rsidP="00E22522">
                  <w:pPr>
                    <w:jc w:val="center"/>
                    <w:rPr>
                      <w:rFonts w:cs="Arial"/>
                      <w:color w:val="000000"/>
                      <w:sz w:val="20"/>
                      <w:szCs w:val="20"/>
                      <w:lang w:eastAsia="en-GB"/>
                    </w:rPr>
                  </w:pPr>
                  <w:r w:rsidRPr="006533E5">
                    <w:rPr>
                      <w:rFonts w:cs="Arial"/>
                      <w:color w:val="000000"/>
                      <w:sz w:val="20"/>
                      <w:szCs w:val="20"/>
                      <w:lang w:eastAsia="en-GB"/>
                    </w:rPr>
                    <w:t>£7,500</w:t>
                  </w:r>
                </w:p>
              </w:tc>
            </w:tr>
            <w:tr w:rsidR="00E22522" w:rsidRPr="006533E5" w14:paraId="63771BD9" w14:textId="77777777" w:rsidTr="006533E5">
              <w:trPr>
                <w:trHeight w:val="266"/>
              </w:trPr>
              <w:tc>
                <w:tcPr>
                  <w:tcW w:w="4418" w:type="dxa"/>
                  <w:tcBorders>
                    <w:top w:val="single" w:sz="6" w:space="0" w:color="000000"/>
                    <w:left w:val="single" w:sz="6" w:space="0" w:color="auto"/>
                    <w:bottom w:val="single" w:sz="6" w:space="0" w:color="auto"/>
                    <w:right w:val="single" w:sz="6" w:space="0" w:color="auto"/>
                  </w:tcBorders>
                </w:tcPr>
                <w:p w14:paraId="63771BD5" w14:textId="77777777" w:rsidR="00E22522" w:rsidRPr="006533E5" w:rsidRDefault="00E22522" w:rsidP="00E22522">
                  <w:pPr>
                    <w:rPr>
                      <w:rFonts w:cs="Arial"/>
                      <w:color w:val="000000"/>
                      <w:sz w:val="20"/>
                      <w:szCs w:val="20"/>
                      <w:lang w:eastAsia="en-GB"/>
                    </w:rPr>
                  </w:pPr>
                  <w:r w:rsidRPr="006533E5">
                    <w:rPr>
                      <w:rFonts w:cs="Arial"/>
                      <w:color w:val="000000"/>
                      <w:sz w:val="20"/>
                      <w:szCs w:val="20"/>
                      <w:lang w:eastAsia="en-GB"/>
                    </w:rPr>
                    <w:t>SD04 Skills factories set up</w:t>
                  </w:r>
                </w:p>
              </w:tc>
              <w:tc>
                <w:tcPr>
                  <w:tcW w:w="1134" w:type="dxa"/>
                  <w:tcBorders>
                    <w:top w:val="single" w:sz="6" w:space="0" w:color="auto"/>
                    <w:left w:val="single" w:sz="6" w:space="0" w:color="auto"/>
                    <w:bottom w:val="single" w:sz="6" w:space="0" w:color="auto"/>
                    <w:right w:val="single" w:sz="6" w:space="0" w:color="auto"/>
                  </w:tcBorders>
                </w:tcPr>
                <w:p w14:paraId="63771BD6" w14:textId="77777777" w:rsidR="00E22522" w:rsidRPr="006533E5" w:rsidRDefault="00E22522" w:rsidP="00E22522">
                  <w:pPr>
                    <w:jc w:val="center"/>
                    <w:rPr>
                      <w:rFonts w:cs="Arial"/>
                      <w:sz w:val="20"/>
                      <w:szCs w:val="20"/>
                      <w:lang w:eastAsia="en-GB"/>
                    </w:rPr>
                  </w:pPr>
                  <w:r w:rsidRPr="006533E5">
                    <w:rPr>
                      <w:rFonts w:cs="Arial"/>
                      <w:color w:val="000000"/>
                      <w:sz w:val="20"/>
                      <w:szCs w:val="20"/>
                      <w:lang w:eastAsia="en-GB"/>
                    </w:rPr>
                    <w:t>1</w:t>
                  </w:r>
                </w:p>
              </w:tc>
              <w:tc>
                <w:tcPr>
                  <w:tcW w:w="1418" w:type="dxa"/>
                  <w:tcBorders>
                    <w:top w:val="single" w:sz="6" w:space="0" w:color="auto"/>
                    <w:left w:val="single" w:sz="6" w:space="0" w:color="auto"/>
                    <w:bottom w:val="single" w:sz="6" w:space="0" w:color="auto"/>
                    <w:right w:val="single" w:sz="6" w:space="0" w:color="auto"/>
                  </w:tcBorders>
                  <w:noWrap/>
                </w:tcPr>
                <w:p w14:paraId="63771BD7" w14:textId="77777777" w:rsidR="00E22522" w:rsidRPr="006533E5" w:rsidRDefault="00E22522" w:rsidP="00E22522">
                  <w:pPr>
                    <w:jc w:val="center"/>
                    <w:rPr>
                      <w:rFonts w:cs="Arial"/>
                      <w:color w:val="000000"/>
                      <w:sz w:val="20"/>
                      <w:szCs w:val="20"/>
                      <w:lang w:eastAsia="en-GB"/>
                    </w:rPr>
                  </w:pPr>
                  <w:r w:rsidRPr="006533E5">
                    <w:rPr>
                      <w:rFonts w:cs="Arial"/>
                      <w:color w:val="000000"/>
                      <w:sz w:val="20"/>
                      <w:szCs w:val="20"/>
                      <w:lang w:eastAsia="en-GB"/>
                    </w:rPr>
                    <w:t>£10,072</w:t>
                  </w:r>
                </w:p>
              </w:tc>
              <w:tc>
                <w:tcPr>
                  <w:tcW w:w="1417" w:type="dxa"/>
                  <w:tcBorders>
                    <w:top w:val="single" w:sz="6" w:space="0" w:color="auto"/>
                    <w:left w:val="single" w:sz="6" w:space="0" w:color="auto"/>
                    <w:bottom w:val="single" w:sz="6" w:space="0" w:color="auto"/>
                    <w:right w:val="single" w:sz="6" w:space="0" w:color="auto"/>
                  </w:tcBorders>
                  <w:noWrap/>
                </w:tcPr>
                <w:p w14:paraId="63771BD8" w14:textId="77777777" w:rsidR="00E22522" w:rsidRPr="006533E5" w:rsidRDefault="00E22522" w:rsidP="00E22522">
                  <w:pPr>
                    <w:jc w:val="center"/>
                    <w:rPr>
                      <w:rFonts w:cs="Arial"/>
                      <w:color w:val="000000"/>
                      <w:sz w:val="20"/>
                      <w:szCs w:val="20"/>
                      <w:lang w:eastAsia="en-GB"/>
                    </w:rPr>
                  </w:pPr>
                  <w:r w:rsidRPr="006533E5">
                    <w:rPr>
                      <w:rFonts w:cs="Arial"/>
                      <w:color w:val="000000"/>
                      <w:sz w:val="20"/>
                      <w:szCs w:val="20"/>
                      <w:lang w:eastAsia="en-GB"/>
                    </w:rPr>
                    <w:t>£10,072</w:t>
                  </w:r>
                </w:p>
              </w:tc>
            </w:tr>
          </w:tbl>
          <w:p w14:paraId="63771BDA" w14:textId="77777777" w:rsidR="00745DD8" w:rsidRDefault="00745DD8" w:rsidP="00A005EF">
            <w:pPr>
              <w:rPr>
                <w:rFonts w:cs="Arial"/>
              </w:rPr>
            </w:pPr>
          </w:p>
          <w:p w14:paraId="63771BDB" w14:textId="77777777" w:rsidR="00344FA1" w:rsidRPr="00084F08" w:rsidRDefault="00344FA1" w:rsidP="00084F08">
            <w:pPr>
              <w:autoSpaceDE w:val="0"/>
              <w:autoSpaceDN w:val="0"/>
              <w:adjustRightInd w:val="0"/>
              <w:rPr>
                <w:rFonts w:cs="Arial"/>
                <w:b/>
              </w:rPr>
            </w:pPr>
          </w:p>
        </w:tc>
      </w:tr>
    </w:tbl>
    <w:p w14:paraId="63771BDD" w14:textId="77777777" w:rsidR="00A005EF" w:rsidRDefault="00A005EF"/>
    <w:p w14:paraId="1F7A77E5" w14:textId="77777777" w:rsidR="0079440A" w:rsidRDefault="0079440A"/>
    <w:p w14:paraId="3856558C" w14:textId="77777777" w:rsidR="0079440A" w:rsidRDefault="0079440A"/>
    <w:p w14:paraId="631CAF07" w14:textId="77777777" w:rsidR="0079440A" w:rsidRDefault="0079440A"/>
    <w:p w14:paraId="5E739135" w14:textId="77777777" w:rsidR="0079440A" w:rsidRDefault="0079440A"/>
    <w:p w14:paraId="12968D27" w14:textId="77777777" w:rsidR="0079440A" w:rsidRDefault="0079440A"/>
    <w:p w14:paraId="34B1BE0D" w14:textId="77777777" w:rsidR="0079440A" w:rsidRDefault="0079440A"/>
    <w:p w14:paraId="21D4CAFF" w14:textId="77777777" w:rsidR="0079440A" w:rsidRDefault="0079440A"/>
    <w:p w14:paraId="7B7C5D0B" w14:textId="77777777" w:rsidR="0079440A" w:rsidRDefault="0079440A"/>
    <w:p w14:paraId="6D0A68FA" w14:textId="77777777" w:rsidR="0079440A" w:rsidRDefault="0079440A"/>
    <w:p w14:paraId="436A33EF" w14:textId="77777777" w:rsidR="0079440A" w:rsidRDefault="0079440A"/>
    <w:p w14:paraId="5C572E11" w14:textId="77777777" w:rsidR="0079440A" w:rsidRDefault="0079440A"/>
    <w:p w14:paraId="178F1EA4" w14:textId="77777777" w:rsidR="0079440A" w:rsidRDefault="0079440A"/>
    <w:p w14:paraId="68973299" w14:textId="77777777" w:rsidR="0079440A" w:rsidRDefault="0079440A"/>
    <w:p w14:paraId="0B7CFA31" w14:textId="77777777" w:rsidR="0079440A" w:rsidRDefault="0079440A"/>
    <w:p w14:paraId="5496DEC6" w14:textId="77777777" w:rsidR="0079440A" w:rsidRDefault="0079440A"/>
    <w:p w14:paraId="3AED3BE1" w14:textId="77777777" w:rsidR="0079440A" w:rsidRDefault="0079440A"/>
    <w:p w14:paraId="3A1EFA6F" w14:textId="77777777" w:rsidR="0079440A" w:rsidRDefault="0079440A"/>
    <w:p w14:paraId="517A4A0B" w14:textId="77777777" w:rsidR="0079440A" w:rsidRDefault="0079440A"/>
    <w:p w14:paraId="5B775A0B" w14:textId="77777777" w:rsidR="0079440A" w:rsidRDefault="0079440A">
      <w:bookmarkStart w:id="0" w:name="_GoBack"/>
      <w:bookmarkEnd w:id="0"/>
    </w:p>
    <w:sectPr w:rsidR="0079440A" w:rsidSect="0014799D">
      <w:headerReference w:type="default" r:id="rId19"/>
      <w:footerReference w:type="default" r:id="rId20"/>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D3C47" w14:textId="77777777" w:rsidR="00E76939" w:rsidRDefault="00E76939">
      <w:r>
        <w:separator/>
      </w:r>
    </w:p>
  </w:endnote>
  <w:endnote w:type="continuationSeparator" w:id="0">
    <w:p w14:paraId="6D6E6896" w14:textId="77777777" w:rsidR="00E76939" w:rsidRDefault="00E7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63771BEB" w14:textId="77777777" w:rsidR="00D70093" w:rsidRDefault="00D70093">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D70093" w14:paraId="63771BEE" w14:textId="77777777" w:rsidTr="009808AC">
          <w:tc>
            <w:tcPr>
              <w:tcW w:w="4908" w:type="dxa"/>
            </w:tcPr>
            <w:p w14:paraId="63771BEC" w14:textId="546EBCE3" w:rsidR="00D70093" w:rsidRDefault="00D70093" w:rsidP="00B432D8">
              <w:pPr>
                <w:pStyle w:val="Footer"/>
              </w:pPr>
            </w:p>
          </w:tc>
          <w:tc>
            <w:tcPr>
              <w:tcW w:w="3869" w:type="dxa"/>
            </w:tcPr>
            <w:p w14:paraId="63771BED" w14:textId="77777777" w:rsidR="00D70093" w:rsidRDefault="00D70093" w:rsidP="009808AC">
              <w:pPr>
                <w:pStyle w:val="Footer"/>
                <w:jc w:val="right"/>
              </w:pPr>
              <w:r>
                <w:t xml:space="preserve"> </w:t>
              </w:r>
              <w:r w:rsidR="00D87466">
                <w:rPr>
                  <w:b/>
                  <w:bCs/>
                </w:rPr>
                <w:fldChar w:fldCharType="begin"/>
              </w:r>
              <w:r>
                <w:rPr>
                  <w:b/>
                  <w:bCs/>
                </w:rPr>
                <w:instrText xml:space="preserve"> PAGE  \* Arabic  \* MERGEFORMAT </w:instrText>
              </w:r>
              <w:r w:rsidR="00D87466">
                <w:rPr>
                  <w:b/>
                  <w:bCs/>
                </w:rPr>
                <w:fldChar w:fldCharType="separate"/>
              </w:r>
              <w:r w:rsidR="0024342B">
                <w:rPr>
                  <w:b/>
                  <w:bCs/>
                  <w:noProof/>
                </w:rPr>
                <w:t>10</w:t>
              </w:r>
              <w:r w:rsidR="00D87466">
                <w:rPr>
                  <w:b/>
                  <w:bCs/>
                </w:rPr>
                <w:fldChar w:fldCharType="end"/>
              </w:r>
              <w:r>
                <w:t xml:space="preserve"> of </w:t>
              </w:r>
              <w:r w:rsidR="00E76939">
                <w:fldChar w:fldCharType="begin"/>
              </w:r>
              <w:r w:rsidR="00E76939">
                <w:instrText xml:space="preserve"> NUMPAGES  \* Arabic  \* MERGEFORMAT </w:instrText>
              </w:r>
              <w:r w:rsidR="00E76939">
                <w:fldChar w:fldCharType="separate"/>
              </w:r>
              <w:r w:rsidR="0024342B" w:rsidRPr="0024342B">
                <w:rPr>
                  <w:b/>
                  <w:bCs/>
                  <w:noProof/>
                </w:rPr>
                <w:t>10</w:t>
              </w:r>
              <w:r w:rsidR="00E76939">
                <w:rPr>
                  <w:b/>
                  <w:bCs/>
                  <w:noProof/>
                </w:rPr>
                <w:fldChar w:fldCharType="end"/>
              </w:r>
            </w:p>
          </w:tc>
        </w:tr>
      </w:tbl>
      <w:p w14:paraId="63771BEF" w14:textId="77777777" w:rsidR="00D70093" w:rsidRDefault="00E76939">
        <w:pPr>
          <w:pStyle w:val="Footer"/>
          <w:jc w:val="right"/>
        </w:pPr>
      </w:p>
    </w:sdtContent>
  </w:sdt>
  <w:p w14:paraId="63771BF0" w14:textId="77777777" w:rsidR="00D70093" w:rsidRDefault="00D700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866EC" w14:textId="77777777" w:rsidR="00E76939" w:rsidRDefault="00E76939">
      <w:r>
        <w:separator/>
      </w:r>
    </w:p>
  </w:footnote>
  <w:footnote w:type="continuationSeparator" w:id="0">
    <w:p w14:paraId="7CFB7F78" w14:textId="77777777" w:rsidR="00E76939" w:rsidRDefault="00E76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63771BEA" w14:textId="77777777" w:rsidR="00D70093" w:rsidRDefault="00E76939">
        <w:pPr>
          <w:pStyle w:val="Header"/>
        </w:pPr>
        <w:r>
          <w:rPr>
            <w:noProof/>
            <w:lang w:val="en-US"/>
          </w:rPr>
          <w:pict w14:anchorId="63771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544448B"/>
    <w:multiLevelType w:val="hybridMultilevel"/>
    <w:tmpl w:val="B1F80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98F2D08"/>
    <w:multiLevelType w:val="hybridMultilevel"/>
    <w:tmpl w:val="11821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269E9"/>
    <w:multiLevelType w:val="hybridMultilevel"/>
    <w:tmpl w:val="DB1EC6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C328D3"/>
    <w:multiLevelType w:val="hybridMultilevel"/>
    <w:tmpl w:val="C7547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251AA1"/>
    <w:multiLevelType w:val="hybridMultilevel"/>
    <w:tmpl w:val="8D4E8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7941E4"/>
    <w:multiLevelType w:val="hybridMultilevel"/>
    <w:tmpl w:val="0F50F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C63494"/>
    <w:multiLevelType w:val="multilevel"/>
    <w:tmpl w:val="A49A52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3" w15:restartNumberingAfterBreak="0">
    <w:nsid w:val="60225226"/>
    <w:multiLevelType w:val="hybridMultilevel"/>
    <w:tmpl w:val="7188E1D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5" w15:restartNumberingAfterBreak="0">
    <w:nsid w:val="6AAC05A6"/>
    <w:multiLevelType w:val="hybridMultilevel"/>
    <w:tmpl w:val="0B6A3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B1460A"/>
    <w:multiLevelType w:val="hybridMultilevel"/>
    <w:tmpl w:val="C1F69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83C5BD7"/>
    <w:multiLevelType w:val="hybridMultilevel"/>
    <w:tmpl w:val="3842A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A92191"/>
    <w:multiLevelType w:val="hybridMultilevel"/>
    <w:tmpl w:val="578A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4"/>
  </w:num>
  <w:num w:numId="4">
    <w:abstractNumId w:val="14"/>
  </w:num>
  <w:num w:numId="5">
    <w:abstractNumId w:val="4"/>
  </w:num>
  <w:num w:numId="6">
    <w:abstractNumId w:val="0"/>
  </w:num>
  <w:num w:numId="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15"/>
  </w:num>
  <w:num w:numId="11">
    <w:abstractNumId w:val="17"/>
  </w:num>
  <w:num w:numId="12">
    <w:abstractNumId w:val="19"/>
  </w:num>
  <w:num w:numId="13">
    <w:abstractNumId w:val="2"/>
  </w:num>
  <w:num w:numId="14">
    <w:abstractNumId w:val="8"/>
  </w:num>
  <w:num w:numId="15">
    <w:abstractNumId w:val="6"/>
  </w:num>
  <w:num w:numId="16">
    <w:abstractNumId w:val="7"/>
  </w:num>
  <w:num w:numId="17">
    <w:abstractNumId w:val="13"/>
  </w:num>
  <w:num w:numId="18">
    <w:abstractNumId w:val="9"/>
  </w:num>
  <w:num w:numId="19">
    <w:abstractNumId w:val="10"/>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37AA"/>
    <w:rsid w:val="0000667F"/>
    <w:rsid w:val="0000772D"/>
    <w:rsid w:val="00014A96"/>
    <w:rsid w:val="000241A5"/>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5977"/>
    <w:rsid w:val="0006613A"/>
    <w:rsid w:val="0006724D"/>
    <w:rsid w:val="0007093F"/>
    <w:rsid w:val="000730F1"/>
    <w:rsid w:val="00074F50"/>
    <w:rsid w:val="0008093D"/>
    <w:rsid w:val="00084F08"/>
    <w:rsid w:val="00087B1E"/>
    <w:rsid w:val="00087F65"/>
    <w:rsid w:val="00090908"/>
    <w:rsid w:val="000935EF"/>
    <w:rsid w:val="00094335"/>
    <w:rsid w:val="000976D1"/>
    <w:rsid w:val="000A0728"/>
    <w:rsid w:val="000A5C48"/>
    <w:rsid w:val="000A6802"/>
    <w:rsid w:val="000B07A1"/>
    <w:rsid w:val="000B08BE"/>
    <w:rsid w:val="000B41E7"/>
    <w:rsid w:val="000B44ED"/>
    <w:rsid w:val="000B46B2"/>
    <w:rsid w:val="000B478B"/>
    <w:rsid w:val="000B4E0D"/>
    <w:rsid w:val="000C0B90"/>
    <w:rsid w:val="000C1CF5"/>
    <w:rsid w:val="000C4E1D"/>
    <w:rsid w:val="000C7A51"/>
    <w:rsid w:val="000D0395"/>
    <w:rsid w:val="000D3936"/>
    <w:rsid w:val="000D4283"/>
    <w:rsid w:val="000D51DE"/>
    <w:rsid w:val="000E4725"/>
    <w:rsid w:val="000E66D3"/>
    <w:rsid w:val="000E7198"/>
    <w:rsid w:val="000F0F49"/>
    <w:rsid w:val="000F1295"/>
    <w:rsid w:val="000F1BF3"/>
    <w:rsid w:val="000F7302"/>
    <w:rsid w:val="00101C79"/>
    <w:rsid w:val="00104F74"/>
    <w:rsid w:val="00105A7C"/>
    <w:rsid w:val="00110113"/>
    <w:rsid w:val="00111F99"/>
    <w:rsid w:val="00113070"/>
    <w:rsid w:val="0011380D"/>
    <w:rsid w:val="00116490"/>
    <w:rsid w:val="0012138E"/>
    <w:rsid w:val="00123C60"/>
    <w:rsid w:val="001255F1"/>
    <w:rsid w:val="00131443"/>
    <w:rsid w:val="0013204A"/>
    <w:rsid w:val="00133A11"/>
    <w:rsid w:val="00136327"/>
    <w:rsid w:val="00137737"/>
    <w:rsid w:val="00143A7D"/>
    <w:rsid w:val="0014799D"/>
    <w:rsid w:val="00147E85"/>
    <w:rsid w:val="0015011A"/>
    <w:rsid w:val="001535BC"/>
    <w:rsid w:val="001545B4"/>
    <w:rsid w:val="00154EAE"/>
    <w:rsid w:val="00171CCB"/>
    <w:rsid w:val="0017418C"/>
    <w:rsid w:val="00174E73"/>
    <w:rsid w:val="00181500"/>
    <w:rsid w:val="00191EFE"/>
    <w:rsid w:val="0019279D"/>
    <w:rsid w:val="001931FA"/>
    <w:rsid w:val="00194CEF"/>
    <w:rsid w:val="00195C99"/>
    <w:rsid w:val="00196F1E"/>
    <w:rsid w:val="001A0525"/>
    <w:rsid w:val="001A1174"/>
    <w:rsid w:val="001A1D4B"/>
    <w:rsid w:val="001A34A6"/>
    <w:rsid w:val="001A4B05"/>
    <w:rsid w:val="001A4B42"/>
    <w:rsid w:val="001A5133"/>
    <w:rsid w:val="001B0B95"/>
    <w:rsid w:val="001B180A"/>
    <w:rsid w:val="001C0F4B"/>
    <w:rsid w:val="001C49C1"/>
    <w:rsid w:val="001C5ABA"/>
    <w:rsid w:val="001C6BE0"/>
    <w:rsid w:val="001D1AC8"/>
    <w:rsid w:val="001E04A4"/>
    <w:rsid w:val="001E1416"/>
    <w:rsid w:val="001E23AA"/>
    <w:rsid w:val="001E3703"/>
    <w:rsid w:val="001E3FB7"/>
    <w:rsid w:val="001E45D5"/>
    <w:rsid w:val="001E48F1"/>
    <w:rsid w:val="001E4DC7"/>
    <w:rsid w:val="001E5188"/>
    <w:rsid w:val="001E6A24"/>
    <w:rsid w:val="001E712C"/>
    <w:rsid w:val="001E73E3"/>
    <w:rsid w:val="001F0385"/>
    <w:rsid w:val="001F0D61"/>
    <w:rsid w:val="001F0E6A"/>
    <w:rsid w:val="001F3BB7"/>
    <w:rsid w:val="001F683C"/>
    <w:rsid w:val="001F687D"/>
    <w:rsid w:val="002007BA"/>
    <w:rsid w:val="00200BC6"/>
    <w:rsid w:val="0020278B"/>
    <w:rsid w:val="00202EA7"/>
    <w:rsid w:val="00203C8D"/>
    <w:rsid w:val="0020486E"/>
    <w:rsid w:val="00207E67"/>
    <w:rsid w:val="00210134"/>
    <w:rsid w:val="0021080C"/>
    <w:rsid w:val="00212817"/>
    <w:rsid w:val="00221575"/>
    <w:rsid w:val="00221A1C"/>
    <w:rsid w:val="00225C7E"/>
    <w:rsid w:val="00226225"/>
    <w:rsid w:val="00230104"/>
    <w:rsid w:val="002325E4"/>
    <w:rsid w:val="00234B05"/>
    <w:rsid w:val="002369B8"/>
    <w:rsid w:val="00236EB2"/>
    <w:rsid w:val="0024342B"/>
    <w:rsid w:val="00244732"/>
    <w:rsid w:val="00246ACC"/>
    <w:rsid w:val="0025417A"/>
    <w:rsid w:val="002548FD"/>
    <w:rsid w:val="00254DC6"/>
    <w:rsid w:val="00256761"/>
    <w:rsid w:val="00261697"/>
    <w:rsid w:val="00261A57"/>
    <w:rsid w:val="00261BD3"/>
    <w:rsid w:val="002672F2"/>
    <w:rsid w:val="00272D93"/>
    <w:rsid w:val="00273291"/>
    <w:rsid w:val="00274F72"/>
    <w:rsid w:val="00275DF2"/>
    <w:rsid w:val="002763FC"/>
    <w:rsid w:val="00281694"/>
    <w:rsid w:val="0028229D"/>
    <w:rsid w:val="002833D9"/>
    <w:rsid w:val="00294130"/>
    <w:rsid w:val="00294FCA"/>
    <w:rsid w:val="002A10EA"/>
    <w:rsid w:val="002A2C31"/>
    <w:rsid w:val="002A4103"/>
    <w:rsid w:val="002A5006"/>
    <w:rsid w:val="002A5E6B"/>
    <w:rsid w:val="002B2730"/>
    <w:rsid w:val="002B2B9C"/>
    <w:rsid w:val="002B7967"/>
    <w:rsid w:val="002C2D24"/>
    <w:rsid w:val="002C3DD0"/>
    <w:rsid w:val="002C62CF"/>
    <w:rsid w:val="002C72A2"/>
    <w:rsid w:val="002D5A8E"/>
    <w:rsid w:val="002D691D"/>
    <w:rsid w:val="002D7D91"/>
    <w:rsid w:val="002E1D64"/>
    <w:rsid w:val="002E25F4"/>
    <w:rsid w:val="002E3B40"/>
    <w:rsid w:val="002E4A4E"/>
    <w:rsid w:val="002E53B9"/>
    <w:rsid w:val="002F2910"/>
    <w:rsid w:val="002F4192"/>
    <w:rsid w:val="002F67EA"/>
    <w:rsid w:val="002F70E9"/>
    <w:rsid w:val="002F71DB"/>
    <w:rsid w:val="00301CA8"/>
    <w:rsid w:val="003035E8"/>
    <w:rsid w:val="00303609"/>
    <w:rsid w:val="00303EFB"/>
    <w:rsid w:val="003045E2"/>
    <w:rsid w:val="00307FC5"/>
    <w:rsid w:val="00311429"/>
    <w:rsid w:val="0031325C"/>
    <w:rsid w:val="003146D9"/>
    <w:rsid w:val="00320393"/>
    <w:rsid w:val="0032156B"/>
    <w:rsid w:val="003242A9"/>
    <w:rsid w:val="00325BC2"/>
    <w:rsid w:val="00325EB2"/>
    <w:rsid w:val="00332E13"/>
    <w:rsid w:val="003341FC"/>
    <w:rsid w:val="003372BE"/>
    <w:rsid w:val="0034251F"/>
    <w:rsid w:val="003436BF"/>
    <w:rsid w:val="003437A8"/>
    <w:rsid w:val="003441FF"/>
    <w:rsid w:val="00344FA1"/>
    <w:rsid w:val="00351BF1"/>
    <w:rsid w:val="003531F2"/>
    <w:rsid w:val="0035514D"/>
    <w:rsid w:val="00362947"/>
    <w:rsid w:val="00363111"/>
    <w:rsid w:val="0036417A"/>
    <w:rsid w:val="00365815"/>
    <w:rsid w:val="00370ADD"/>
    <w:rsid w:val="003711BA"/>
    <w:rsid w:val="00372BC6"/>
    <w:rsid w:val="00376B4D"/>
    <w:rsid w:val="003815F3"/>
    <w:rsid w:val="003817E6"/>
    <w:rsid w:val="00384AE2"/>
    <w:rsid w:val="00391879"/>
    <w:rsid w:val="00394F36"/>
    <w:rsid w:val="003A017D"/>
    <w:rsid w:val="003A3761"/>
    <w:rsid w:val="003A457D"/>
    <w:rsid w:val="003A4747"/>
    <w:rsid w:val="003A4850"/>
    <w:rsid w:val="003A703E"/>
    <w:rsid w:val="003A723F"/>
    <w:rsid w:val="003B0CB7"/>
    <w:rsid w:val="003B6ACC"/>
    <w:rsid w:val="003B6D47"/>
    <w:rsid w:val="003C070A"/>
    <w:rsid w:val="003C218D"/>
    <w:rsid w:val="003C397B"/>
    <w:rsid w:val="003C3FC1"/>
    <w:rsid w:val="003D0098"/>
    <w:rsid w:val="003D1EB6"/>
    <w:rsid w:val="003D5144"/>
    <w:rsid w:val="003D58B2"/>
    <w:rsid w:val="003D5D97"/>
    <w:rsid w:val="003E377D"/>
    <w:rsid w:val="003E3DEA"/>
    <w:rsid w:val="003E657D"/>
    <w:rsid w:val="003E727B"/>
    <w:rsid w:val="003F57F0"/>
    <w:rsid w:val="00404490"/>
    <w:rsid w:val="004050CC"/>
    <w:rsid w:val="00407ED0"/>
    <w:rsid w:val="00412EFF"/>
    <w:rsid w:val="0041542B"/>
    <w:rsid w:val="00415AB1"/>
    <w:rsid w:val="00416BE3"/>
    <w:rsid w:val="004241A1"/>
    <w:rsid w:val="004404D5"/>
    <w:rsid w:val="0044066C"/>
    <w:rsid w:val="0044179A"/>
    <w:rsid w:val="0044287C"/>
    <w:rsid w:val="00442DA3"/>
    <w:rsid w:val="00444DB8"/>
    <w:rsid w:val="00447E3D"/>
    <w:rsid w:val="00454193"/>
    <w:rsid w:val="00454504"/>
    <w:rsid w:val="00457BC3"/>
    <w:rsid w:val="00464432"/>
    <w:rsid w:val="00464787"/>
    <w:rsid w:val="00470178"/>
    <w:rsid w:val="00471029"/>
    <w:rsid w:val="00475879"/>
    <w:rsid w:val="004778A7"/>
    <w:rsid w:val="004815E5"/>
    <w:rsid w:val="004825CA"/>
    <w:rsid w:val="00486405"/>
    <w:rsid w:val="004A2467"/>
    <w:rsid w:val="004A5EE0"/>
    <w:rsid w:val="004B6441"/>
    <w:rsid w:val="004B698A"/>
    <w:rsid w:val="004B6B00"/>
    <w:rsid w:val="004B701F"/>
    <w:rsid w:val="004B7AFB"/>
    <w:rsid w:val="004B7B72"/>
    <w:rsid w:val="004C5399"/>
    <w:rsid w:val="004C6E5B"/>
    <w:rsid w:val="004C726D"/>
    <w:rsid w:val="004C7C23"/>
    <w:rsid w:val="004D1EA6"/>
    <w:rsid w:val="004D45FA"/>
    <w:rsid w:val="004D7820"/>
    <w:rsid w:val="004E328B"/>
    <w:rsid w:val="004E5C17"/>
    <w:rsid w:val="005005F6"/>
    <w:rsid w:val="0050287E"/>
    <w:rsid w:val="00503222"/>
    <w:rsid w:val="00503817"/>
    <w:rsid w:val="0050687A"/>
    <w:rsid w:val="0051414C"/>
    <w:rsid w:val="00515602"/>
    <w:rsid w:val="00517252"/>
    <w:rsid w:val="0052301F"/>
    <w:rsid w:val="0052417A"/>
    <w:rsid w:val="00524B4A"/>
    <w:rsid w:val="00525050"/>
    <w:rsid w:val="00526F80"/>
    <w:rsid w:val="00527247"/>
    <w:rsid w:val="00532143"/>
    <w:rsid w:val="005325A3"/>
    <w:rsid w:val="00533590"/>
    <w:rsid w:val="0054296E"/>
    <w:rsid w:val="00546D27"/>
    <w:rsid w:val="00552885"/>
    <w:rsid w:val="005530E1"/>
    <w:rsid w:val="005532B7"/>
    <w:rsid w:val="0055442A"/>
    <w:rsid w:val="005574E2"/>
    <w:rsid w:val="00567FE1"/>
    <w:rsid w:val="00570163"/>
    <w:rsid w:val="00574FDC"/>
    <w:rsid w:val="0057560E"/>
    <w:rsid w:val="00575A04"/>
    <w:rsid w:val="00580A30"/>
    <w:rsid w:val="00581451"/>
    <w:rsid w:val="00581C17"/>
    <w:rsid w:val="00582B96"/>
    <w:rsid w:val="005831B6"/>
    <w:rsid w:val="005844BD"/>
    <w:rsid w:val="00584D89"/>
    <w:rsid w:val="00584F79"/>
    <w:rsid w:val="00587150"/>
    <w:rsid w:val="00590073"/>
    <w:rsid w:val="005913DB"/>
    <w:rsid w:val="00596FF4"/>
    <w:rsid w:val="005A0884"/>
    <w:rsid w:val="005A19C2"/>
    <w:rsid w:val="005A1D76"/>
    <w:rsid w:val="005A233C"/>
    <w:rsid w:val="005B0247"/>
    <w:rsid w:val="005B0619"/>
    <w:rsid w:val="005B25BE"/>
    <w:rsid w:val="005B3498"/>
    <w:rsid w:val="005B4B9E"/>
    <w:rsid w:val="005C04A2"/>
    <w:rsid w:val="005C2806"/>
    <w:rsid w:val="005C350D"/>
    <w:rsid w:val="005C44C5"/>
    <w:rsid w:val="005C5996"/>
    <w:rsid w:val="005C74C2"/>
    <w:rsid w:val="005D2D1A"/>
    <w:rsid w:val="005D2FF1"/>
    <w:rsid w:val="005D3214"/>
    <w:rsid w:val="005D3E38"/>
    <w:rsid w:val="005D77FE"/>
    <w:rsid w:val="005E0E16"/>
    <w:rsid w:val="005E1FA1"/>
    <w:rsid w:val="005E317E"/>
    <w:rsid w:val="005E37D8"/>
    <w:rsid w:val="005E3A1D"/>
    <w:rsid w:val="005F081E"/>
    <w:rsid w:val="005F1102"/>
    <w:rsid w:val="00601F38"/>
    <w:rsid w:val="00607A17"/>
    <w:rsid w:val="006106F1"/>
    <w:rsid w:val="006146A8"/>
    <w:rsid w:val="00622E87"/>
    <w:rsid w:val="0062437F"/>
    <w:rsid w:val="006254BD"/>
    <w:rsid w:val="006321E9"/>
    <w:rsid w:val="00643631"/>
    <w:rsid w:val="00651A1C"/>
    <w:rsid w:val="006533E5"/>
    <w:rsid w:val="00655E68"/>
    <w:rsid w:val="00663C28"/>
    <w:rsid w:val="006701D5"/>
    <w:rsid w:val="00670BF4"/>
    <w:rsid w:val="0067125E"/>
    <w:rsid w:val="00673325"/>
    <w:rsid w:val="006758B8"/>
    <w:rsid w:val="006769F7"/>
    <w:rsid w:val="006769F9"/>
    <w:rsid w:val="00680408"/>
    <w:rsid w:val="00680FB0"/>
    <w:rsid w:val="00683123"/>
    <w:rsid w:val="00683FE3"/>
    <w:rsid w:val="0068445E"/>
    <w:rsid w:val="00685FB5"/>
    <w:rsid w:val="00692CED"/>
    <w:rsid w:val="00693B0B"/>
    <w:rsid w:val="00694FD9"/>
    <w:rsid w:val="00695948"/>
    <w:rsid w:val="00697265"/>
    <w:rsid w:val="006A28A1"/>
    <w:rsid w:val="006A4FD3"/>
    <w:rsid w:val="006B0A4D"/>
    <w:rsid w:val="006B2902"/>
    <w:rsid w:val="006B58FF"/>
    <w:rsid w:val="006B627F"/>
    <w:rsid w:val="006B6B87"/>
    <w:rsid w:val="006B7267"/>
    <w:rsid w:val="006C00C2"/>
    <w:rsid w:val="006C5495"/>
    <w:rsid w:val="006C56C1"/>
    <w:rsid w:val="006C64F5"/>
    <w:rsid w:val="006C75C3"/>
    <w:rsid w:val="006D2B9A"/>
    <w:rsid w:val="006D484F"/>
    <w:rsid w:val="006D5858"/>
    <w:rsid w:val="006E31CF"/>
    <w:rsid w:val="006E4BB8"/>
    <w:rsid w:val="006E609B"/>
    <w:rsid w:val="006E6DED"/>
    <w:rsid w:val="006E7CEE"/>
    <w:rsid w:val="006F33C3"/>
    <w:rsid w:val="006F520C"/>
    <w:rsid w:val="006F7F5C"/>
    <w:rsid w:val="007002C7"/>
    <w:rsid w:val="0070487E"/>
    <w:rsid w:val="0070702A"/>
    <w:rsid w:val="007121E9"/>
    <w:rsid w:val="007167C9"/>
    <w:rsid w:val="0072012D"/>
    <w:rsid w:val="00721D14"/>
    <w:rsid w:val="007221B7"/>
    <w:rsid w:val="00733C44"/>
    <w:rsid w:val="00734B1E"/>
    <w:rsid w:val="007362B9"/>
    <w:rsid w:val="00736E23"/>
    <w:rsid w:val="00740BBC"/>
    <w:rsid w:val="00741E70"/>
    <w:rsid w:val="00742085"/>
    <w:rsid w:val="00745DD8"/>
    <w:rsid w:val="007544F0"/>
    <w:rsid w:val="00755E41"/>
    <w:rsid w:val="00757723"/>
    <w:rsid w:val="00757D21"/>
    <w:rsid w:val="0076010B"/>
    <w:rsid w:val="007654E6"/>
    <w:rsid w:val="00765616"/>
    <w:rsid w:val="00772BBA"/>
    <w:rsid w:val="00773DA2"/>
    <w:rsid w:val="007779B8"/>
    <w:rsid w:val="00780C7F"/>
    <w:rsid w:val="00785103"/>
    <w:rsid w:val="0078612B"/>
    <w:rsid w:val="00787807"/>
    <w:rsid w:val="0079440A"/>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C4E92"/>
    <w:rsid w:val="007D184B"/>
    <w:rsid w:val="007D25C3"/>
    <w:rsid w:val="007E2C13"/>
    <w:rsid w:val="007E2F31"/>
    <w:rsid w:val="007E5629"/>
    <w:rsid w:val="007E7731"/>
    <w:rsid w:val="007F2763"/>
    <w:rsid w:val="007F51F2"/>
    <w:rsid w:val="007F575A"/>
    <w:rsid w:val="007F61A6"/>
    <w:rsid w:val="0080025F"/>
    <w:rsid w:val="008040A8"/>
    <w:rsid w:val="00806C56"/>
    <w:rsid w:val="00812EC6"/>
    <w:rsid w:val="008139C0"/>
    <w:rsid w:val="0081783D"/>
    <w:rsid w:val="00822BCD"/>
    <w:rsid w:val="008300CF"/>
    <w:rsid w:val="00830E61"/>
    <w:rsid w:val="008324F8"/>
    <w:rsid w:val="008441FE"/>
    <w:rsid w:val="0084602C"/>
    <w:rsid w:val="0086257F"/>
    <w:rsid w:val="008651BF"/>
    <w:rsid w:val="00865DD0"/>
    <w:rsid w:val="00866F8D"/>
    <w:rsid w:val="00870BE6"/>
    <w:rsid w:val="00871CDC"/>
    <w:rsid w:val="00874A4D"/>
    <w:rsid w:val="008751AB"/>
    <w:rsid w:val="008755C5"/>
    <w:rsid w:val="008804A2"/>
    <w:rsid w:val="00884042"/>
    <w:rsid w:val="00885437"/>
    <w:rsid w:val="00887561"/>
    <w:rsid w:val="00887CC4"/>
    <w:rsid w:val="008914FB"/>
    <w:rsid w:val="00891C05"/>
    <w:rsid w:val="00892D58"/>
    <w:rsid w:val="00893B59"/>
    <w:rsid w:val="008A35F2"/>
    <w:rsid w:val="008A7BFE"/>
    <w:rsid w:val="008B0638"/>
    <w:rsid w:val="008B301A"/>
    <w:rsid w:val="008B3265"/>
    <w:rsid w:val="008B4EA1"/>
    <w:rsid w:val="008C04D4"/>
    <w:rsid w:val="008C148F"/>
    <w:rsid w:val="008C2129"/>
    <w:rsid w:val="008C6517"/>
    <w:rsid w:val="008C74BF"/>
    <w:rsid w:val="008D41F4"/>
    <w:rsid w:val="008D685F"/>
    <w:rsid w:val="008E0CA3"/>
    <w:rsid w:val="008E1A0A"/>
    <w:rsid w:val="008E2EBC"/>
    <w:rsid w:val="008E58BF"/>
    <w:rsid w:val="008E6320"/>
    <w:rsid w:val="008F34BD"/>
    <w:rsid w:val="00900291"/>
    <w:rsid w:val="00900D0A"/>
    <w:rsid w:val="0090511E"/>
    <w:rsid w:val="00906ED1"/>
    <w:rsid w:val="009100F8"/>
    <w:rsid w:val="00910360"/>
    <w:rsid w:val="00911515"/>
    <w:rsid w:val="009116BD"/>
    <w:rsid w:val="00911A56"/>
    <w:rsid w:val="00912377"/>
    <w:rsid w:val="00914BB9"/>
    <w:rsid w:val="00914DF9"/>
    <w:rsid w:val="0092075E"/>
    <w:rsid w:val="00920D7A"/>
    <w:rsid w:val="009351E4"/>
    <w:rsid w:val="00936137"/>
    <w:rsid w:val="00945E4C"/>
    <w:rsid w:val="00946A67"/>
    <w:rsid w:val="009549AE"/>
    <w:rsid w:val="009552C2"/>
    <w:rsid w:val="00956BDA"/>
    <w:rsid w:val="00957543"/>
    <w:rsid w:val="009612F7"/>
    <w:rsid w:val="00965A85"/>
    <w:rsid w:val="00966299"/>
    <w:rsid w:val="00967429"/>
    <w:rsid w:val="009707D1"/>
    <w:rsid w:val="00971956"/>
    <w:rsid w:val="00975D7E"/>
    <w:rsid w:val="009808AC"/>
    <w:rsid w:val="009840A5"/>
    <w:rsid w:val="009907A3"/>
    <w:rsid w:val="00991C12"/>
    <w:rsid w:val="009924E0"/>
    <w:rsid w:val="009945CA"/>
    <w:rsid w:val="009A48CE"/>
    <w:rsid w:val="009A79E6"/>
    <w:rsid w:val="009B020D"/>
    <w:rsid w:val="009B485E"/>
    <w:rsid w:val="009B6412"/>
    <w:rsid w:val="009B666D"/>
    <w:rsid w:val="009C1A29"/>
    <w:rsid w:val="009D12A3"/>
    <w:rsid w:val="009D12C5"/>
    <w:rsid w:val="009D13EE"/>
    <w:rsid w:val="009D327E"/>
    <w:rsid w:val="009D3D53"/>
    <w:rsid w:val="009D404E"/>
    <w:rsid w:val="009D55C8"/>
    <w:rsid w:val="009E0CB1"/>
    <w:rsid w:val="009E20A3"/>
    <w:rsid w:val="009E7A30"/>
    <w:rsid w:val="009F1166"/>
    <w:rsid w:val="009F51A8"/>
    <w:rsid w:val="00A005EF"/>
    <w:rsid w:val="00A06583"/>
    <w:rsid w:val="00A077AE"/>
    <w:rsid w:val="00A11AEC"/>
    <w:rsid w:val="00A1546F"/>
    <w:rsid w:val="00A1567A"/>
    <w:rsid w:val="00A205A2"/>
    <w:rsid w:val="00A20C16"/>
    <w:rsid w:val="00A2263A"/>
    <w:rsid w:val="00A228E4"/>
    <w:rsid w:val="00A254AE"/>
    <w:rsid w:val="00A3031B"/>
    <w:rsid w:val="00A31AB9"/>
    <w:rsid w:val="00A402FE"/>
    <w:rsid w:val="00A4045A"/>
    <w:rsid w:val="00A406BC"/>
    <w:rsid w:val="00A477D1"/>
    <w:rsid w:val="00A524B5"/>
    <w:rsid w:val="00A57F84"/>
    <w:rsid w:val="00A60220"/>
    <w:rsid w:val="00A605B5"/>
    <w:rsid w:val="00A62B87"/>
    <w:rsid w:val="00A63E89"/>
    <w:rsid w:val="00A6430E"/>
    <w:rsid w:val="00A668E8"/>
    <w:rsid w:val="00A76A58"/>
    <w:rsid w:val="00A813F8"/>
    <w:rsid w:val="00A818CD"/>
    <w:rsid w:val="00A85142"/>
    <w:rsid w:val="00A857B7"/>
    <w:rsid w:val="00A87E0F"/>
    <w:rsid w:val="00A926B4"/>
    <w:rsid w:val="00A933DA"/>
    <w:rsid w:val="00A93F46"/>
    <w:rsid w:val="00AA0653"/>
    <w:rsid w:val="00AA0B4C"/>
    <w:rsid w:val="00AA35C7"/>
    <w:rsid w:val="00AA3E5C"/>
    <w:rsid w:val="00AA5676"/>
    <w:rsid w:val="00AB276E"/>
    <w:rsid w:val="00AB37C6"/>
    <w:rsid w:val="00AB4EEA"/>
    <w:rsid w:val="00AB5F90"/>
    <w:rsid w:val="00AC1A53"/>
    <w:rsid w:val="00AC384B"/>
    <w:rsid w:val="00AC3AC1"/>
    <w:rsid w:val="00AC5889"/>
    <w:rsid w:val="00AD0B65"/>
    <w:rsid w:val="00AD6D2B"/>
    <w:rsid w:val="00AE01E8"/>
    <w:rsid w:val="00AE2E02"/>
    <w:rsid w:val="00AF0CF1"/>
    <w:rsid w:val="00AF3545"/>
    <w:rsid w:val="00AF6AC9"/>
    <w:rsid w:val="00AF7048"/>
    <w:rsid w:val="00B02931"/>
    <w:rsid w:val="00B048EE"/>
    <w:rsid w:val="00B05C27"/>
    <w:rsid w:val="00B06A9F"/>
    <w:rsid w:val="00B10AD3"/>
    <w:rsid w:val="00B10F84"/>
    <w:rsid w:val="00B13229"/>
    <w:rsid w:val="00B15E45"/>
    <w:rsid w:val="00B20E5C"/>
    <w:rsid w:val="00B2197E"/>
    <w:rsid w:val="00B21ED4"/>
    <w:rsid w:val="00B24D65"/>
    <w:rsid w:val="00B3130F"/>
    <w:rsid w:val="00B3399A"/>
    <w:rsid w:val="00B348CF"/>
    <w:rsid w:val="00B37256"/>
    <w:rsid w:val="00B432D8"/>
    <w:rsid w:val="00B4752A"/>
    <w:rsid w:val="00B50075"/>
    <w:rsid w:val="00B500D6"/>
    <w:rsid w:val="00B505CF"/>
    <w:rsid w:val="00B52D80"/>
    <w:rsid w:val="00B5379B"/>
    <w:rsid w:val="00B5677B"/>
    <w:rsid w:val="00B56C5A"/>
    <w:rsid w:val="00B5768D"/>
    <w:rsid w:val="00B64855"/>
    <w:rsid w:val="00B650A9"/>
    <w:rsid w:val="00B6696F"/>
    <w:rsid w:val="00B66CC6"/>
    <w:rsid w:val="00B70FB2"/>
    <w:rsid w:val="00B856D5"/>
    <w:rsid w:val="00B87752"/>
    <w:rsid w:val="00B93DDE"/>
    <w:rsid w:val="00B947A2"/>
    <w:rsid w:val="00B957D0"/>
    <w:rsid w:val="00B95AE2"/>
    <w:rsid w:val="00BA120C"/>
    <w:rsid w:val="00BA1865"/>
    <w:rsid w:val="00BA2334"/>
    <w:rsid w:val="00BB06DA"/>
    <w:rsid w:val="00BB7F51"/>
    <w:rsid w:val="00BC07D7"/>
    <w:rsid w:val="00BC357A"/>
    <w:rsid w:val="00BC3D6D"/>
    <w:rsid w:val="00BC4384"/>
    <w:rsid w:val="00BC7F87"/>
    <w:rsid w:val="00BD16C9"/>
    <w:rsid w:val="00BD40A0"/>
    <w:rsid w:val="00BD660A"/>
    <w:rsid w:val="00BD7FA4"/>
    <w:rsid w:val="00BE4001"/>
    <w:rsid w:val="00BE49F7"/>
    <w:rsid w:val="00BF0EC3"/>
    <w:rsid w:val="00C00A3A"/>
    <w:rsid w:val="00C0243B"/>
    <w:rsid w:val="00C1049A"/>
    <w:rsid w:val="00C107CE"/>
    <w:rsid w:val="00C13DE3"/>
    <w:rsid w:val="00C14DC6"/>
    <w:rsid w:val="00C161DC"/>
    <w:rsid w:val="00C20DCE"/>
    <w:rsid w:val="00C3030B"/>
    <w:rsid w:val="00C34EC6"/>
    <w:rsid w:val="00C3711A"/>
    <w:rsid w:val="00C4536B"/>
    <w:rsid w:val="00C458C3"/>
    <w:rsid w:val="00C47F4E"/>
    <w:rsid w:val="00C5289B"/>
    <w:rsid w:val="00C6044B"/>
    <w:rsid w:val="00C60796"/>
    <w:rsid w:val="00C6219F"/>
    <w:rsid w:val="00C641E9"/>
    <w:rsid w:val="00C644F5"/>
    <w:rsid w:val="00C7641A"/>
    <w:rsid w:val="00C80FAC"/>
    <w:rsid w:val="00C8302D"/>
    <w:rsid w:val="00C84DE2"/>
    <w:rsid w:val="00C86B99"/>
    <w:rsid w:val="00C87D58"/>
    <w:rsid w:val="00C87D6D"/>
    <w:rsid w:val="00C92574"/>
    <w:rsid w:val="00C9718A"/>
    <w:rsid w:val="00CA13F9"/>
    <w:rsid w:val="00CA6149"/>
    <w:rsid w:val="00CA6D69"/>
    <w:rsid w:val="00CB241F"/>
    <w:rsid w:val="00CB61CE"/>
    <w:rsid w:val="00CB6BB7"/>
    <w:rsid w:val="00CC1802"/>
    <w:rsid w:val="00CC5D16"/>
    <w:rsid w:val="00CE146F"/>
    <w:rsid w:val="00CE1CED"/>
    <w:rsid w:val="00CE298D"/>
    <w:rsid w:val="00CE6114"/>
    <w:rsid w:val="00CF0BD1"/>
    <w:rsid w:val="00D01B68"/>
    <w:rsid w:val="00D112ED"/>
    <w:rsid w:val="00D25726"/>
    <w:rsid w:val="00D40CC3"/>
    <w:rsid w:val="00D414F2"/>
    <w:rsid w:val="00D4509F"/>
    <w:rsid w:val="00D47BED"/>
    <w:rsid w:val="00D501D9"/>
    <w:rsid w:val="00D52ABC"/>
    <w:rsid w:val="00D535E6"/>
    <w:rsid w:val="00D571F6"/>
    <w:rsid w:val="00D6167E"/>
    <w:rsid w:val="00D61D79"/>
    <w:rsid w:val="00D67580"/>
    <w:rsid w:val="00D70054"/>
    <w:rsid w:val="00D70093"/>
    <w:rsid w:val="00D7077E"/>
    <w:rsid w:val="00D73447"/>
    <w:rsid w:val="00D75418"/>
    <w:rsid w:val="00D76FA8"/>
    <w:rsid w:val="00D87466"/>
    <w:rsid w:val="00D90744"/>
    <w:rsid w:val="00D92E9F"/>
    <w:rsid w:val="00D934F2"/>
    <w:rsid w:val="00DA37E3"/>
    <w:rsid w:val="00DA39DA"/>
    <w:rsid w:val="00DA3E5E"/>
    <w:rsid w:val="00DA647C"/>
    <w:rsid w:val="00DA7651"/>
    <w:rsid w:val="00DB2FA1"/>
    <w:rsid w:val="00DB5C0F"/>
    <w:rsid w:val="00DB7C1E"/>
    <w:rsid w:val="00DC5127"/>
    <w:rsid w:val="00DC7B87"/>
    <w:rsid w:val="00DD44CA"/>
    <w:rsid w:val="00DD47E2"/>
    <w:rsid w:val="00DD6338"/>
    <w:rsid w:val="00DE0CAB"/>
    <w:rsid w:val="00DE18A3"/>
    <w:rsid w:val="00DE1B57"/>
    <w:rsid w:val="00DE33D5"/>
    <w:rsid w:val="00DE4672"/>
    <w:rsid w:val="00DF4569"/>
    <w:rsid w:val="00DF49CC"/>
    <w:rsid w:val="00DF61FC"/>
    <w:rsid w:val="00E05B4D"/>
    <w:rsid w:val="00E0685C"/>
    <w:rsid w:val="00E076C0"/>
    <w:rsid w:val="00E11599"/>
    <w:rsid w:val="00E11AC3"/>
    <w:rsid w:val="00E209EA"/>
    <w:rsid w:val="00E21F98"/>
    <w:rsid w:val="00E22522"/>
    <w:rsid w:val="00E24CC5"/>
    <w:rsid w:val="00E275C2"/>
    <w:rsid w:val="00E30487"/>
    <w:rsid w:val="00E37B6C"/>
    <w:rsid w:val="00E413C6"/>
    <w:rsid w:val="00E41BB7"/>
    <w:rsid w:val="00E43DDB"/>
    <w:rsid w:val="00E44261"/>
    <w:rsid w:val="00E45544"/>
    <w:rsid w:val="00E559F4"/>
    <w:rsid w:val="00E55D00"/>
    <w:rsid w:val="00E56D8F"/>
    <w:rsid w:val="00E57D32"/>
    <w:rsid w:val="00E627AE"/>
    <w:rsid w:val="00E74099"/>
    <w:rsid w:val="00E751A1"/>
    <w:rsid w:val="00E76939"/>
    <w:rsid w:val="00E82E42"/>
    <w:rsid w:val="00E838E3"/>
    <w:rsid w:val="00E84720"/>
    <w:rsid w:val="00E93E97"/>
    <w:rsid w:val="00EA180F"/>
    <w:rsid w:val="00EA3126"/>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5F5C"/>
    <w:rsid w:val="00ED67E0"/>
    <w:rsid w:val="00EE24E6"/>
    <w:rsid w:val="00EE3F01"/>
    <w:rsid w:val="00EE6303"/>
    <w:rsid w:val="00EF2392"/>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689D"/>
    <w:rsid w:val="00F37CFF"/>
    <w:rsid w:val="00F41B74"/>
    <w:rsid w:val="00F43132"/>
    <w:rsid w:val="00F45857"/>
    <w:rsid w:val="00F523D2"/>
    <w:rsid w:val="00F5623E"/>
    <w:rsid w:val="00F5711C"/>
    <w:rsid w:val="00F63125"/>
    <w:rsid w:val="00F63BFF"/>
    <w:rsid w:val="00F66474"/>
    <w:rsid w:val="00F67209"/>
    <w:rsid w:val="00F722BB"/>
    <w:rsid w:val="00F72938"/>
    <w:rsid w:val="00F87D3E"/>
    <w:rsid w:val="00F9192C"/>
    <w:rsid w:val="00F925C5"/>
    <w:rsid w:val="00FA346F"/>
    <w:rsid w:val="00FA5F66"/>
    <w:rsid w:val="00FB47EC"/>
    <w:rsid w:val="00FB5BBD"/>
    <w:rsid w:val="00FC0576"/>
    <w:rsid w:val="00FC3A08"/>
    <w:rsid w:val="00FC6E66"/>
    <w:rsid w:val="00FD0099"/>
    <w:rsid w:val="00FD05D4"/>
    <w:rsid w:val="00FD3B0A"/>
    <w:rsid w:val="00FD4ABD"/>
    <w:rsid w:val="00FD6B67"/>
    <w:rsid w:val="00FF0667"/>
    <w:rsid w:val="00FF0769"/>
    <w:rsid w:val="00FF08DF"/>
    <w:rsid w:val="00FF33D4"/>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771AA4"/>
  <w15:docId w15:val="{901C9FC8-197F-48FC-A885-71BDAFFB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79440A"/>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99"/>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8"/>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8"/>
      </w:numPr>
      <w:spacing w:after="260" w:line="260" w:lineRule="atLeast"/>
      <w:jc w:val="both"/>
      <w:outlineLvl w:val="0"/>
    </w:pPr>
    <w:rPr>
      <w:b/>
      <w:caps/>
      <w:sz w:val="22"/>
    </w:rPr>
  </w:style>
  <w:style w:type="paragraph" w:customStyle="1" w:styleId="Level2">
    <w:name w:val="Level 2"/>
    <w:basedOn w:val="Normal"/>
    <w:rsid w:val="00AE2E02"/>
    <w:pPr>
      <w:numPr>
        <w:ilvl w:val="2"/>
        <w:numId w:val="8"/>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8"/>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8"/>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8"/>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customStyle="1" w:styleId="TableText">
    <w:name w:val="Table Text"/>
    <w:link w:val="TableTextCharChar"/>
    <w:rsid w:val="005B0247"/>
    <w:pPr>
      <w:spacing w:line="240" w:lineRule="atLeast"/>
    </w:pPr>
    <w:rPr>
      <w:rFonts w:ascii="Calibri" w:hAnsi="Calibri"/>
      <w:color w:val="000000"/>
    </w:rPr>
  </w:style>
  <w:style w:type="character" w:customStyle="1" w:styleId="TableTextCharChar">
    <w:name w:val="Table Text Char Char"/>
    <w:basedOn w:val="DefaultParagraphFont"/>
    <w:link w:val="TableText"/>
    <w:rsid w:val="005B0247"/>
    <w:rPr>
      <w:rFonts w:ascii="Calibri" w:hAnsi="Calibri"/>
      <w:color w:val="000000"/>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79440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9098">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89407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gov.uk/government/publications/european-structural-and-investment-funds-programme-guidan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blackcountryskillsfactory.co.uk/" TargetMode="External"/><Relationship Id="rId2" Type="http://schemas.openxmlformats.org/officeDocument/2006/relationships/customXml" Target="../customXml/item2.xml"/><Relationship Id="rId16" Type="http://schemas.openxmlformats.org/officeDocument/2006/relationships/hyperlink" Target="http://www.blackcountrylep.co.uk/about-us/plans-for-growth/strategic-economic-pla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lackcountrylep.co.uk/Upload/01/Black%20Country%20EUSIF%20Strategy%20-%20Final%20Submission%20LEP%20Board%20rev.pdf"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2.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3.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4.xml><?xml version="1.0" encoding="utf-8"?>
<ds:datastoreItem xmlns:ds="http://schemas.openxmlformats.org/officeDocument/2006/customXml" ds:itemID="{6633FBB3-54B4-4AB9-9D85-ABA345D08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C699A2-9CC6-4E71-A3F4-9353A1D0B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3035</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20295</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 Williams</cp:lastModifiedBy>
  <cp:revision>3</cp:revision>
  <cp:lastPrinted>2016-03-22T10:00:00Z</cp:lastPrinted>
  <dcterms:created xsi:type="dcterms:W3CDTF">2016-07-08T09:07:00Z</dcterms:created>
  <dcterms:modified xsi:type="dcterms:W3CDTF">2016-07-08T09:07:00Z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