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BB07E" w14:textId="77777777"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14:paraId="40338325" w14:textId="77777777" w:rsidTr="00971BA8">
        <w:trPr>
          <w:jc w:val="center"/>
        </w:trPr>
        <w:tc>
          <w:tcPr>
            <w:tcW w:w="9709" w:type="dxa"/>
            <w:shd w:val="clear" w:color="auto" w:fill="006D68"/>
          </w:tcPr>
          <w:p w14:paraId="09DEB788" w14:textId="77777777" w:rsidR="00AF4C0F" w:rsidRPr="002C62C2" w:rsidRDefault="00AF4C0F" w:rsidP="006B3DC4">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243762" w:rsidRPr="00243762">
              <w:rPr>
                <w:rFonts w:asciiTheme="minorHAnsi" w:hAnsiTheme="minorHAnsi" w:cstheme="minorHAnsi"/>
                <w:b/>
                <w:iCs/>
                <w:color w:val="FFFFFF" w:themeColor="background1"/>
                <w:sz w:val="24"/>
              </w:rPr>
              <w:t xml:space="preserve">UK HPR1000 Generic Design Assessment – </w:t>
            </w:r>
            <w:r w:rsidR="00BB4F9E">
              <w:rPr>
                <w:rFonts w:asciiTheme="minorHAnsi" w:hAnsiTheme="minorHAnsi" w:cstheme="minorHAnsi"/>
                <w:b/>
                <w:iCs/>
                <w:color w:val="FFFFFF" w:themeColor="background1"/>
                <w:sz w:val="24"/>
              </w:rPr>
              <w:t xml:space="preserve"> ASTEC </w:t>
            </w:r>
            <w:r w:rsidR="006B3DC4">
              <w:rPr>
                <w:rFonts w:asciiTheme="minorHAnsi" w:hAnsiTheme="minorHAnsi" w:cstheme="minorHAnsi"/>
                <w:b/>
                <w:iCs/>
                <w:color w:val="FFFFFF" w:themeColor="background1"/>
                <w:sz w:val="24"/>
              </w:rPr>
              <w:t>F</w:t>
            </w:r>
            <w:r w:rsidR="00BB4F9E">
              <w:rPr>
                <w:rFonts w:asciiTheme="minorHAnsi" w:hAnsiTheme="minorHAnsi" w:cstheme="minorHAnsi"/>
                <w:b/>
                <w:iCs/>
                <w:color w:val="FFFFFF" w:themeColor="background1"/>
                <w:sz w:val="24"/>
              </w:rPr>
              <w:t xml:space="preserve">amiliarisation </w:t>
            </w:r>
            <w:r w:rsidR="006B3DC4">
              <w:rPr>
                <w:rFonts w:asciiTheme="minorHAnsi" w:hAnsiTheme="minorHAnsi" w:cstheme="minorHAnsi"/>
                <w:b/>
                <w:iCs/>
                <w:color w:val="FFFFFF" w:themeColor="background1"/>
                <w:sz w:val="24"/>
              </w:rPr>
              <w:t>C</w:t>
            </w:r>
            <w:r w:rsidR="00BB4F9E">
              <w:rPr>
                <w:rFonts w:asciiTheme="minorHAnsi" w:hAnsiTheme="minorHAnsi" w:cstheme="minorHAnsi"/>
                <w:b/>
                <w:iCs/>
                <w:color w:val="FFFFFF" w:themeColor="background1"/>
                <w:sz w:val="24"/>
              </w:rPr>
              <w:t>ourse</w:t>
            </w:r>
          </w:p>
        </w:tc>
      </w:tr>
      <w:tr w:rsidR="00AF4C0F" w14:paraId="72661B0E" w14:textId="77777777" w:rsidTr="00971BA8">
        <w:trPr>
          <w:jc w:val="center"/>
        </w:trPr>
        <w:tc>
          <w:tcPr>
            <w:tcW w:w="9709" w:type="dxa"/>
          </w:tcPr>
          <w:p w14:paraId="133AF8C3"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14:paraId="58660DE8" w14:textId="77777777" w:rsidR="00243762" w:rsidRPr="00243762" w:rsidRDefault="00243762" w:rsidP="00243762">
            <w:pPr>
              <w:pStyle w:val="TSNumberedParagraph11"/>
              <w:rPr>
                <w:rFonts w:asciiTheme="minorHAnsi" w:hAnsiTheme="minorHAnsi" w:cstheme="minorHAnsi"/>
              </w:rPr>
            </w:pPr>
            <w:r w:rsidRPr="00243762">
              <w:rPr>
                <w:rFonts w:asciiTheme="minorHAnsi" w:hAnsiTheme="minorHAnsi" w:cstheme="minorHAnsi"/>
              </w:rPr>
              <w:t xml:space="preserve">In January 2017 the UK Government formally </w:t>
            </w:r>
            <w:r w:rsidR="008E5820">
              <w:rPr>
                <w:rFonts w:asciiTheme="minorHAnsi" w:hAnsiTheme="minorHAnsi" w:cstheme="minorHAnsi"/>
              </w:rPr>
              <w:t>requested</w:t>
            </w:r>
            <w:r w:rsidR="008E5820" w:rsidRPr="00243762">
              <w:rPr>
                <w:rFonts w:asciiTheme="minorHAnsi" w:hAnsiTheme="minorHAnsi" w:cstheme="minorHAnsi"/>
              </w:rPr>
              <w:t xml:space="preserve"> </w:t>
            </w:r>
            <w:r w:rsidRPr="00243762">
              <w:rPr>
                <w:rFonts w:asciiTheme="minorHAnsi" w:hAnsiTheme="minorHAnsi" w:cstheme="minorHAnsi"/>
              </w:rPr>
              <w:t xml:space="preserve">ONR and EA to begin the GDA of the UK HPR1000. The UK HPR1000 is a reactor design proposed for deployment at </w:t>
            </w:r>
            <w:proofErr w:type="spellStart"/>
            <w:r w:rsidRPr="00243762">
              <w:rPr>
                <w:rFonts w:asciiTheme="minorHAnsi" w:hAnsiTheme="minorHAnsi" w:cstheme="minorHAnsi"/>
              </w:rPr>
              <w:t>Bradwell</w:t>
            </w:r>
            <w:proofErr w:type="spellEnd"/>
            <w:r w:rsidRPr="00243762">
              <w:rPr>
                <w:rFonts w:asciiTheme="minorHAnsi" w:hAnsiTheme="minorHAnsi" w:cstheme="minorHAnsi"/>
              </w:rPr>
              <w:t>-on-Sea, Essex. General Nuclear System LTD (GNS) is a UK-registered company that was established as the Requesting Party (RP) to implement the GDA on the UK HPR1000 reactor on behalf of three joint requesting parties, i.e. China General Nuclear Power Corporation (CGN), EDF and General Nuclear International (GNI).</w:t>
            </w:r>
          </w:p>
          <w:p w14:paraId="5E30588B" w14:textId="67E8C892" w:rsidR="00243762" w:rsidRPr="00266FCB" w:rsidRDefault="00243762" w:rsidP="00243762">
            <w:pPr>
              <w:pStyle w:val="TSNumberedParagraph11"/>
              <w:rPr>
                <w:rFonts w:asciiTheme="minorHAnsi" w:hAnsiTheme="minorHAnsi" w:cstheme="minorHAnsi"/>
              </w:rPr>
            </w:pPr>
            <w:r w:rsidRPr="00243762">
              <w:rPr>
                <w:rFonts w:asciiTheme="minorHAnsi" w:hAnsiTheme="minorHAnsi" w:cstheme="minorHAnsi"/>
              </w:rPr>
              <w:t>The GDA process calls for a step-wise assessment of the RP’s safety and security submissions with the assessments increasing in detail as the project progresses. Step 1 of the UK HPR1000 GDA commenced in January 2017 and Step 2 finished in November 2018. Step 3 commence</w:t>
            </w:r>
            <w:r w:rsidR="00E57F98">
              <w:rPr>
                <w:rFonts w:asciiTheme="minorHAnsi" w:hAnsiTheme="minorHAnsi" w:cstheme="minorHAnsi"/>
              </w:rPr>
              <w:t>d</w:t>
            </w:r>
            <w:r w:rsidRPr="00243762">
              <w:rPr>
                <w:rFonts w:asciiTheme="minorHAnsi" w:hAnsiTheme="minorHAnsi" w:cstheme="minorHAnsi"/>
              </w:rPr>
              <w:t xml:space="preserve"> thereafter and </w:t>
            </w:r>
            <w:r w:rsidR="00E57F98">
              <w:rPr>
                <w:rFonts w:asciiTheme="minorHAnsi" w:hAnsiTheme="minorHAnsi" w:cstheme="minorHAnsi"/>
              </w:rPr>
              <w:t xml:space="preserve">is due to </w:t>
            </w:r>
            <w:r w:rsidRPr="00243762">
              <w:rPr>
                <w:rFonts w:asciiTheme="minorHAnsi" w:hAnsiTheme="minorHAnsi" w:cstheme="minorHAnsi"/>
              </w:rPr>
              <w:t xml:space="preserve">last for approximately 13 months. Step 4 is currently planned to last for 24 months, </w:t>
            </w:r>
            <w:r w:rsidRPr="00266FCB">
              <w:rPr>
                <w:rFonts w:asciiTheme="minorHAnsi" w:hAnsiTheme="minorHAnsi" w:cstheme="minorHAnsi"/>
              </w:rPr>
              <w:t>starting in December 2019.</w:t>
            </w:r>
          </w:p>
          <w:p w14:paraId="7FC1AF79" w14:textId="77777777" w:rsidR="00266FCB" w:rsidRPr="00266FCB" w:rsidRDefault="00243762" w:rsidP="00266FCB">
            <w:pPr>
              <w:pStyle w:val="TSNumberedParagraph11"/>
              <w:rPr>
                <w:rFonts w:asciiTheme="minorHAnsi" w:hAnsiTheme="minorHAnsi" w:cstheme="minorHAnsi"/>
              </w:rPr>
            </w:pPr>
            <w:r w:rsidRPr="003143C8">
              <w:rPr>
                <w:rFonts w:asciiTheme="minorHAnsi" w:hAnsiTheme="minorHAnsi"/>
              </w:rPr>
              <w:t>The RP for the U</w:t>
            </w:r>
            <w:r w:rsidR="00B31995" w:rsidRPr="003143C8">
              <w:rPr>
                <w:rFonts w:asciiTheme="minorHAnsi" w:hAnsiTheme="minorHAnsi"/>
              </w:rPr>
              <w:t xml:space="preserve">K HPR1000 </w:t>
            </w:r>
            <w:r w:rsidR="00A14024">
              <w:rPr>
                <w:rFonts w:asciiTheme="minorHAnsi" w:hAnsiTheme="minorHAnsi"/>
              </w:rPr>
              <w:t>is</w:t>
            </w:r>
            <w:r w:rsidR="00A14024" w:rsidRPr="003143C8">
              <w:rPr>
                <w:rFonts w:asciiTheme="minorHAnsi" w:hAnsiTheme="minorHAnsi"/>
              </w:rPr>
              <w:t xml:space="preserve"> </w:t>
            </w:r>
            <w:r w:rsidR="00B31995" w:rsidRPr="003143C8">
              <w:rPr>
                <w:rFonts w:asciiTheme="minorHAnsi" w:hAnsiTheme="minorHAnsi"/>
              </w:rPr>
              <w:t>proposing to use the</w:t>
            </w:r>
            <w:r w:rsidRPr="003143C8">
              <w:rPr>
                <w:rFonts w:asciiTheme="minorHAnsi" w:hAnsiTheme="minorHAnsi"/>
              </w:rPr>
              <w:t xml:space="preserve"> Severe Accident Analysis (SAA)</w:t>
            </w:r>
            <w:r w:rsidR="00B31995" w:rsidRPr="003143C8">
              <w:rPr>
                <w:rFonts w:asciiTheme="minorHAnsi" w:hAnsiTheme="minorHAnsi"/>
              </w:rPr>
              <w:t xml:space="preserve"> computer code ASTEC </w:t>
            </w:r>
            <w:r w:rsidR="00266FCB" w:rsidRPr="003143C8">
              <w:rPr>
                <w:rFonts w:asciiTheme="minorHAnsi" w:hAnsiTheme="minorHAnsi" w:cstheme="minorHAnsi"/>
              </w:rPr>
              <w:t xml:space="preserve">(Accident Source Term Evaluation Code) </w:t>
            </w:r>
            <w:r w:rsidR="00B31995" w:rsidRPr="003143C8">
              <w:rPr>
                <w:rFonts w:asciiTheme="minorHAnsi" w:hAnsiTheme="minorHAnsi"/>
              </w:rPr>
              <w:t xml:space="preserve">to analyse severe accidents during GDA. </w:t>
            </w:r>
            <w:r w:rsidR="00A14024">
              <w:rPr>
                <w:rFonts w:asciiTheme="minorHAnsi" w:hAnsiTheme="minorHAnsi"/>
              </w:rPr>
              <w:t>It has stated tha</w:t>
            </w:r>
            <w:r w:rsidR="00435B1D">
              <w:rPr>
                <w:rFonts w:asciiTheme="minorHAnsi" w:hAnsiTheme="minorHAnsi"/>
              </w:rPr>
              <w:t xml:space="preserve">t </w:t>
            </w:r>
            <w:r w:rsidR="00A14024">
              <w:rPr>
                <w:rFonts w:asciiTheme="minorHAnsi" w:hAnsiTheme="minorHAnsi"/>
              </w:rPr>
              <w:t>t</w:t>
            </w:r>
            <w:r w:rsidR="00266FCB" w:rsidRPr="00266FCB">
              <w:rPr>
                <w:rFonts w:asciiTheme="minorHAnsi" w:hAnsiTheme="minorHAnsi" w:cstheme="minorHAnsi"/>
              </w:rPr>
              <w:t xml:space="preserve">he ASTEC </w:t>
            </w:r>
            <w:r w:rsidR="00266FCB">
              <w:rPr>
                <w:rFonts w:asciiTheme="minorHAnsi" w:hAnsiTheme="minorHAnsi" w:cstheme="minorHAnsi"/>
              </w:rPr>
              <w:t>code</w:t>
            </w:r>
            <w:r w:rsidR="00266FCB" w:rsidRPr="00266FCB">
              <w:rPr>
                <w:rFonts w:asciiTheme="minorHAnsi" w:hAnsiTheme="minorHAnsi" w:cstheme="minorHAnsi"/>
              </w:rPr>
              <w:t xml:space="preserve"> </w:t>
            </w:r>
            <w:r w:rsidR="00266FCB">
              <w:rPr>
                <w:rFonts w:asciiTheme="minorHAnsi" w:hAnsiTheme="minorHAnsi" w:cstheme="minorHAnsi"/>
              </w:rPr>
              <w:t>can be</w:t>
            </w:r>
            <w:r w:rsidR="00266FCB" w:rsidRPr="003143C8">
              <w:rPr>
                <w:rFonts w:asciiTheme="minorHAnsi" w:hAnsiTheme="minorHAnsi" w:cstheme="minorHAnsi"/>
              </w:rPr>
              <w:t xml:space="preserve"> used </w:t>
            </w:r>
            <w:r w:rsidR="00266FCB" w:rsidRPr="00266FCB">
              <w:rPr>
                <w:rFonts w:asciiTheme="minorHAnsi" w:hAnsiTheme="minorHAnsi" w:cstheme="minorHAnsi"/>
              </w:rPr>
              <w:t>to simulate all phenomena that take place during a water-cooled reactor meltdown accident, from the initiating event to the discharge of radioactive materials out from the containment</w:t>
            </w:r>
            <w:r w:rsidR="00266FCB">
              <w:rPr>
                <w:rFonts w:asciiTheme="minorHAnsi" w:hAnsiTheme="minorHAnsi" w:cstheme="minorHAnsi"/>
              </w:rPr>
              <w:t>. The code</w:t>
            </w:r>
            <w:r w:rsidR="00266FCB" w:rsidRPr="00266FCB">
              <w:rPr>
                <w:rFonts w:asciiTheme="minorHAnsi" w:hAnsiTheme="minorHAnsi" w:cstheme="minorHAnsi"/>
              </w:rPr>
              <w:t xml:space="preserve"> particularly covers Western-designed pressurized water reactors (PWRs) such as those used for France's nuclear power supply, Russian-designed PWRs (VVERs), boiling water reactors (BWRs) and CANDU heavy water reactors. ASTEC is currently maintained and developed by the IRSN</w:t>
            </w:r>
            <w:r w:rsidR="00266FCB" w:rsidRPr="003143C8">
              <w:rPr>
                <w:rFonts w:asciiTheme="minorHAnsi" w:hAnsiTheme="minorHAnsi" w:cstheme="minorHAnsi"/>
              </w:rPr>
              <w:t xml:space="preserve"> (</w:t>
            </w:r>
            <w:proofErr w:type="spellStart"/>
            <w:r w:rsidR="00266FCB" w:rsidRPr="003143C8">
              <w:rPr>
                <w:rFonts w:asciiTheme="minorHAnsi" w:hAnsiTheme="minorHAnsi" w:cstheme="minorHAnsi"/>
              </w:rPr>
              <w:t>Institut</w:t>
            </w:r>
            <w:proofErr w:type="spellEnd"/>
            <w:r w:rsidR="00266FCB" w:rsidRPr="003143C8">
              <w:rPr>
                <w:rFonts w:asciiTheme="minorHAnsi" w:hAnsiTheme="minorHAnsi" w:cstheme="minorHAnsi"/>
              </w:rPr>
              <w:t xml:space="preserve"> de radioprotection </w:t>
            </w:r>
            <w:proofErr w:type="gramStart"/>
            <w:r w:rsidR="00266FCB" w:rsidRPr="003143C8">
              <w:rPr>
                <w:rFonts w:asciiTheme="minorHAnsi" w:hAnsiTheme="minorHAnsi" w:cstheme="minorHAnsi"/>
              </w:rPr>
              <w:t>et</w:t>
            </w:r>
            <w:proofErr w:type="gramEnd"/>
            <w:r w:rsidR="00266FCB" w:rsidRPr="003143C8">
              <w:rPr>
                <w:rFonts w:asciiTheme="minorHAnsi" w:hAnsiTheme="minorHAnsi" w:cstheme="minorHAnsi"/>
              </w:rPr>
              <w:t xml:space="preserve"> de </w:t>
            </w:r>
            <w:proofErr w:type="spellStart"/>
            <w:r w:rsidR="00266FCB" w:rsidRPr="003143C8">
              <w:rPr>
                <w:rFonts w:asciiTheme="minorHAnsi" w:hAnsiTheme="minorHAnsi" w:cstheme="minorHAnsi"/>
              </w:rPr>
              <w:t>sûreté</w:t>
            </w:r>
            <w:proofErr w:type="spellEnd"/>
            <w:r w:rsidR="00266FCB" w:rsidRPr="003143C8">
              <w:rPr>
                <w:rFonts w:asciiTheme="minorHAnsi" w:hAnsiTheme="minorHAnsi" w:cstheme="minorHAnsi"/>
              </w:rPr>
              <w:t xml:space="preserve"> </w:t>
            </w:r>
            <w:proofErr w:type="spellStart"/>
            <w:r w:rsidR="00266FCB" w:rsidRPr="003143C8">
              <w:rPr>
                <w:rFonts w:asciiTheme="minorHAnsi" w:hAnsiTheme="minorHAnsi" w:cstheme="minorHAnsi"/>
              </w:rPr>
              <w:t>nucléaire</w:t>
            </w:r>
            <w:proofErr w:type="spellEnd"/>
            <w:r w:rsidR="00266FCB" w:rsidRPr="003143C8">
              <w:rPr>
                <w:rFonts w:asciiTheme="minorHAnsi" w:hAnsiTheme="minorHAnsi" w:cstheme="minorHAnsi"/>
              </w:rPr>
              <w:t>)</w:t>
            </w:r>
            <w:r w:rsidR="00266FCB" w:rsidRPr="00266FCB">
              <w:rPr>
                <w:rFonts w:asciiTheme="minorHAnsi" w:hAnsiTheme="minorHAnsi" w:cstheme="minorHAnsi"/>
              </w:rPr>
              <w:t>.</w:t>
            </w:r>
          </w:p>
          <w:p w14:paraId="4475B323" w14:textId="77777777" w:rsidR="00D30DD5" w:rsidRPr="00511052" w:rsidRDefault="00236868" w:rsidP="00511052">
            <w:pPr>
              <w:pStyle w:val="TSNumberedParagraph11"/>
              <w:rPr>
                <w:rFonts w:asciiTheme="minorHAnsi" w:hAnsiTheme="minorHAnsi" w:cstheme="minorHAnsi"/>
              </w:rPr>
            </w:pPr>
            <w:r>
              <w:rPr>
                <w:rFonts w:asciiTheme="minorHAnsi" w:hAnsiTheme="minorHAnsi" w:cstheme="minorHAnsi"/>
              </w:rPr>
              <w:t xml:space="preserve">ONR </w:t>
            </w:r>
            <w:r w:rsidR="00A14024">
              <w:rPr>
                <w:rFonts w:asciiTheme="minorHAnsi" w:hAnsiTheme="minorHAnsi" w:cstheme="minorHAnsi"/>
              </w:rPr>
              <w:t>has limited experience of the</w:t>
            </w:r>
            <w:r>
              <w:rPr>
                <w:rFonts w:asciiTheme="minorHAnsi" w:hAnsiTheme="minorHAnsi" w:cstheme="minorHAnsi"/>
              </w:rPr>
              <w:t xml:space="preserve"> ASTEC code</w:t>
            </w:r>
            <w:r w:rsidR="00A14024">
              <w:rPr>
                <w:rFonts w:asciiTheme="minorHAnsi" w:hAnsiTheme="minorHAnsi" w:cstheme="minorHAnsi"/>
              </w:rPr>
              <w:t xml:space="preserve"> being used in support of new reactor safety cases</w:t>
            </w:r>
            <w:r>
              <w:rPr>
                <w:rFonts w:asciiTheme="minorHAnsi" w:hAnsiTheme="minorHAnsi" w:cstheme="minorHAnsi"/>
              </w:rPr>
              <w:t xml:space="preserve">. Therefore, </w:t>
            </w:r>
            <w:r w:rsidR="00A14024">
              <w:rPr>
                <w:rFonts w:asciiTheme="minorHAnsi" w:hAnsiTheme="minorHAnsi" w:cstheme="minorHAnsi"/>
              </w:rPr>
              <w:t xml:space="preserve">to appropriately target the regulatory assessment of the RP’s severe accident safety case, ONR is seeking early “familiarity training” in the ASTEC code to gain insights into its capabilities, functionality and limitations. </w:t>
            </w:r>
          </w:p>
        </w:tc>
      </w:tr>
      <w:tr w:rsidR="00AF4C0F" w14:paraId="0F215E1F" w14:textId="77777777" w:rsidTr="00971BA8">
        <w:trPr>
          <w:jc w:val="center"/>
        </w:trPr>
        <w:tc>
          <w:tcPr>
            <w:tcW w:w="9709" w:type="dxa"/>
          </w:tcPr>
          <w:p w14:paraId="5228E404"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14:paraId="05C05814" w14:textId="77777777" w:rsidR="00243762" w:rsidRPr="00243762" w:rsidRDefault="00243762" w:rsidP="00243762">
            <w:pPr>
              <w:pStyle w:val="TSHeadingNumbered11"/>
              <w:numPr>
                <w:ilvl w:val="0"/>
                <w:numId w:val="0"/>
              </w:numPr>
              <w:ind w:left="720"/>
              <w:rPr>
                <w:rFonts w:asciiTheme="minorHAnsi" w:hAnsiTheme="minorHAnsi"/>
                <w:u w:val="single"/>
              </w:rPr>
            </w:pPr>
            <w:r w:rsidRPr="00243762">
              <w:rPr>
                <w:rFonts w:asciiTheme="minorHAnsi" w:hAnsiTheme="minorHAnsi"/>
                <w:u w:val="single"/>
              </w:rPr>
              <w:t>Scope of work</w:t>
            </w:r>
          </w:p>
          <w:p w14:paraId="3EFFBCF3" w14:textId="77777777" w:rsidR="00B31995" w:rsidRDefault="00266FCB" w:rsidP="00243762">
            <w:pPr>
              <w:pStyle w:val="TSNumberedParagraph11"/>
              <w:rPr>
                <w:rFonts w:asciiTheme="minorHAnsi" w:hAnsiTheme="minorHAnsi" w:cstheme="minorHAnsi"/>
                <w:iCs/>
                <w:szCs w:val="22"/>
              </w:rPr>
            </w:pPr>
            <w:r>
              <w:rPr>
                <w:rFonts w:asciiTheme="minorHAnsi" w:hAnsiTheme="minorHAnsi" w:cstheme="minorHAnsi"/>
                <w:iCs/>
                <w:szCs w:val="22"/>
              </w:rPr>
              <w:t xml:space="preserve">ONR requires a contractor to provide a </w:t>
            </w:r>
            <w:r w:rsidR="00E121D1">
              <w:rPr>
                <w:rFonts w:asciiTheme="minorHAnsi" w:hAnsiTheme="minorHAnsi" w:cstheme="minorHAnsi"/>
                <w:iCs/>
                <w:szCs w:val="22"/>
              </w:rPr>
              <w:t xml:space="preserve">familiarity training course </w:t>
            </w:r>
            <w:r w:rsidR="004C36D4">
              <w:rPr>
                <w:rFonts w:asciiTheme="minorHAnsi" w:hAnsiTheme="minorHAnsi" w:cstheme="minorHAnsi"/>
                <w:iCs/>
                <w:szCs w:val="22"/>
              </w:rPr>
              <w:t xml:space="preserve">in the ASTEC code. This should be delivered to </w:t>
            </w:r>
            <w:r w:rsidR="00B31995">
              <w:rPr>
                <w:rFonts w:asciiTheme="minorHAnsi" w:hAnsiTheme="minorHAnsi" w:cstheme="minorHAnsi"/>
                <w:iCs/>
                <w:szCs w:val="22"/>
              </w:rPr>
              <w:t xml:space="preserve">relevant ONR staff at </w:t>
            </w:r>
            <w:r w:rsidR="004C36D4">
              <w:rPr>
                <w:rFonts w:asciiTheme="minorHAnsi" w:hAnsiTheme="minorHAnsi" w:cstheme="minorHAnsi"/>
                <w:iCs/>
                <w:szCs w:val="22"/>
              </w:rPr>
              <w:t xml:space="preserve">our </w:t>
            </w:r>
            <w:r w:rsidR="00B31995">
              <w:rPr>
                <w:rFonts w:asciiTheme="minorHAnsi" w:hAnsiTheme="minorHAnsi" w:cstheme="minorHAnsi"/>
                <w:iCs/>
                <w:szCs w:val="22"/>
              </w:rPr>
              <w:t>Bootle offices</w:t>
            </w:r>
            <w:r w:rsidR="004C36D4">
              <w:rPr>
                <w:rFonts w:asciiTheme="minorHAnsi" w:hAnsiTheme="minorHAnsi" w:cstheme="minorHAnsi"/>
                <w:iCs/>
                <w:szCs w:val="22"/>
              </w:rPr>
              <w:t xml:space="preserve"> in Liverpool, UK</w:t>
            </w:r>
            <w:r w:rsidR="00B31995">
              <w:rPr>
                <w:rFonts w:asciiTheme="minorHAnsi" w:hAnsiTheme="minorHAnsi" w:cstheme="minorHAnsi"/>
                <w:iCs/>
                <w:szCs w:val="22"/>
              </w:rPr>
              <w:t xml:space="preserve">. </w:t>
            </w:r>
            <w:r w:rsidR="004C36D4" w:rsidRPr="00577BE7">
              <w:rPr>
                <w:rFonts w:asciiTheme="minorHAnsi" w:hAnsiTheme="minorHAnsi" w:cstheme="minorHAnsi"/>
                <w:iCs/>
                <w:szCs w:val="22"/>
              </w:rPr>
              <w:t xml:space="preserve">The </w:t>
            </w:r>
            <w:r w:rsidR="004C36D4">
              <w:rPr>
                <w:rFonts w:asciiTheme="minorHAnsi" w:hAnsiTheme="minorHAnsi" w:cstheme="minorHAnsi"/>
                <w:iCs/>
                <w:szCs w:val="22"/>
              </w:rPr>
              <w:t>training will be delivered to between 5 and 10</w:t>
            </w:r>
            <w:r w:rsidR="004C36D4" w:rsidRPr="00577BE7">
              <w:rPr>
                <w:rFonts w:asciiTheme="minorHAnsi" w:hAnsiTheme="minorHAnsi" w:cstheme="minorHAnsi"/>
                <w:iCs/>
                <w:szCs w:val="22"/>
              </w:rPr>
              <w:t xml:space="preserve"> ONR </w:t>
            </w:r>
            <w:r w:rsidR="004C36D4">
              <w:rPr>
                <w:rFonts w:asciiTheme="minorHAnsi" w:hAnsiTheme="minorHAnsi" w:cstheme="minorHAnsi"/>
                <w:iCs/>
                <w:szCs w:val="22"/>
              </w:rPr>
              <w:t>I</w:t>
            </w:r>
            <w:r w:rsidR="004C36D4" w:rsidRPr="00577BE7">
              <w:rPr>
                <w:rFonts w:asciiTheme="minorHAnsi" w:hAnsiTheme="minorHAnsi" w:cstheme="minorHAnsi"/>
                <w:iCs/>
                <w:szCs w:val="22"/>
              </w:rPr>
              <w:t>nspectors</w:t>
            </w:r>
            <w:r w:rsidR="004C36D4">
              <w:rPr>
                <w:rFonts w:asciiTheme="minorHAnsi" w:hAnsiTheme="minorHAnsi" w:cstheme="minorHAnsi"/>
                <w:iCs/>
                <w:szCs w:val="22"/>
              </w:rPr>
              <w:t>, with a range of backgrounds in Fault Studies, Severe Accident Analysis and Chemistry</w:t>
            </w:r>
            <w:r w:rsidR="00DF2FCB">
              <w:rPr>
                <w:rFonts w:asciiTheme="minorHAnsi" w:hAnsiTheme="minorHAnsi" w:cstheme="minorHAnsi"/>
                <w:iCs/>
                <w:szCs w:val="22"/>
              </w:rPr>
              <w:t>, amongst other disciplines</w:t>
            </w:r>
            <w:r w:rsidR="004C36D4" w:rsidRPr="00577BE7">
              <w:rPr>
                <w:rFonts w:asciiTheme="minorHAnsi" w:hAnsiTheme="minorHAnsi" w:cstheme="minorHAnsi"/>
                <w:iCs/>
                <w:szCs w:val="22"/>
              </w:rPr>
              <w:t>.</w:t>
            </w:r>
          </w:p>
          <w:p w14:paraId="74008D44" w14:textId="77777777" w:rsidR="004C36D4" w:rsidRDefault="004C36D4" w:rsidP="00243762">
            <w:pPr>
              <w:pStyle w:val="TSNumberedParagraph11"/>
              <w:rPr>
                <w:rFonts w:asciiTheme="minorHAnsi" w:hAnsiTheme="minorHAnsi" w:cstheme="minorHAnsi"/>
                <w:iCs/>
                <w:szCs w:val="22"/>
              </w:rPr>
            </w:pPr>
            <w:r>
              <w:rPr>
                <w:rFonts w:asciiTheme="minorHAnsi" w:hAnsiTheme="minorHAnsi" w:cstheme="minorHAnsi"/>
                <w:iCs/>
                <w:szCs w:val="22"/>
              </w:rPr>
              <w:t xml:space="preserve">The contractor who provides this work should be familiar with the ASTEC code, its development, uses, application, verification and validation. </w:t>
            </w:r>
            <w:r w:rsidR="00DF2FCB">
              <w:rPr>
                <w:rFonts w:asciiTheme="minorHAnsi" w:hAnsiTheme="minorHAnsi" w:cstheme="minorHAnsi"/>
                <w:iCs/>
                <w:szCs w:val="22"/>
              </w:rPr>
              <w:t>Ideally the contractor should have expertise in applying this code to nuclear safety applications.</w:t>
            </w:r>
          </w:p>
          <w:p w14:paraId="5438657C" w14:textId="77777777" w:rsidR="00DF2FCB" w:rsidRDefault="004C36D4" w:rsidP="003143C8">
            <w:pPr>
              <w:pStyle w:val="TSNumberedParagraph11"/>
              <w:rPr>
                <w:rFonts w:asciiTheme="minorHAnsi" w:hAnsiTheme="minorHAnsi" w:cstheme="minorHAnsi"/>
                <w:iCs/>
                <w:szCs w:val="22"/>
              </w:rPr>
            </w:pPr>
            <w:r w:rsidRPr="004C36D4">
              <w:rPr>
                <w:rFonts w:asciiTheme="minorHAnsi" w:hAnsiTheme="minorHAnsi" w:cstheme="minorHAnsi"/>
                <w:iCs/>
                <w:szCs w:val="22"/>
              </w:rPr>
              <w:t>The level of this training is not expected to be at a practi</w:t>
            </w:r>
            <w:r w:rsidR="00DF2FCB">
              <w:rPr>
                <w:rFonts w:asciiTheme="minorHAnsi" w:hAnsiTheme="minorHAnsi" w:cstheme="minorHAnsi"/>
                <w:iCs/>
                <w:szCs w:val="22"/>
              </w:rPr>
              <w:t>ti</w:t>
            </w:r>
            <w:r w:rsidRPr="004C36D4">
              <w:rPr>
                <w:rFonts w:asciiTheme="minorHAnsi" w:hAnsiTheme="minorHAnsi" w:cstheme="minorHAnsi"/>
                <w:iCs/>
                <w:szCs w:val="22"/>
              </w:rPr>
              <w:t xml:space="preserve">oner level, but at such a level that ONR </w:t>
            </w:r>
            <w:r w:rsidR="00980F89">
              <w:rPr>
                <w:rFonts w:asciiTheme="minorHAnsi" w:hAnsiTheme="minorHAnsi" w:cstheme="minorHAnsi"/>
                <w:iCs/>
                <w:szCs w:val="22"/>
              </w:rPr>
              <w:t>I</w:t>
            </w:r>
            <w:r w:rsidRPr="004C36D4">
              <w:rPr>
                <w:rFonts w:asciiTheme="minorHAnsi" w:hAnsiTheme="minorHAnsi" w:cstheme="minorHAnsi"/>
                <w:iCs/>
                <w:szCs w:val="22"/>
              </w:rPr>
              <w:t xml:space="preserve">nspectors will gain an understanding of </w:t>
            </w:r>
            <w:r>
              <w:rPr>
                <w:rFonts w:asciiTheme="minorHAnsi" w:hAnsiTheme="minorHAnsi" w:cstheme="minorHAnsi"/>
                <w:iCs/>
                <w:szCs w:val="22"/>
              </w:rPr>
              <w:t xml:space="preserve">relevant </w:t>
            </w:r>
            <w:r w:rsidRPr="004C36D4">
              <w:rPr>
                <w:rFonts w:asciiTheme="minorHAnsi" w:hAnsiTheme="minorHAnsi" w:cstheme="minorHAnsi"/>
                <w:iCs/>
                <w:szCs w:val="22"/>
              </w:rPr>
              <w:t>topics, such as:</w:t>
            </w:r>
          </w:p>
          <w:p w14:paraId="129A2296" w14:textId="77777777" w:rsidR="00DF2FCB" w:rsidRPr="00EE3F1A" w:rsidRDefault="00DF2FCB" w:rsidP="00DF2FCB">
            <w:pPr>
              <w:pStyle w:val="TSBullet1Square"/>
              <w:rPr>
                <w:rFonts w:asciiTheme="minorHAnsi" w:hAnsiTheme="minorHAnsi"/>
              </w:rPr>
            </w:pPr>
            <w:r w:rsidRPr="00EE3F1A">
              <w:rPr>
                <w:rFonts w:asciiTheme="minorHAnsi" w:hAnsiTheme="minorHAnsi"/>
              </w:rPr>
              <w:lastRenderedPageBreak/>
              <w:t>Code capability;</w:t>
            </w:r>
          </w:p>
          <w:p w14:paraId="3E2D947B" w14:textId="77777777" w:rsidR="00DF2FCB" w:rsidRDefault="00DF2FCB" w:rsidP="00DF2FCB">
            <w:pPr>
              <w:pStyle w:val="TSBullet1Square"/>
              <w:rPr>
                <w:rFonts w:asciiTheme="minorHAnsi" w:hAnsiTheme="minorHAnsi"/>
              </w:rPr>
            </w:pPr>
            <w:r w:rsidRPr="00EE3F1A">
              <w:rPr>
                <w:rFonts w:asciiTheme="minorHAnsi" w:hAnsiTheme="minorHAnsi"/>
              </w:rPr>
              <w:t>Code operability</w:t>
            </w:r>
            <w:r w:rsidR="00B54FBC">
              <w:rPr>
                <w:rFonts w:asciiTheme="minorHAnsi" w:hAnsiTheme="minorHAnsi"/>
              </w:rPr>
              <w:t xml:space="preserve"> – i.e. a demonstration of how the code works</w:t>
            </w:r>
            <w:r w:rsidRPr="00EE3F1A">
              <w:rPr>
                <w:rFonts w:asciiTheme="minorHAnsi" w:hAnsiTheme="minorHAnsi"/>
              </w:rPr>
              <w:t>;</w:t>
            </w:r>
          </w:p>
          <w:p w14:paraId="75A6112A" w14:textId="77777777" w:rsidR="006C0453" w:rsidRDefault="006C0453" w:rsidP="00DF2FCB">
            <w:pPr>
              <w:pStyle w:val="TSBullet1Square"/>
              <w:rPr>
                <w:rFonts w:asciiTheme="minorHAnsi" w:hAnsiTheme="minorHAnsi"/>
              </w:rPr>
            </w:pPr>
            <w:r w:rsidRPr="00EE3F1A">
              <w:rPr>
                <w:rFonts w:asciiTheme="minorHAnsi" w:hAnsiTheme="minorHAnsi"/>
              </w:rPr>
              <w:t>Code limitations;</w:t>
            </w:r>
          </w:p>
          <w:p w14:paraId="7EED7A54" w14:textId="77777777" w:rsidR="006C0453" w:rsidRDefault="006C0453" w:rsidP="006C0453">
            <w:pPr>
              <w:pStyle w:val="TSBullet1Square"/>
              <w:rPr>
                <w:rFonts w:asciiTheme="minorHAnsi" w:hAnsiTheme="minorHAnsi"/>
              </w:rPr>
            </w:pPr>
            <w:r w:rsidRPr="00EE3F1A">
              <w:rPr>
                <w:rFonts w:asciiTheme="minorHAnsi" w:hAnsiTheme="minorHAnsi"/>
              </w:rPr>
              <w:t xml:space="preserve">Code </w:t>
            </w:r>
            <w:r>
              <w:rPr>
                <w:rFonts w:asciiTheme="minorHAnsi" w:hAnsiTheme="minorHAnsi"/>
              </w:rPr>
              <w:t xml:space="preserve">verification and </w:t>
            </w:r>
            <w:r w:rsidRPr="00EE3F1A">
              <w:rPr>
                <w:rFonts w:asciiTheme="minorHAnsi" w:hAnsiTheme="minorHAnsi"/>
              </w:rPr>
              <w:t>validation</w:t>
            </w:r>
            <w:r w:rsidR="006B3DC4">
              <w:rPr>
                <w:rFonts w:asciiTheme="minorHAnsi" w:hAnsiTheme="minorHAnsi"/>
              </w:rPr>
              <w:t>, including benchmark tests and international experiments;</w:t>
            </w:r>
          </w:p>
          <w:p w14:paraId="777AF54E" w14:textId="77777777" w:rsidR="006C0453" w:rsidRPr="006C0453" w:rsidRDefault="00A14024" w:rsidP="006C0453">
            <w:pPr>
              <w:pStyle w:val="TSBullet1Square"/>
              <w:rPr>
                <w:rFonts w:asciiTheme="minorHAnsi" w:hAnsiTheme="minorHAnsi"/>
              </w:rPr>
            </w:pPr>
            <w:r>
              <w:rPr>
                <w:rFonts w:asciiTheme="minorHAnsi" w:hAnsiTheme="minorHAnsi"/>
              </w:rPr>
              <w:t>Any e</w:t>
            </w:r>
            <w:r w:rsidR="006C0453" w:rsidRPr="00EE3F1A">
              <w:rPr>
                <w:rFonts w:asciiTheme="minorHAnsi" w:hAnsiTheme="minorHAnsi"/>
              </w:rPr>
              <w:t>xamples of where the code has been used</w:t>
            </w:r>
            <w:r>
              <w:rPr>
                <w:rFonts w:asciiTheme="minorHAnsi" w:hAnsiTheme="minorHAnsi"/>
              </w:rPr>
              <w:t xml:space="preserve"> directly to support a nuclear power plant safety case or as part of independent confirmatory analysis;</w:t>
            </w:r>
          </w:p>
          <w:p w14:paraId="432196DD" w14:textId="77777777" w:rsidR="00DF2FCB" w:rsidRPr="00EE3F1A" w:rsidRDefault="00A14024" w:rsidP="00DF2FCB">
            <w:pPr>
              <w:pStyle w:val="TSBullet1Square"/>
              <w:rPr>
                <w:rFonts w:asciiTheme="minorHAnsi" w:hAnsiTheme="minorHAnsi"/>
              </w:rPr>
            </w:pPr>
            <w:r>
              <w:rPr>
                <w:rFonts w:asciiTheme="minorHAnsi" w:hAnsiTheme="minorHAnsi"/>
              </w:rPr>
              <w:t>Any notable d</w:t>
            </w:r>
            <w:r w:rsidR="00DF2FCB" w:rsidRPr="00EE3F1A">
              <w:rPr>
                <w:rFonts w:asciiTheme="minorHAnsi" w:hAnsiTheme="minorHAnsi"/>
              </w:rPr>
              <w:t xml:space="preserve">ifferences </w:t>
            </w:r>
            <w:r>
              <w:rPr>
                <w:rFonts w:asciiTheme="minorHAnsi" w:hAnsiTheme="minorHAnsi"/>
              </w:rPr>
              <w:t xml:space="preserve">or limitations </w:t>
            </w:r>
            <w:r w:rsidR="00DF2FCB" w:rsidRPr="00EE3F1A">
              <w:rPr>
                <w:rFonts w:asciiTheme="minorHAnsi" w:hAnsiTheme="minorHAnsi"/>
              </w:rPr>
              <w:t xml:space="preserve">between ASTEC and </w:t>
            </w:r>
            <w:r w:rsidR="006B3DC4">
              <w:rPr>
                <w:rFonts w:asciiTheme="minorHAnsi" w:hAnsiTheme="minorHAnsi"/>
              </w:rPr>
              <w:t>widely used</w:t>
            </w:r>
            <w:r w:rsidR="006B3DC4" w:rsidRPr="00EE3F1A">
              <w:rPr>
                <w:rFonts w:asciiTheme="minorHAnsi" w:hAnsiTheme="minorHAnsi"/>
              </w:rPr>
              <w:t xml:space="preserve"> </w:t>
            </w:r>
            <w:r w:rsidR="00DF2FCB" w:rsidRPr="00EE3F1A">
              <w:rPr>
                <w:rFonts w:asciiTheme="minorHAnsi" w:hAnsiTheme="minorHAnsi"/>
              </w:rPr>
              <w:t xml:space="preserve">severe accident codes </w:t>
            </w:r>
            <w:r w:rsidR="00236868">
              <w:rPr>
                <w:rFonts w:asciiTheme="minorHAnsi" w:hAnsiTheme="minorHAnsi"/>
              </w:rPr>
              <w:t>(e</w:t>
            </w:r>
            <w:r w:rsidR="006B3DC4">
              <w:rPr>
                <w:rFonts w:asciiTheme="minorHAnsi" w:hAnsiTheme="minorHAnsi"/>
              </w:rPr>
              <w:t>.</w:t>
            </w:r>
            <w:r w:rsidR="00236868">
              <w:rPr>
                <w:rFonts w:asciiTheme="minorHAnsi" w:hAnsiTheme="minorHAnsi"/>
              </w:rPr>
              <w:t>g</w:t>
            </w:r>
            <w:r w:rsidR="006B3DC4">
              <w:rPr>
                <w:rFonts w:asciiTheme="minorHAnsi" w:hAnsiTheme="minorHAnsi"/>
              </w:rPr>
              <w:t>.</w:t>
            </w:r>
            <w:r w:rsidR="00236868">
              <w:rPr>
                <w:rFonts w:asciiTheme="minorHAnsi" w:hAnsiTheme="minorHAnsi"/>
              </w:rPr>
              <w:t xml:space="preserve"> </w:t>
            </w:r>
            <w:r w:rsidR="00DF2FCB" w:rsidRPr="00EE3F1A">
              <w:rPr>
                <w:rFonts w:asciiTheme="minorHAnsi" w:hAnsiTheme="minorHAnsi"/>
              </w:rPr>
              <w:t>MAAP</w:t>
            </w:r>
            <w:r w:rsidR="006B3DC4">
              <w:rPr>
                <w:rFonts w:asciiTheme="minorHAnsi" w:hAnsiTheme="minorHAnsi"/>
              </w:rPr>
              <w:t xml:space="preserve"> and  </w:t>
            </w:r>
            <w:r w:rsidR="00DF2FCB" w:rsidRPr="00EE3F1A">
              <w:rPr>
                <w:rFonts w:asciiTheme="minorHAnsi" w:hAnsiTheme="minorHAnsi"/>
              </w:rPr>
              <w:t>MELCOR</w:t>
            </w:r>
            <w:r w:rsidR="006B3DC4">
              <w:rPr>
                <w:rFonts w:asciiTheme="minorHAnsi" w:hAnsiTheme="minorHAnsi"/>
              </w:rPr>
              <w:t>);</w:t>
            </w:r>
          </w:p>
          <w:p w14:paraId="7AA57AEB" w14:textId="77777777" w:rsidR="006B3DC4" w:rsidRDefault="006B3DC4" w:rsidP="006B3DC4">
            <w:pPr>
              <w:pStyle w:val="TSBullet1Square"/>
              <w:rPr>
                <w:rFonts w:asciiTheme="minorHAnsi" w:hAnsiTheme="minorHAnsi"/>
              </w:rPr>
            </w:pPr>
            <w:r>
              <w:rPr>
                <w:rFonts w:asciiTheme="minorHAnsi" w:hAnsiTheme="minorHAnsi"/>
              </w:rPr>
              <w:t>An overview of the technical support available (e.g. user groups, code manuals, international community etc.);</w:t>
            </w:r>
          </w:p>
          <w:p w14:paraId="39697305" w14:textId="77777777" w:rsidR="006B3DC4" w:rsidRDefault="006B3DC4" w:rsidP="006B3DC4">
            <w:pPr>
              <w:pStyle w:val="TSBullet1Square"/>
              <w:rPr>
                <w:rFonts w:asciiTheme="minorHAnsi" w:hAnsiTheme="minorHAnsi"/>
              </w:rPr>
            </w:pPr>
            <w:r>
              <w:rPr>
                <w:rFonts w:asciiTheme="minorHAnsi" w:hAnsiTheme="minorHAnsi"/>
              </w:rPr>
              <w:t>Strengths and weaknesses of the code;</w:t>
            </w:r>
          </w:p>
          <w:p w14:paraId="1D6E6527" w14:textId="77777777" w:rsidR="008E65AD" w:rsidRDefault="008E65AD" w:rsidP="006B3DC4">
            <w:pPr>
              <w:pStyle w:val="TSBullet1Square"/>
              <w:rPr>
                <w:rFonts w:asciiTheme="minorHAnsi" w:hAnsiTheme="minorHAnsi"/>
              </w:rPr>
            </w:pPr>
            <w:r>
              <w:rPr>
                <w:rFonts w:asciiTheme="minorHAnsi" w:hAnsiTheme="minorHAnsi"/>
              </w:rPr>
              <w:t xml:space="preserve">Any recent code developments or areas </w:t>
            </w:r>
            <w:r w:rsidR="00726877">
              <w:rPr>
                <w:rFonts w:asciiTheme="minorHAnsi" w:hAnsiTheme="minorHAnsi"/>
              </w:rPr>
              <w:t>identified</w:t>
            </w:r>
            <w:r>
              <w:rPr>
                <w:rFonts w:asciiTheme="minorHAnsi" w:hAnsiTheme="minorHAnsi"/>
              </w:rPr>
              <w:t xml:space="preserve"> for future development;</w:t>
            </w:r>
          </w:p>
          <w:p w14:paraId="2F2B56F2" w14:textId="77777777" w:rsidR="006B3DC4" w:rsidRDefault="006B3DC4" w:rsidP="006B3DC4">
            <w:pPr>
              <w:pStyle w:val="TSBullet1Square"/>
              <w:rPr>
                <w:rFonts w:asciiTheme="minorHAnsi" w:hAnsiTheme="minorHAnsi"/>
              </w:rPr>
            </w:pPr>
            <w:r>
              <w:rPr>
                <w:rFonts w:asciiTheme="minorHAnsi" w:hAnsiTheme="minorHAnsi"/>
              </w:rPr>
              <w:t>Capability of coupling to other codes;</w:t>
            </w:r>
          </w:p>
          <w:p w14:paraId="2CB34A39" w14:textId="77777777" w:rsidR="006B3DC4" w:rsidRDefault="006B3DC4" w:rsidP="006B3DC4">
            <w:pPr>
              <w:pStyle w:val="TSBullet1Square"/>
              <w:rPr>
                <w:rFonts w:asciiTheme="minorHAnsi" w:hAnsiTheme="minorHAnsi"/>
              </w:rPr>
            </w:pPr>
            <w:r>
              <w:rPr>
                <w:rFonts w:asciiTheme="minorHAnsi" w:hAnsiTheme="minorHAnsi"/>
              </w:rPr>
              <w:t>Good practice of configuration control of user input</w:t>
            </w:r>
            <w:r w:rsidR="00726877">
              <w:rPr>
                <w:rFonts w:asciiTheme="minorHAnsi" w:hAnsiTheme="minorHAnsi"/>
              </w:rPr>
              <w:t xml:space="preserve"> and output</w:t>
            </w:r>
            <w:r w:rsidR="008E65AD">
              <w:rPr>
                <w:rFonts w:asciiTheme="minorHAnsi" w:hAnsiTheme="minorHAnsi"/>
              </w:rPr>
              <w:t>;</w:t>
            </w:r>
          </w:p>
          <w:p w14:paraId="75332B0B" w14:textId="77777777" w:rsidR="006B3DC4" w:rsidRPr="006B3DC4" w:rsidRDefault="006B3DC4" w:rsidP="006B3DC4">
            <w:pPr>
              <w:pStyle w:val="TSBullet1Square"/>
              <w:rPr>
                <w:rFonts w:asciiTheme="minorHAnsi" w:hAnsiTheme="minorHAnsi"/>
              </w:rPr>
            </w:pPr>
            <w:r>
              <w:rPr>
                <w:rFonts w:asciiTheme="minorHAnsi" w:hAnsiTheme="minorHAnsi"/>
              </w:rPr>
              <w:t>Important user assumptions</w:t>
            </w:r>
            <w:r w:rsidR="008E65AD">
              <w:rPr>
                <w:rFonts w:asciiTheme="minorHAnsi" w:hAnsiTheme="minorHAnsi"/>
              </w:rPr>
              <w:t>.</w:t>
            </w:r>
          </w:p>
          <w:p w14:paraId="470749FE" w14:textId="77777777" w:rsidR="00340062" w:rsidRDefault="002925BC" w:rsidP="00435B1D">
            <w:pPr>
              <w:pStyle w:val="TSNumberedParagraph11"/>
              <w:rPr>
                <w:rFonts w:asciiTheme="minorHAnsi" w:hAnsiTheme="minorHAnsi"/>
              </w:rPr>
            </w:pPr>
            <w:r>
              <w:rPr>
                <w:rFonts w:asciiTheme="minorHAnsi" w:hAnsiTheme="minorHAnsi"/>
              </w:rPr>
              <w:t>ONR does not intend to become a user of the code, thus it is not expected that ONR inspectors receive</w:t>
            </w:r>
            <w:r w:rsidR="00340062">
              <w:rPr>
                <w:rFonts w:asciiTheme="minorHAnsi" w:hAnsiTheme="minorHAnsi"/>
              </w:rPr>
              <w:t xml:space="preserve"> practical training in the use</w:t>
            </w:r>
            <w:r>
              <w:rPr>
                <w:rFonts w:asciiTheme="minorHAnsi" w:hAnsiTheme="minorHAnsi"/>
              </w:rPr>
              <w:t xml:space="preserve"> of the code.</w:t>
            </w:r>
            <w:r w:rsidR="00600D50">
              <w:rPr>
                <w:rFonts w:asciiTheme="minorHAnsi" w:hAnsiTheme="minorHAnsi"/>
              </w:rPr>
              <w:t xml:space="preserve"> </w:t>
            </w:r>
          </w:p>
          <w:p w14:paraId="7DAE7EFE" w14:textId="77777777" w:rsidR="00340062" w:rsidRDefault="00340062" w:rsidP="00435B1D">
            <w:pPr>
              <w:pStyle w:val="TSNumberedParagraph11"/>
              <w:rPr>
                <w:rFonts w:asciiTheme="minorHAnsi" w:hAnsiTheme="minorHAnsi"/>
              </w:rPr>
            </w:pPr>
            <w:r>
              <w:rPr>
                <w:rFonts w:asciiTheme="minorHAnsi" w:hAnsiTheme="minorHAnsi"/>
              </w:rPr>
              <w:t xml:space="preserve">There is no expectation that the contractor will be able to provide HPR1000 input files or outputs, nor does ONR need to examine in detail an input file from a reactor design not subject to GDA. However, </w:t>
            </w:r>
            <w:r w:rsidR="00600D50">
              <w:rPr>
                <w:rFonts w:asciiTheme="minorHAnsi" w:hAnsiTheme="minorHAnsi"/>
              </w:rPr>
              <w:t xml:space="preserve">an overview </w:t>
            </w:r>
            <w:r w:rsidR="006B3DC4">
              <w:rPr>
                <w:rFonts w:asciiTheme="minorHAnsi" w:hAnsiTheme="minorHAnsi"/>
              </w:rPr>
              <w:t>of how a user may generate a</w:t>
            </w:r>
            <w:r>
              <w:rPr>
                <w:rFonts w:asciiTheme="minorHAnsi" w:hAnsiTheme="minorHAnsi"/>
              </w:rPr>
              <w:t xml:space="preserve"> generic or representative </w:t>
            </w:r>
            <w:r w:rsidR="006B3DC4">
              <w:rPr>
                <w:rFonts w:asciiTheme="minorHAnsi" w:hAnsiTheme="minorHAnsi"/>
              </w:rPr>
              <w:t>input</w:t>
            </w:r>
            <w:r>
              <w:rPr>
                <w:rFonts w:asciiTheme="minorHAnsi" w:hAnsiTheme="minorHAnsi"/>
              </w:rPr>
              <w:t xml:space="preserve"> file</w:t>
            </w:r>
            <w:r w:rsidR="006B3DC4">
              <w:rPr>
                <w:rFonts w:asciiTheme="minorHAnsi" w:hAnsiTheme="minorHAnsi"/>
              </w:rPr>
              <w:t xml:space="preserve">, what an input </w:t>
            </w:r>
            <w:r>
              <w:rPr>
                <w:rFonts w:asciiTheme="minorHAnsi" w:hAnsiTheme="minorHAnsi"/>
              </w:rPr>
              <w:t xml:space="preserve">file </w:t>
            </w:r>
            <w:r w:rsidR="006B3DC4">
              <w:rPr>
                <w:rFonts w:asciiTheme="minorHAnsi" w:hAnsiTheme="minorHAnsi"/>
              </w:rPr>
              <w:t xml:space="preserve">looks like, and </w:t>
            </w:r>
            <w:r w:rsidR="00EF7BCC">
              <w:rPr>
                <w:rFonts w:asciiTheme="minorHAnsi" w:hAnsiTheme="minorHAnsi"/>
              </w:rPr>
              <w:t xml:space="preserve">a demonstration of </w:t>
            </w:r>
            <w:r w:rsidR="006B3DC4">
              <w:rPr>
                <w:rFonts w:asciiTheme="minorHAnsi" w:hAnsiTheme="minorHAnsi"/>
              </w:rPr>
              <w:t xml:space="preserve">how a user </w:t>
            </w:r>
            <w:r w:rsidR="00EF7BCC">
              <w:rPr>
                <w:rFonts w:asciiTheme="minorHAnsi" w:hAnsiTheme="minorHAnsi"/>
              </w:rPr>
              <w:t xml:space="preserve">would interrogate the output </w:t>
            </w:r>
            <w:r>
              <w:rPr>
                <w:rFonts w:asciiTheme="minorHAnsi" w:hAnsiTheme="minorHAnsi"/>
              </w:rPr>
              <w:t>are</w:t>
            </w:r>
            <w:r w:rsidR="00EF7BCC">
              <w:rPr>
                <w:rFonts w:asciiTheme="minorHAnsi" w:hAnsiTheme="minorHAnsi"/>
              </w:rPr>
              <w:t xml:space="preserve"> required. </w:t>
            </w:r>
          </w:p>
          <w:p w14:paraId="2A4AE1CB" w14:textId="77777777" w:rsidR="00600D50" w:rsidRPr="006B3DC4" w:rsidRDefault="00022AC3" w:rsidP="00435B1D">
            <w:pPr>
              <w:pStyle w:val="TSNumberedParagraph11"/>
              <w:rPr>
                <w:rFonts w:asciiTheme="minorHAnsi" w:hAnsiTheme="minorHAnsi"/>
              </w:rPr>
            </w:pPr>
            <w:r>
              <w:rPr>
                <w:rFonts w:asciiTheme="minorHAnsi" w:hAnsiTheme="minorHAnsi"/>
              </w:rPr>
              <w:t xml:space="preserve">It </w:t>
            </w:r>
            <w:r w:rsidR="00340062">
              <w:rPr>
                <w:rFonts w:asciiTheme="minorHAnsi" w:hAnsiTheme="minorHAnsi"/>
              </w:rPr>
              <w:t>c</w:t>
            </w:r>
            <w:r>
              <w:rPr>
                <w:rFonts w:asciiTheme="minorHAnsi" w:hAnsiTheme="minorHAnsi"/>
              </w:rPr>
              <w:t>ould be beneficial for the contractor to take cognisance of the UK HPR1000 severe accident mitigation strategy described in the Pre-Construction Safety Report, which is publically available.</w:t>
            </w:r>
          </w:p>
          <w:p w14:paraId="15C4E49E" w14:textId="77777777" w:rsidR="008E65AD" w:rsidRDefault="008E65AD" w:rsidP="00435B1D">
            <w:pPr>
              <w:pStyle w:val="TSNumberedParagraph11"/>
              <w:rPr>
                <w:rFonts w:asciiTheme="minorHAnsi" w:hAnsiTheme="minorHAnsi"/>
              </w:rPr>
            </w:pPr>
            <w:r>
              <w:rPr>
                <w:rFonts w:asciiTheme="minorHAnsi" w:hAnsiTheme="minorHAnsi"/>
              </w:rPr>
              <w:t>ONR does not currently run the ASTEC code (or other similar codes). It is anticipated that the most efficient and effective way to demonstrate the ASTEC code will be for the contractor to provide the appropriate technology and software. They should possess an appropriate licence for the ASTEC code so that example cases of severe accident progression can be presented and the user experience can be demonstrated.</w:t>
            </w:r>
          </w:p>
          <w:p w14:paraId="3D8339E5" w14:textId="77777777" w:rsidR="00DF2FCB" w:rsidRPr="003143C8" w:rsidRDefault="00DF2FCB" w:rsidP="003143C8">
            <w:pPr>
              <w:pStyle w:val="TSNumberedParagraph11"/>
              <w:rPr>
                <w:rFonts w:asciiTheme="minorHAnsi" w:hAnsiTheme="minorHAnsi"/>
              </w:rPr>
            </w:pPr>
            <w:r w:rsidRPr="003143C8">
              <w:rPr>
                <w:rFonts w:asciiTheme="minorHAnsi" w:hAnsiTheme="minorHAnsi"/>
              </w:rPr>
              <w:t xml:space="preserve">The precise topics, and the level of information to be provided for each, will be agreed with the contractor. As an indication, ONR </w:t>
            </w:r>
            <w:r w:rsidR="0068287B">
              <w:rPr>
                <w:rFonts w:asciiTheme="minorHAnsi" w:hAnsiTheme="minorHAnsi"/>
              </w:rPr>
              <w:t xml:space="preserve">expects the course to </w:t>
            </w:r>
            <w:r w:rsidR="00D448D6">
              <w:rPr>
                <w:rFonts w:asciiTheme="minorHAnsi" w:hAnsiTheme="minorHAnsi"/>
              </w:rPr>
              <w:t>be delivered over</w:t>
            </w:r>
            <w:r w:rsidR="0068287B">
              <w:rPr>
                <w:rFonts w:asciiTheme="minorHAnsi" w:hAnsiTheme="minorHAnsi"/>
              </w:rPr>
              <w:t xml:space="preserve"> 2</w:t>
            </w:r>
            <w:r w:rsidR="008104CF">
              <w:rPr>
                <w:rFonts w:asciiTheme="minorHAnsi" w:hAnsiTheme="minorHAnsi"/>
              </w:rPr>
              <w:t xml:space="preserve"> </w:t>
            </w:r>
            <w:r w:rsidR="00D448D6">
              <w:rPr>
                <w:rFonts w:asciiTheme="minorHAnsi" w:hAnsiTheme="minorHAnsi"/>
              </w:rPr>
              <w:t xml:space="preserve">consecutive </w:t>
            </w:r>
            <w:r w:rsidRPr="003143C8">
              <w:rPr>
                <w:rFonts w:asciiTheme="minorHAnsi" w:hAnsiTheme="minorHAnsi"/>
              </w:rPr>
              <w:t>days</w:t>
            </w:r>
            <w:r w:rsidR="005A7FC6" w:rsidRPr="005A7FC6">
              <w:rPr>
                <w:rFonts w:asciiTheme="minorHAnsi" w:hAnsiTheme="minorHAnsi" w:cstheme="minorHAnsi"/>
                <w:iCs/>
                <w:szCs w:val="22"/>
              </w:rPr>
              <w:t>, during normal working hours (09:00 to 16:30)</w:t>
            </w:r>
            <w:proofErr w:type="gramStart"/>
            <w:r w:rsidR="005A7FC6" w:rsidRPr="005A7FC6">
              <w:rPr>
                <w:rFonts w:asciiTheme="minorHAnsi" w:hAnsiTheme="minorHAnsi" w:cstheme="minorHAnsi"/>
                <w:iCs/>
                <w:szCs w:val="22"/>
              </w:rPr>
              <w:t>,</w:t>
            </w:r>
            <w:proofErr w:type="gramEnd"/>
            <w:r w:rsidR="005A7FC6" w:rsidRPr="005A7FC6">
              <w:rPr>
                <w:rFonts w:asciiTheme="minorHAnsi" w:hAnsiTheme="minorHAnsi" w:cstheme="minorHAnsi"/>
                <w:iCs/>
                <w:szCs w:val="22"/>
              </w:rPr>
              <w:t xml:space="preserve"> however this is at the discretion of the service provider</w:t>
            </w:r>
            <w:r w:rsidRPr="003143C8">
              <w:rPr>
                <w:rFonts w:asciiTheme="minorHAnsi" w:hAnsiTheme="minorHAnsi"/>
              </w:rPr>
              <w:t>.</w:t>
            </w:r>
          </w:p>
          <w:p w14:paraId="6E50DE61" w14:textId="77777777" w:rsidR="005A7FC6" w:rsidRPr="003143C8" w:rsidRDefault="00DF2FCB" w:rsidP="003143C8">
            <w:pPr>
              <w:pStyle w:val="TSNumberedParagraph11"/>
              <w:rPr>
                <w:rFonts w:asciiTheme="minorHAnsi" w:hAnsiTheme="minorHAnsi"/>
              </w:rPr>
            </w:pPr>
            <w:r w:rsidRPr="003143C8">
              <w:rPr>
                <w:rFonts w:asciiTheme="minorHAnsi" w:hAnsiTheme="minorHAnsi"/>
              </w:rPr>
              <w:t xml:space="preserve">The training materials </w:t>
            </w:r>
            <w:r w:rsidR="00980F89" w:rsidRPr="003143C8">
              <w:rPr>
                <w:rFonts w:asciiTheme="minorHAnsi" w:hAnsiTheme="minorHAnsi"/>
              </w:rPr>
              <w:t>for delivery of the course should be in the form of presentation materials and other relevant documents. ONR will provide the facilities for hosting and any associated requirements</w:t>
            </w:r>
            <w:r w:rsidR="008E65AD">
              <w:rPr>
                <w:rFonts w:asciiTheme="minorHAnsi" w:hAnsiTheme="minorHAnsi"/>
              </w:rPr>
              <w:t xml:space="preserve"> (</w:t>
            </w:r>
            <w:proofErr w:type="spellStart"/>
            <w:r w:rsidR="008E65AD">
              <w:rPr>
                <w:rFonts w:asciiTheme="minorHAnsi" w:hAnsiTheme="minorHAnsi"/>
              </w:rPr>
              <w:t>eg</w:t>
            </w:r>
            <w:proofErr w:type="spellEnd"/>
            <w:r w:rsidR="008E65AD">
              <w:rPr>
                <w:rFonts w:asciiTheme="minorHAnsi" w:hAnsiTheme="minorHAnsi"/>
              </w:rPr>
              <w:t xml:space="preserve"> projectors, screens, printing of handouts)</w:t>
            </w:r>
            <w:r w:rsidR="00980F89" w:rsidRPr="003143C8">
              <w:rPr>
                <w:rFonts w:asciiTheme="minorHAnsi" w:hAnsiTheme="minorHAnsi"/>
              </w:rPr>
              <w:t xml:space="preserve">. </w:t>
            </w:r>
            <w:r w:rsidR="005A7FC6" w:rsidRPr="005A7FC6">
              <w:rPr>
                <w:rFonts w:asciiTheme="minorHAnsi" w:hAnsiTheme="minorHAnsi" w:cstheme="minorHAnsi"/>
                <w:iCs/>
                <w:szCs w:val="22"/>
              </w:rPr>
              <w:t xml:space="preserve">Any specific requirements should be specified by the </w:t>
            </w:r>
            <w:r w:rsidR="005A7FC6">
              <w:rPr>
                <w:rFonts w:asciiTheme="minorHAnsi" w:hAnsiTheme="minorHAnsi" w:cstheme="minorHAnsi"/>
                <w:iCs/>
                <w:szCs w:val="22"/>
              </w:rPr>
              <w:t>contractor</w:t>
            </w:r>
            <w:r w:rsidR="005A7FC6" w:rsidRPr="005A7FC6">
              <w:rPr>
                <w:rFonts w:asciiTheme="minorHAnsi" w:hAnsiTheme="minorHAnsi" w:cstheme="minorHAnsi"/>
                <w:iCs/>
                <w:szCs w:val="22"/>
              </w:rPr>
              <w:t>.</w:t>
            </w:r>
          </w:p>
          <w:p w14:paraId="2F70276D" w14:textId="77777777" w:rsidR="00DF2FCB" w:rsidRPr="005A7FC6" w:rsidRDefault="00980F89" w:rsidP="003143C8">
            <w:pPr>
              <w:pStyle w:val="TSNumberedParagraph11"/>
              <w:rPr>
                <w:rFonts w:asciiTheme="minorHAnsi" w:hAnsiTheme="minorHAnsi"/>
              </w:rPr>
            </w:pPr>
            <w:r w:rsidRPr="003143C8">
              <w:rPr>
                <w:rFonts w:asciiTheme="minorHAnsi" w:hAnsiTheme="minorHAnsi"/>
              </w:rPr>
              <w:t>Training materials should be provided one week in advance of the course, and will be retained by ONR on completion of the course.</w:t>
            </w:r>
            <w:r w:rsidR="005A7FC6" w:rsidRPr="003143C8">
              <w:rPr>
                <w:rFonts w:asciiTheme="minorHAnsi" w:hAnsiTheme="minorHAnsi"/>
              </w:rPr>
              <w:t xml:space="preserve"> </w:t>
            </w:r>
            <w:r w:rsidR="005A7FC6" w:rsidRPr="005A7FC6">
              <w:rPr>
                <w:rFonts w:asciiTheme="minorHAnsi" w:hAnsiTheme="minorHAnsi" w:cstheme="minorHAnsi"/>
                <w:iCs/>
                <w:szCs w:val="22"/>
              </w:rPr>
              <w:t xml:space="preserve">ONR require </w:t>
            </w:r>
            <w:r w:rsidR="00022AC3">
              <w:rPr>
                <w:rFonts w:asciiTheme="minorHAnsi" w:hAnsiTheme="minorHAnsi" w:cstheme="minorHAnsi"/>
                <w:iCs/>
                <w:szCs w:val="22"/>
              </w:rPr>
              <w:t>an</w:t>
            </w:r>
            <w:r w:rsidR="005A7FC6" w:rsidRPr="005A7FC6">
              <w:rPr>
                <w:rFonts w:asciiTheme="minorHAnsi" w:hAnsiTheme="minorHAnsi" w:cstheme="minorHAnsi"/>
                <w:iCs/>
                <w:szCs w:val="22"/>
              </w:rPr>
              <w:t xml:space="preserve"> electronic copy of all course material provided. ONR will distribute to delegates as appropriate.</w:t>
            </w:r>
          </w:p>
          <w:p w14:paraId="7CA5418F" w14:textId="77777777" w:rsidR="002F3BA5" w:rsidRDefault="002F3BA5" w:rsidP="004C36D4">
            <w:pPr>
              <w:pStyle w:val="TSNumberedParagraph11"/>
              <w:numPr>
                <w:ilvl w:val="0"/>
                <w:numId w:val="0"/>
              </w:numPr>
              <w:ind w:left="720"/>
              <w:rPr>
                <w:rFonts w:asciiTheme="minorHAnsi" w:hAnsiTheme="minorHAnsi" w:cstheme="minorHAnsi"/>
                <w:b/>
                <w:iCs/>
                <w:szCs w:val="22"/>
                <w:u w:val="single"/>
              </w:rPr>
            </w:pPr>
            <w:r>
              <w:rPr>
                <w:rFonts w:asciiTheme="minorHAnsi" w:hAnsiTheme="minorHAnsi" w:cstheme="minorHAnsi"/>
                <w:b/>
                <w:iCs/>
                <w:szCs w:val="22"/>
                <w:u w:val="single"/>
              </w:rPr>
              <w:t>INPUTS</w:t>
            </w:r>
          </w:p>
          <w:p w14:paraId="6AD0F74B" w14:textId="77777777" w:rsidR="00E300AB" w:rsidRDefault="002F3BA5" w:rsidP="008E65AD">
            <w:pPr>
              <w:pStyle w:val="TSNumberedParagraph11"/>
            </w:pPr>
            <w:r w:rsidRPr="00435B1D">
              <w:rPr>
                <w:rFonts w:asciiTheme="minorHAnsi" w:hAnsiTheme="minorHAnsi"/>
              </w:rPr>
              <w:t xml:space="preserve">It is not expected that any of the RP’s </w:t>
            </w:r>
            <w:r w:rsidR="008E65AD" w:rsidRPr="00435B1D">
              <w:rPr>
                <w:rFonts w:asciiTheme="minorHAnsi" w:hAnsiTheme="minorHAnsi"/>
              </w:rPr>
              <w:t xml:space="preserve">GDA </w:t>
            </w:r>
            <w:r w:rsidRPr="00435B1D">
              <w:rPr>
                <w:rFonts w:asciiTheme="minorHAnsi" w:hAnsiTheme="minorHAnsi"/>
              </w:rPr>
              <w:t xml:space="preserve">deliverables </w:t>
            </w:r>
            <w:r w:rsidR="008E65AD" w:rsidRPr="00435B1D">
              <w:rPr>
                <w:rFonts w:asciiTheme="minorHAnsi" w:hAnsiTheme="minorHAnsi"/>
              </w:rPr>
              <w:t xml:space="preserve">to ONR </w:t>
            </w:r>
            <w:r w:rsidRPr="00435B1D">
              <w:rPr>
                <w:rFonts w:asciiTheme="minorHAnsi" w:hAnsiTheme="minorHAnsi"/>
              </w:rPr>
              <w:t>will be necessary to undertake this work. However, ONR are willing to share and discuss such documents if necessary; for example as part of understanding what use the RP intends to make of the ASTEC analysis.</w:t>
            </w:r>
            <w:r w:rsidR="00E300AB" w:rsidRPr="00435B1D">
              <w:rPr>
                <w:rFonts w:asciiTheme="minorHAnsi" w:hAnsiTheme="minorHAnsi"/>
              </w:rPr>
              <w:t xml:space="preserve"> However, it should be noted that a description of the UK HPR1000 and its severe accident mitigation strategy is described in the Pre-Construction Safety report, available at:</w:t>
            </w:r>
            <w:r w:rsidR="00E300AB">
              <w:t xml:space="preserve"> </w:t>
            </w:r>
            <w:hyperlink r:id="rId10" w:history="1">
              <w:r w:rsidR="008E65AD" w:rsidRPr="006477C3">
                <w:rPr>
                  <w:rStyle w:val="Hyperlink"/>
                </w:rPr>
                <w:t>http://www.ukhpr1000.co.uk/documents-library/step-3/</w:t>
              </w:r>
            </w:hyperlink>
          </w:p>
          <w:p w14:paraId="6DABEB42" w14:textId="77777777" w:rsidR="008E65AD" w:rsidRDefault="008E65AD" w:rsidP="00435B1D">
            <w:pPr>
              <w:pStyle w:val="TSNumberedParagraph11"/>
              <w:numPr>
                <w:ilvl w:val="0"/>
                <w:numId w:val="0"/>
              </w:numPr>
              <w:ind w:left="720"/>
            </w:pPr>
          </w:p>
          <w:p w14:paraId="776D3C48" w14:textId="77777777" w:rsidR="00243762" w:rsidRPr="00D30DD5" w:rsidRDefault="00D30DD5" w:rsidP="004C36D4">
            <w:pPr>
              <w:pStyle w:val="TSNumberedParagraph11"/>
              <w:numPr>
                <w:ilvl w:val="0"/>
                <w:numId w:val="0"/>
              </w:numPr>
              <w:ind w:left="720"/>
              <w:rPr>
                <w:rFonts w:asciiTheme="minorHAnsi" w:hAnsiTheme="minorHAnsi" w:cstheme="minorHAnsi"/>
                <w:b/>
                <w:iCs/>
                <w:szCs w:val="22"/>
                <w:u w:val="single"/>
              </w:rPr>
            </w:pPr>
            <w:r w:rsidRPr="00D30DD5">
              <w:rPr>
                <w:rFonts w:asciiTheme="minorHAnsi" w:hAnsiTheme="minorHAnsi" w:cstheme="minorHAnsi"/>
                <w:b/>
                <w:iCs/>
                <w:szCs w:val="22"/>
                <w:u w:val="single"/>
              </w:rPr>
              <w:t>DELIVERABLES</w:t>
            </w:r>
          </w:p>
          <w:p w14:paraId="34AE995B" w14:textId="77777777" w:rsidR="00980F89" w:rsidRDefault="00980F89" w:rsidP="00DC6810">
            <w:pPr>
              <w:pStyle w:val="TSNumberedParagraph11"/>
              <w:rPr>
                <w:rFonts w:asciiTheme="minorHAnsi" w:hAnsiTheme="minorHAnsi" w:cstheme="minorHAnsi"/>
                <w:iCs/>
                <w:szCs w:val="22"/>
              </w:rPr>
            </w:pPr>
            <w:r>
              <w:rPr>
                <w:rFonts w:asciiTheme="minorHAnsi" w:hAnsiTheme="minorHAnsi" w:cstheme="minorHAnsi"/>
                <w:iCs/>
                <w:szCs w:val="22"/>
              </w:rPr>
              <w:t>The contractor will need to:</w:t>
            </w:r>
          </w:p>
          <w:p w14:paraId="293E13FF" w14:textId="77777777" w:rsidR="00980F89" w:rsidRPr="003143C8" w:rsidRDefault="00022AC3" w:rsidP="003143C8">
            <w:pPr>
              <w:pStyle w:val="TSBullet1Square"/>
              <w:rPr>
                <w:rFonts w:ascii="Calibri" w:hAnsi="Calibri"/>
              </w:rPr>
            </w:pPr>
            <w:r>
              <w:rPr>
                <w:rFonts w:ascii="Calibri" w:hAnsi="Calibri"/>
              </w:rPr>
              <w:t>Provide a</w:t>
            </w:r>
            <w:r w:rsidR="00980F89" w:rsidRPr="003143C8">
              <w:rPr>
                <w:rFonts w:ascii="Calibri" w:hAnsi="Calibri"/>
              </w:rPr>
              <w:t xml:space="preserve"> plan for delivery of the </w:t>
            </w:r>
            <w:r>
              <w:rPr>
                <w:rFonts w:ascii="Calibri" w:hAnsi="Calibri"/>
              </w:rPr>
              <w:t>c</w:t>
            </w:r>
            <w:r w:rsidR="00980F89" w:rsidRPr="003143C8">
              <w:rPr>
                <w:rFonts w:ascii="Calibri" w:hAnsi="Calibri"/>
              </w:rPr>
              <w:t>ourse, including details of the topics to be presented and an agenda, for agreement by ONR</w:t>
            </w:r>
          </w:p>
          <w:p w14:paraId="4D91F29B" w14:textId="77777777" w:rsidR="00022AC3" w:rsidRPr="00435B1D" w:rsidRDefault="00022AC3" w:rsidP="003143C8">
            <w:pPr>
              <w:pStyle w:val="TSBullet1Square"/>
            </w:pPr>
            <w:r>
              <w:rPr>
                <w:rFonts w:ascii="Calibri" w:hAnsi="Calibri"/>
              </w:rPr>
              <w:t>Provide r</w:t>
            </w:r>
            <w:r w:rsidR="0057402E" w:rsidRPr="003143C8">
              <w:rPr>
                <w:rFonts w:ascii="Calibri" w:hAnsi="Calibri"/>
              </w:rPr>
              <w:t xml:space="preserve">elevant </w:t>
            </w:r>
            <w:r>
              <w:rPr>
                <w:rFonts w:ascii="Calibri" w:hAnsi="Calibri"/>
              </w:rPr>
              <w:t>course</w:t>
            </w:r>
            <w:r w:rsidRPr="003143C8">
              <w:rPr>
                <w:rFonts w:ascii="Calibri" w:hAnsi="Calibri"/>
              </w:rPr>
              <w:t xml:space="preserve"> </w:t>
            </w:r>
            <w:r w:rsidR="0057402E" w:rsidRPr="003143C8">
              <w:rPr>
                <w:rFonts w:ascii="Calibri" w:hAnsi="Calibri"/>
              </w:rPr>
              <w:t>materials (presentations and other documents) in a suitable electronic format</w:t>
            </w:r>
            <w:r>
              <w:rPr>
                <w:rFonts w:ascii="Calibri" w:hAnsi="Calibri"/>
              </w:rPr>
              <w:t xml:space="preserve">, that ONR are permitted to </w:t>
            </w:r>
            <w:r w:rsidR="008E65AD">
              <w:rPr>
                <w:rFonts w:ascii="Calibri" w:hAnsi="Calibri"/>
              </w:rPr>
              <w:t>re</w:t>
            </w:r>
            <w:r>
              <w:rPr>
                <w:rFonts w:ascii="Calibri" w:hAnsi="Calibri"/>
              </w:rPr>
              <w:t>tain.</w:t>
            </w:r>
          </w:p>
          <w:p w14:paraId="7314FD65" w14:textId="77777777" w:rsidR="00DC6810" w:rsidRPr="00243762" w:rsidRDefault="00022AC3" w:rsidP="003143C8">
            <w:pPr>
              <w:pStyle w:val="TSBullet1Square"/>
            </w:pPr>
            <w:r>
              <w:rPr>
                <w:rFonts w:ascii="Calibri" w:hAnsi="Calibri"/>
              </w:rPr>
              <w:t xml:space="preserve">Deliver the </w:t>
            </w:r>
            <w:r w:rsidR="00566036">
              <w:rPr>
                <w:rFonts w:ascii="Calibri" w:hAnsi="Calibri"/>
              </w:rPr>
              <w:t>familiarisation course agreed with ONR</w:t>
            </w:r>
            <w:r w:rsidR="00726877">
              <w:rPr>
                <w:rFonts w:ascii="Calibri" w:hAnsi="Calibri"/>
              </w:rPr>
              <w:t>.</w:t>
            </w:r>
          </w:p>
          <w:p w14:paraId="074A0AC6" w14:textId="77777777" w:rsidR="00243762" w:rsidRPr="00D30DD5" w:rsidRDefault="00D30DD5" w:rsidP="00D30DD5">
            <w:pPr>
              <w:pStyle w:val="TSNumberedParagraph11"/>
              <w:numPr>
                <w:ilvl w:val="0"/>
                <w:numId w:val="0"/>
              </w:numPr>
              <w:ind w:left="720"/>
              <w:rPr>
                <w:rFonts w:asciiTheme="minorHAnsi" w:hAnsiTheme="minorHAnsi" w:cstheme="minorHAnsi"/>
                <w:b/>
                <w:iCs/>
                <w:szCs w:val="22"/>
                <w:u w:val="single"/>
              </w:rPr>
            </w:pPr>
            <w:r w:rsidRPr="00D30DD5">
              <w:rPr>
                <w:rFonts w:asciiTheme="minorHAnsi" w:hAnsiTheme="minorHAnsi" w:cstheme="minorHAnsi"/>
                <w:b/>
                <w:iCs/>
                <w:szCs w:val="22"/>
                <w:u w:val="single"/>
              </w:rPr>
              <w:t>TIMESCALES</w:t>
            </w:r>
          </w:p>
          <w:p w14:paraId="3E8C03CE" w14:textId="77777777" w:rsidR="00243762" w:rsidRP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The following timescales can be assumed:</w:t>
            </w:r>
          </w:p>
          <w:p w14:paraId="1C7AC051" w14:textId="77777777" w:rsidR="00243762" w:rsidRDefault="00243762" w:rsidP="00D30DD5">
            <w:pPr>
              <w:pStyle w:val="TSBullet1Square"/>
              <w:spacing w:after="0"/>
              <w:rPr>
                <w:rFonts w:asciiTheme="minorHAnsi" w:hAnsiTheme="minorHAnsi" w:cstheme="minorHAnsi"/>
                <w:iCs/>
                <w:szCs w:val="22"/>
              </w:rPr>
            </w:pPr>
            <w:r w:rsidRPr="00D30DD5">
              <w:rPr>
                <w:rFonts w:asciiTheme="minorHAnsi" w:hAnsiTheme="minorHAnsi" w:cstheme="minorHAnsi"/>
                <w:iCs/>
                <w:szCs w:val="22"/>
              </w:rPr>
              <w:t>Start of contract: 0</w:t>
            </w:r>
            <w:r w:rsidR="00E40ABA">
              <w:rPr>
                <w:rFonts w:asciiTheme="minorHAnsi" w:hAnsiTheme="minorHAnsi" w:cstheme="minorHAnsi"/>
                <w:iCs/>
                <w:szCs w:val="22"/>
              </w:rPr>
              <w:t>3</w:t>
            </w:r>
            <w:r w:rsidRPr="00D30DD5">
              <w:rPr>
                <w:rFonts w:asciiTheme="minorHAnsi" w:hAnsiTheme="minorHAnsi" w:cstheme="minorHAnsi"/>
                <w:iCs/>
                <w:szCs w:val="22"/>
              </w:rPr>
              <w:t>/19</w:t>
            </w:r>
          </w:p>
          <w:p w14:paraId="2C30AC08" w14:textId="77777777" w:rsidR="00DC6810" w:rsidRDefault="00566036" w:rsidP="00D30DD5">
            <w:pPr>
              <w:pStyle w:val="TSBullet1Square"/>
              <w:spacing w:after="0"/>
              <w:rPr>
                <w:rFonts w:asciiTheme="minorHAnsi" w:hAnsiTheme="minorHAnsi" w:cstheme="minorHAnsi"/>
                <w:iCs/>
                <w:szCs w:val="22"/>
              </w:rPr>
            </w:pPr>
            <w:r>
              <w:rPr>
                <w:rFonts w:asciiTheme="minorHAnsi" w:hAnsiTheme="minorHAnsi" w:cstheme="minorHAnsi"/>
                <w:iCs/>
                <w:szCs w:val="22"/>
              </w:rPr>
              <w:t xml:space="preserve">Familiarisation </w:t>
            </w:r>
            <w:r w:rsidR="00DC6810">
              <w:rPr>
                <w:rFonts w:asciiTheme="minorHAnsi" w:hAnsiTheme="minorHAnsi" w:cstheme="minorHAnsi"/>
                <w:iCs/>
                <w:szCs w:val="22"/>
              </w:rPr>
              <w:t xml:space="preserve">course and delivery of </w:t>
            </w:r>
            <w:r w:rsidR="00BB4F9E">
              <w:rPr>
                <w:rFonts w:asciiTheme="minorHAnsi" w:hAnsiTheme="minorHAnsi" w:cstheme="minorHAnsi"/>
                <w:iCs/>
                <w:szCs w:val="22"/>
              </w:rPr>
              <w:t xml:space="preserve">course </w:t>
            </w:r>
            <w:r w:rsidR="00FC7810">
              <w:rPr>
                <w:rFonts w:asciiTheme="minorHAnsi" w:hAnsiTheme="minorHAnsi" w:cstheme="minorHAnsi"/>
                <w:iCs/>
                <w:szCs w:val="22"/>
              </w:rPr>
              <w:t>material</w:t>
            </w:r>
            <w:r w:rsidR="00DC6810">
              <w:rPr>
                <w:rFonts w:asciiTheme="minorHAnsi" w:hAnsiTheme="minorHAnsi" w:cstheme="minorHAnsi"/>
                <w:iCs/>
                <w:szCs w:val="22"/>
              </w:rPr>
              <w:t>: 0</w:t>
            </w:r>
            <w:r w:rsidR="00E40ABA">
              <w:rPr>
                <w:rFonts w:asciiTheme="minorHAnsi" w:hAnsiTheme="minorHAnsi" w:cstheme="minorHAnsi"/>
                <w:iCs/>
                <w:szCs w:val="22"/>
              </w:rPr>
              <w:t>5</w:t>
            </w:r>
            <w:r w:rsidR="00DC6810">
              <w:rPr>
                <w:rFonts w:asciiTheme="minorHAnsi" w:hAnsiTheme="minorHAnsi" w:cstheme="minorHAnsi"/>
                <w:iCs/>
                <w:szCs w:val="22"/>
              </w:rPr>
              <w:t>/19</w:t>
            </w:r>
          </w:p>
          <w:p w14:paraId="6244891E" w14:textId="77777777" w:rsidR="00DC6810" w:rsidRPr="00D30DD5" w:rsidRDefault="00DC6810" w:rsidP="00D30DD5">
            <w:pPr>
              <w:pStyle w:val="TSBullet1Square"/>
              <w:spacing w:after="0"/>
              <w:rPr>
                <w:rFonts w:asciiTheme="minorHAnsi" w:hAnsiTheme="minorHAnsi" w:cstheme="minorHAnsi"/>
                <w:iCs/>
                <w:szCs w:val="22"/>
              </w:rPr>
            </w:pPr>
            <w:r>
              <w:rPr>
                <w:rFonts w:asciiTheme="minorHAnsi" w:hAnsiTheme="minorHAnsi" w:cstheme="minorHAnsi"/>
                <w:iCs/>
                <w:szCs w:val="22"/>
              </w:rPr>
              <w:t xml:space="preserve">End of contract: </w:t>
            </w:r>
            <w:r w:rsidR="0057402E">
              <w:rPr>
                <w:rFonts w:asciiTheme="minorHAnsi" w:hAnsiTheme="minorHAnsi" w:cstheme="minorHAnsi"/>
                <w:iCs/>
                <w:szCs w:val="22"/>
              </w:rPr>
              <w:t>0</w:t>
            </w:r>
            <w:r w:rsidR="00E40ABA">
              <w:rPr>
                <w:rFonts w:asciiTheme="minorHAnsi" w:hAnsiTheme="minorHAnsi" w:cstheme="minorHAnsi"/>
                <w:iCs/>
                <w:szCs w:val="22"/>
              </w:rPr>
              <w:t>7</w:t>
            </w:r>
            <w:r>
              <w:rPr>
                <w:rFonts w:asciiTheme="minorHAnsi" w:hAnsiTheme="minorHAnsi" w:cstheme="minorHAnsi"/>
                <w:iCs/>
                <w:szCs w:val="22"/>
              </w:rPr>
              <w:t>/19</w:t>
            </w:r>
          </w:p>
          <w:p w14:paraId="7A4D3869" w14:textId="77777777" w:rsidR="00D30DD5" w:rsidRPr="00243762" w:rsidRDefault="00D30DD5" w:rsidP="00D30DD5">
            <w:pPr>
              <w:pStyle w:val="TSBullet1Square"/>
              <w:numPr>
                <w:ilvl w:val="0"/>
                <w:numId w:val="0"/>
              </w:numPr>
              <w:spacing w:after="0"/>
              <w:ind w:left="1440"/>
              <w:rPr>
                <w:rFonts w:asciiTheme="minorHAnsi" w:hAnsiTheme="minorHAnsi" w:cstheme="minorHAnsi"/>
                <w:iCs/>
                <w:szCs w:val="22"/>
              </w:rPr>
            </w:pPr>
          </w:p>
          <w:p w14:paraId="7F79FF4A" w14:textId="77777777" w:rsidR="00243762" w:rsidRP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The key project milestones and delivery dates will be agreed and fixed when the contract is awarded.</w:t>
            </w:r>
          </w:p>
          <w:p w14:paraId="0643B080" w14:textId="77777777" w:rsidR="00243762" w:rsidRPr="00D30DD5" w:rsidRDefault="00D30DD5" w:rsidP="00D30DD5">
            <w:pPr>
              <w:pStyle w:val="TSNumberedParagraph11"/>
              <w:numPr>
                <w:ilvl w:val="0"/>
                <w:numId w:val="0"/>
              </w:numPr>
              <w:ind w:left="720"/>
              <w:rPr>
                <w:rFonts w:asciiTheme="minorHAnsi" w:hAnsiTheme="minorHAnsi" w:cstheme="minorHAnsi"/>
                <w:b/>
                <w:iCs/>
                <w:szCs w:val="22"/>
                <w:u w:val="single"/>
              </w:rPr>
            </w:pPr>
            <w:r w:rsidRPr="00D30DD5">
              <w:rPr>
                <w:rFonts w:asciiTheme="minorHAnsi" w:hAnsiTheme="minorHAnsi" w:cstheme="minorHAnsi"/>
                <w:b/>
                <w:iCs/>
                <w:szCs w:val="22"/>
                <w:u w:val="single"/>
              </w:rPr>
              <w:t>MEETING REQUIREMENTS</w:t>
            </w:r>
          </w:p>
          <w:p w14:paraId="6DD6C04A" w14:textId="358373A6" w:rsidR="00243762" w:rsidRPr="00243762" w:rsidRDefault="00243762" w:rsidP="00243762">
            <w:pPr>
              <w:pStyle w:val="TSNumberedParagraph11"/>
              <w:rPr>
                <w:rFonts w:asciiTheme="minorHAnsi" w:hAnsiTheme="minorHAnsi" w:cstheme="minorHAnsi"/>
                <w:iCs/>
                <w:szCs w:val="22"/>
              </w:rPr>
            </w:pPr>
            <w:r w:rsidRPr="00243762">
              <w:rPr>
                <w:rFonts w:asciiTheme="minorHAnsi" w:hAnsiTheme="minorHAnsi" w:cstheme="minorHAnsi"/>
                <w:iCs/>
                <w:szCs w:val="22"/>
              </w:rPr>
              <w:t xml:space="preserve">ONR expect a kick-off meeting to be held on contract award. This should include an introduction of the </w:t>
            </w:r>
            <w:r w:rsidR="00493743">
              <w:rPr>
                <w:rFonts w:asciiTheme="minorHAnsi" w:hAnsiTheme="minorHAnsi" w:cstheme="minorHAnsi"/>
                <w:iCs/>
                <w:szCs w:val="22"/>
              </w:rPr>
              <w:t>c</w:t>
            </w:r>
            <w:r w:rsidRPr="00243762">
              <w:rPr>
                <w:rFonts w:asciiTheme="minorHAnsi" w:hAnsiTheme="minorHAnsi" w:cstheme="minorHAnsi"/>
                <w:iCs/>
                <w:szCs w:val="22"/>
              </w:rPr>
              <w:t>ontractor’s team</w:t>
            </w:r>
            <w:r w:rsidR="00493743">
              <w:rPr>
                <w:rFonts w:asciiTheme="minorHAnsi" w:hAnsiTheme="minorHAnsi" w:cstheme="minorHAnsi"/>
                <w:iCs/>
                <w:szCs w:val="22"/>
              </w:rPr>
              <w:t xml:space="preserve"> </w:t>
            </w:r>
            <w:r w:rsidR="00DC6810">
              <w:rPr>
                <w:rFonts w:asciiTheme="minorHAnsi" w:hAnsiTheme="minorHAnsi" w:cstheme="minorHAnsi"/>
                <w:iCs/>
                <w:szCs w:val="22"/>
              </w:rPr>
              <w:t xml:space="preserve">and </w:t>
            </w:r>
            <w:r w:rsidR="0045309D">
              <w:rPr>
                <w:rFonts w:asciiTheme="minorHAnsi" w:hAnsiTheme="minorHAnsi" w:cstheme="minorHAnsi"/>
                <w:iCs/>
                <w:szCs w:val="22"/>
              </w:rPr>
              <w:t>an overview of the course material intended to be supplied</w:t>
            </w:r>
            <w:r w:rsidRPr="00243762">
              <w:rPr>
                <w:rFonts w:asciiTheme="minorHAnsi" w:hAnsiTheme="minorHAnsi" w:cstheme="minorHAnsi"/>
                <w:iCs/>
                <w:szCs w:val="22"/>
              </w:rPr>
              <w:t>. This meeting will take place either at the ONR offices in Bootle, or the contractor</w:t>
            </w:r>
            <w:r w:rsidR="00726877">
              <w:rPr>
                <w:rFonts w:asciiTheme="minorHAnsi" w:hAnsiTheme="minorHAnsi" w:cstheme="minorHAnsi"/>
                <w:iCs/>
                <w:szCs w:val="22"/>
              </w:rPr>
              <w:t>’s</w:t>
            </w:r>
            <w:r w:rsidRPr="00243762">
              <w:rPr>
                <w:rFonts w:asciiTheme="minorHAnsi" w:hAnsiTheme="minorHAnsi" w:cstheme="minorHAnsi"/>
                <w:iCs/>
                <w:szCs w:val="22"/>
              </w:rPr>
              <w:t xml:space="preserve"> offices.</w:t>
            </w:r>
            <w:r w:rsidR="002F3BA5">
              <w:rPr>
                <w:rFonts w:asciiTheme="minorHAnsi" w:hAnsiTheme="minorHAnsi" w:cstheme="minorHAnsi"/>
                <w:iCs/>
                <w:szCs w:val="22"/>
              </w:rPr>
              <w:t xml:space="preserve"> Where appropriate videoconferencing may be used.</w:t>
            </w:r>
            <w:r w:rsidRPr="00243762">
              <w:rPr>
                <w:rFonts w:asciiTheme="minorHAnsi" w:hAnsiTheme="minorHAnsi" w:cstheme="minorHAnsi"/>
                <w:iCs/>
                <w:szCs w:val="22"/>
              </w:rPr>
              <w:t xml:space="preserve"> </w:t>
            </w:r>
          </w:p>
          <w:p w14:paraId="629BD403" w14:textId="77777777" w:rsidR="00243762" w:rsidRPr="00493743" w:rsidRDefault="002F3BA5">
            <w:pPr>
              <w:pStyle w:val="TSNumberedParagraph11"/>
              <w:tabs>
                <w:tab w:val="clear" w:pos="-31680"/>
              </w:tabs>
              <w:rPr>
                <w:rFonts w:asciiTheme="minorHAnsi" w:hAnsiTheme="minorHAnsi" w:cstheme="minorHAnsi"/>
                <w:iCs/>
                <w:szCs w:val="22"/>
              </w:rPr>
            </w:pPr>
            <w:r>
              <w:rPr>
                <w:rFonts w:asciiTheme="minorHAnsi" w:hAnsiTheme="minorHAnsi" w:cstheme="minorHAnsi"/>
                <w:iCs/>
                <w:szCs w:val="22"/>
              </w:rPr>
              <w:t>Ad-hoc brief progress meeting</w:t>
            </w:r>
            <w:r w:rsidR="0045309D">
              <w:rPr>
                <w:rFonts w:asciiTheme="minorHAnsi" w:hAnsiTheme="minorHAnsi" w:cstheme="minorHAnsi"/>
                <w:iCs/>
                <w:szCs w:val="22"/>
              </w:rPr>
              <w:t>s</w:t>
            </w:r>
            <w:r>
              <w:rPr>
                <w:rFonts w:asciiTheme="minorHAnsi" w:hAnsiTheme="minorHAnsi" w:cstheme="minorHAnsi"/>
                <w:iCs/>
                <w:szCs w:val="22"/>
              </w:rPr>
              <w:t xml:space="preserve"> may also be necessary. </w:t>
            </w:r>
            <w:r w:rsidRPr="00243762">
              <w:rPr>
                <w:rFonts w:asciiTheme="minorHAnsi" w:hAnsiTheme="minorHAnsi" w:cstheme="minorHAnsi"/>
                <w:iCs/>
                <w:szCs w:val="22"/>
              </w:rPr>
              <w:t xml:space="preserve">These should be assumed to be by teleconference or videoconference. </w:t>
            </w:r>
            <w:r w:rsidR="00243762" w:rsidRPr="00243762">
              <w:rPr>
                <w:rFonts w:asciiTheme="minorHAnsi" w:hAnsiTheme="minorHAnsi" w:cstheme="minorHAnsi"/>
                <w:iCs/>
                <w:szCs w:val="22"/>
              </w:rPr>
              <w:t xml:space="preserve"> </w:t>
            </w:r>
          </w:p>
        </w:tc>
      </w:tr>
      <w:tr w:rsidR="00AF4C0F" w:rsidRPr="002C62C2" w14:paraId="556B33F2" w14:textId="77777777" w:rsidTr="00971BA8">
        <w:trPr>
          <w:jc w:val="center"/>
        </w:trPr>
        <w:tc>
          <w:tcPr>
            <w:tcW w:w="9709" w:type="dxa"/>
          </w:tcPr>
          <w:p w14:paraId="0E247560"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14:paraId="27B79A80" w14:textId="77777777" w:rsidR="00726877" w:rsidRPr="00435B1D" w:rsidRDefault="00726877" w:rsidP="00726877">
            <w:pPr>
              <w:pStyle w:val="TSNumberedParagraph11"/>
              <w:rPr>
                <w:rFonts w:asciiTheme="minorHAnsi" w:hAnsiTheme="minorHAnsi" w:cstheme="minorHAnsi"/>
                <w:iCs/>
                <w:sz w:val="20"/>
                <w:szCs w:val="20"/>
              </w:rPr>
            </w:pPr>
            <w:r>
              <w:rPr>
                <w:rFonts w:asciiTheme="minorHAnsi" w:hAnsiTheme="minorHAnsi" w:cstheme="minorHAnsi"/>
              </w:rPr>
              <w:t>T</w:t>
            </w:r>
            <w:r w:rsidR="00D30DD5" w:rsidRPr="00D30DD5">
              <w:rPr>
                <w:rFonts w:asciiTheme="minorHAnsi" w:hAnsiTheme="minorHAnsi" w:cstheme="minorHAnsi"/>
              </w:rPr>
              <w:t>he required outcomes of this work are for the contractor to provide a</w:t>
            </w:r>
            <w:r w:rsidR="00493743">
              <w:rPr>
                <w:rFonts w:asciiTheme="minorHAnsi" w:hAnsiTheme="minorHAnsi" w:cstheme="minorHAnsi"/>
              </w:rPr>
              <w:t xml:space="preserve"> course and written </w:t>
            </w:r>
            <w:r w:rsidR="005A7FC6">
              <w:rPr>
                <w:rFonts w:asciiTheme="minorHAnsi" w:hAnsiTheme="minorHAnsi" w:cstheme="minorHAnsi"/>
              </w:rPr>
              <w:t>material</w:t>
            </w:r>
            <w:r w:rsidR="005A7FC6" w:rsidRPr="00D30DD5">
              <w:rPr>
                <w:rFonts w:asciiTheme="minorHAnsi" w:hAnsiTheme="minorHAnsi" w:cstheme="minorHAnsi"/>
              </w:rPr>
              <w:t xml:space="preserve"> </w:t>
            </w:r>
            <w:r w:rsidR="00493743">
              <w:rPr>
                <w:rFonts w:asciiTheme="minorHAnsi" w:hAnsiTheme="minorHAnsi" w:cstheme="minorHAnsi"/>
              </w:rPr>
              <w:t xml:space="preserve">that will provide ONR </w:t>
            </w:r>
            <w:r w:rsidR="005A7FC6">
              <w:rPr>
                <w:rFonts w:asciiTheme="minorHAnsi" w:hAnsiTheme="minorHAnsi" w:cstheme="minorHAnsi"/>
              </w:rPr>
              <w:t>I</w:t>
            </w:r>
            <w:r w:rsidR="00493743">
              <w:rPr>
                <w:rFonts w:asciiTheme="minorHAnsi" w:hAnsiTheme="minorHAnsi" w:cstheme="minorHAnsi"/>
              </w:rPr>
              <w:t xml:space="preserve">nspectors with </w:t>
            </w:r>
            <w:r w:rsidR="00566036">
              <w:rPr>
                <w:rFonts w:asciiTheme="minorHAnsi" w:hAnsiTheme="minorHAnsi" w:cstheme="minorHAnsi"/>
              </w:rPr>
              <w:t>a</w:t>
            </w:r>
            <w:r>
              <w:rPr>
                <w:rFonts w:asciiTheme="minorHAnsi" w:hAnsiTheme="minorHAnsi" w:cstheme="minorHAnsi"/>
              </w:rPr>
              <w:t>n appreciation of the capabilities of the ASTEC for severe accident modelling, and a vision of what relevant good practice could look like for its application.</w:t>
            </w:r>
          </w:p>
          <w:p w14:paraId="49AEE3EF" w14:textId="77777777" w:rsidR="00AF4C0F" w:rsidRPr="00E40ABA" w:rsidRDefault="00E40ABA" w:rsidP="00E40ABA">
            <w:pPr>
              <w:pStyle w:val="TSNumberedParagraph11"/>
              <w:tabs>
                <w:tab w:val="clear" w:pos="-31680"/>
              </w:tabs>
              <w:rPr>
                <w:rFonts w:asciiTheme="minorHAnsi" w:hAnsiTheme="minorHAnsi" w:cstheme="minorHAnsi"/>
                <w:iCs/>
                <w:sz w:val="20"/>
                <w:szCs w:val="20"/>
              </w:rPr>
            </w:pPr>
            <w:r>
              <w:rPr>
                <w:rFonts w:asciiTheme="minorHAnsi" w:hAnsiTheme="minorHAnsi" w:cstheme="minorHAnsi"/>
              </w:rPr>
              <w:t xml:space="preserve">It is not the objective of this familiarisation course to justify the use of the ASTEC code over other codes or methods, nor is it to justify its use specifically for the HPR1000 GDA safety case. </w:t>
            </w:r>
            <w:r w:rsidR="00726877">
              <w:rPr>
                <w:rFonts w:asciiTheme="minorHAnsi" w:hAnsiTheme="minorHAnsi" w:cstheme="minorHAnsi"/>
              </w:rPr>
              <w:t>It will be for the RP to demonstrate to ONR that its use of ASTEC in the HPR1000 GDA safety case is appropriate. This training is intended to aid ONR’s regulatory decisions during interactions and assessments associated with the use of ASTEC.</w:t>
            </w:r>
          </w:p>
        </w:tc>
      </w:tr>
      <w:tr w:rsidR="00AF4C0F" w:rsidRPr="002C62C2" w14:paraId="5B511EB2" w14:textId="77777777" w:rsidTr="00971BA8">
        <w:trPr>
          <w:jc w:val="center"/>
        </w:trPr>
        <w:tc>
          <w:tcPr>
            <w:tcW w:w="9709" w:type="dxa"/>
          </w:tcPr>
          <w:p w14:paraId="0CB4A8E1" w14:textId="77777777" w:rsidR="00AF4C0F" w:rsidRPr="00D30DD5" w:rsidRDefault="00AF4C0F" w:rsidP="00971BA8">
            <w:pPr>
              <w:pStyle w:val="TSHeadingNumbered1"/>
              <w:tabs>
                <w:tab w:val="left" w:pos="0"/>
              </w:tabs>
              <w:ind w:left="0" w:firstLine="0"/>
              <w:rPr>
                <w:rFonts w:asciiTheme="minorHAnsi" w:hAnsiTheme="minorHAnsi" w:cstheme="minorHAnsi"/>
                <w:szCs w:val="22"/>
              </w:rPr>
            </w:pPr>
            <w:r w:rsidRPr="00D30DD5">
              <w:rPr>
                <w:rFonts w:asciiTheme="minorHAnsi" w:hAnsiTheme="minorHAnsi" w:cstheme="minorHAnsi"/>
                <w:bCs/>
                <w:szCs w:val="22"/>
              </w:rPr>
              <w:t>CONSTRAINTS</w:t>
            </w:r>
            <w:r w:rsidRPr="00D30DD5">
              <w:rPr>
                <w:rFonts w:asciiTheme="minorHAnsi" w:hAnsiTheme="minorHAnsi" w:cstheme="minorHAnsi"/>
                <w:szCs w:val="22"/>
              </w:rPr>
              <w:t xml:space="preserve"> </w:t>
            </w:r>
          </w:p>
          <w:p w14:paraId="09BF6AAD" w14:textId="77777777" w:rsidR="00D30DD5" w:rsidRPr="00D30DD5" w:rsidRDefault="00493743" w:rsidP="00D30DD5">
            <w:pPr>
              <w:pStyle w:val="TSNumberedParagraph11"/>
              <w:rPr>
                <w:rFonts w:asciiTheme="minorHAnsi" w:hAnsiTheme="minorHAnsi" w:cstheme="minorHAnsi"/>
              </w:rPr>
            </w:pPr>
            <w:r>
              <w:rPr>
                <w:rFonts w:asciiTheme="minorHAnsi" w:hAnsiTheme="minorHAnsi" w:cstheme="minorHAnsi"/>
              </w:rPr>
              <w:t>The following constraint</w:t>
            </w:r>
            <w:r w:rsidR="00566036">
              <w:rPr>
                <w:rFonts w:asciiTheme="minorHAnsi" w:hAnsiTheme="minorHAnsi" w:cstheme="minorHAnsi"/>
              </w:rPr>
              <w:t>s</w:t>
            </w:r>
            <w:r w:rsidR="00D30DD5" w:rsidRPr="00D30DD5">
              <w:rPr>
                <w:rFonts w:asciiTheme="minorHAnsi" w:hAnsiTheme="minorHAnsi" w:cstheme="minorHAnsi"/>
              </w:rPr>
              <w:t xml:space="preserve">  </w:t>
            </w:r>
            <w:r w:rsidR="00566036" w:rsidRPr="00D30DD5">
              <w:rPr>
                <w:rFonts w:asciiTheme="minorHAnsi" w:hAnsiTheme="minorHAnsi" w:cstheme="minorHAnsi"/>
              </w:rPr>
              <w:t>appl</w:t>
            </w:r>
            <w:r w:rsidR="00566036">
              <w:rPr>
                <w:rFonts w:asciiTheme="minorHAnsi" w:hAnsiTheme="minorHAnsi" w:cstheme="minorHAnsi"/>
              </w:rPr>
              <w:t>y</w:t>
            </w:r>
            <w:r w:rsidR="00D30DD5" w:rsidRPr="00D30DD5">
              <w:rPr>
                <w:rFonts w:asciiTheme="minorHAnsi" w:hAnsiTheme="minorHAnsi" w:cstheme="minorHAnsi"/>
              </w:rPr>
              <w:t>:</w:t>
            </w:r>
          </w:p>
          <w:p w14:paraId="0F6C2566" w14:textId="77777777" w:rsidR="0057402E" w:rsidRPr="0057402E" w:rsidRDefault="0057402E" w:rsidP="0057402E">
            <w:pPr>
              <w:pStyle w:val="TSBullet1Square"/>
              <w:rPr>
                <w:rFonts w:asciiTheme="minorHAnsi" w:hAnsiTheme="minorHAnsi" w:cstheme="minorHAnsi"/>
              </w:rPr>
            </w:pPr>
            <w:r w:rsidRPr="0057402E">
              <w:rPr>
                <w:rFonts w:asciiTheme="minorHAnsi" w:hAnsiTheme="minorHAnsi" w:cstheme="minorHAnsi"/>
              </w:rPr>
              <w:t>The work is expected to start and conclude in accordance with the overall timescales given above, and a project programme will be agreed with the contractor upon contract award.</w:t>
            </w:r>
          </w:p>
          <w:p w14:paraId="42E37686" w14:textId="77777777" w:rsidR="0057402E" w:rsidRPr="0057402E" w:rsidRDefault="0057402E" w:rsidP="0057402E">
            <w:pPr>
              <w:pStyle w:val="TSBullet1Square"/>
              <w:rPr>
                <w:rFonts w:asciiTheme="minorHAnsi" w:hAnsiTheme="minorHAnsi" w:cstheme="minorHAnsi"/>
              </w:rPr>
            </w:pPr>
            <w:r w:rsidRPr="0057402E">
              <w:rPr>
                <w:rFonts w:asciiTheme="minorHAnsi" w:hAnsiTheme="minorHAnsi" w:cstheme="minorHAnsi"/>
              </w:rPr>
              <w:t>It is expected that the successful contractor will also draw upon their experience, resources and publically available information to perform this work.</w:t>
            </w:r>
          </w:p>
          <w:p w14:paraId="2B46BC90" w14:textId="0075F079" w:rsidR="0057402E" w:rsidRPr="0057402E" w:rsidRDefault="00566036" w:rsidP="0057402E">
            <w:pPr>
              <w:pStyle w:val="TSBullet1Square"/>
              <w:rPr>
                <w:rFonts w:asciiTheme="minorHAnsi" w:hAnsiTheme="minorHAnsi" w:cstheme="minorHAnsi"/>
              </w:rPr>
            </w:pPr>
            <w:r>
              <w:rPr>
                <w:rFonts w:asciiTheme="minorHAnsi" w:hAnsiTheme="minorHAnsi" w:cstheme="minorHAnsi"/>
              </w:rPr>
              <w:lastRenderedPageBreak/>
              <w:t xml:space="preserve">Should any </w:t>
            </w:r>
            <w:r w:rsidR="001A0DC8">
              <w:rPr>
                <w:rFonts w:asciiTheme="minorHAnsi" w:hAnsiTheme="minorHAnsi" w:cstheme="minorHAnsi"/>
              </w:rPr>
              <w:t xml:space="preserve">commercially sensitive, export controlled, or sensitive nuclear </w:t>
            </w:r>
            <w:r>
              <w:rPr>
                <w:rFonts w:asciiTheme="minorHAnsi" w:hAnsiTheme="minorHAnsi" w:cstheme="minorHAnsi"/>
              </w:rPr>
              <w:t xml:space="preserve">information </w:t>
            </w:r>
            <w:r w:rsidR="00E300AB">
              <w:rPr>
                <w:rFonts w:asciiTheme="minorHAnsi" w:hAnsiTheme="minorHAnsi" w:cstheme="minorHAnsi"/>
              </w:rPr>
              <w:t>received by ONR from the RP be transmitted to the contractor</w:t>
            </w:r>
            <w:r>
              <w:rPr>
                <w:rFonts w:asciiTheme="minorHAnsi" w:hAnsiTheme="minorHAnsi" w:cstheme="minorHAnsi"/>
              </w:rPr>
              <w:t>, it</w:t>
            </w:r>
            <w:r w:rsidR="0057402E" w:rsidRPr="0057402E">
              <w:rPr>
                <w:rFonts w:asciiTheme="minorHAnsi" w:hAnsiTheme="minorHAnsi" w:cstheme="minorHAnsi"/>
              </w:rPr>
              <w:t xml:space="preserve"> will need to be treated in accordance with the ONR Technical Support Contact Framework agreement and non-disclosure agreement. The information or a certificate of destruction will need to be returned to ONR at the end of the contract.</w:t>
            </w:r>
          </w:p>
          <w:p w14:paraId="53BC9789" w14:textId="77777777" w:rsidR="0057402E" w:rsidRPr="0057402E" w:rsidRDefault="00566036" w:rsidP="0057402E">
            <w:pPr>
              <w:pStyle w:val="TSBullet1Square"/>
              <w:rPr>
                <w:rFonts w:asciiTheme="minorHAnsi" w:hAnsiTheme="minorHAnsi" w:cstheme="minorHAnsi"/>
              </w:rPr>
            </w:pPr>
            <w:r>
              <w:rPr>
                <w:rFonts w:asciiTheme="minorHAnsi" w:hAnsiTheme="minorHAnsi" w:cstheme="minorHAnsi"/>
              </w:rPr>
              <w:t xml:space="preserve">Should ONR and the contractor exchange any sensitive </w:t>
            </w:r>
            <w:r w:rsidR="00E300AB">
              <w:rPr>
                <w:rFonts w:asciiTheme="minorHAnsi" w:hAnsiTheme="minorHAnsi" w:cstheme="minorHAnsi"/>
              </w:rPr>
              <w:t xml:space="preserve">or commercially protected </w:t>
            </w:r>
            <w:r>
              <w:rPr>
                <w:rFonts w:asciiTheme="minorHAnsi" w:hAnsiTheme="minorHAnsi" w:cstheme="minorHAnsi"/>
              </w:rPr>
              <w:t>information, t</w:t>
            </w:r>
            <w:r w:rsidR="0057402E" w:rsidRPr="0057402E">
              <w:rPr>
                <w:rFonts w:asciiTheme="minorHAnsi" w:hAnsiTheme="minorHAnsi" w:cstheme="minorHAnsi"/>
              </w:rPr>
              <w:t xml:space="preserve">he arrangements for security vetting and IT security established in the Technical Support Contract framework agreement will need to be </w:t>
            </w:r>
            <w:proofErr w:type="gramStart"/>
            <w:r w:rsidR="0057402E" w:rsidRPr="0057402E">
              <w:rPr>
                <w:rFonts w:asciiTheme="minorHAnsi" w:hAnsiTheme="minorHAnsi" w:cstheme="minorHAnsi"/>
              </w:rPr>
              <w:t>followed.</w:t>
            </w:r>
            <w:proofErr w:type="gramEnd"/>
            <w:r w:rsidR="0057402E" w:rsidRPr="0057402E">
              <w:rPr>
                <w:rFonts w:asciiTheme="minorHAnsi" w:hAnsiTheme="minorHAnsi" w:cstheme="minorHAnsi"/>
              </w:rPr>
              <w:t xml:space="preserve"> </w:t>
            </w:r>
          </w:p>
          <w:p w14:paraId="050E3798" w14:textId="77777777" w:rsidR="0057402E" w:rsidRPr="0057402E" w:rsidRDefault="00E300AB" w:rsidP="0057402E">
            <w:pPr>
              <w:pStyle w:val="TSBullet1Square"/>
              <w:rPr>
                <w:rFonts w:asciiTheme="minorHAnsi" w:hAnsiTheme="minorHAnsi" w:cstheme="minorHAnsi"/>
              </w:rPr>
            </w:pPr>
            <w:r>
              <w:rPr>
                <w:rFonts w:asciiTheme="minorHAnsi" w:hAnsiTheme="minorHAnsi" w:cstheme="minorHAnsi"/>
              </w:rPr>
              <w:t xml:space="preserve">Should any </w:t>
            </w:r>
            <w:r w:rsidR="001A0DC8">
              <w:rPr>
                <w:rFonts w:asciiTheme="minorHAnsi" w:hAnsiTheme="minorHAnsi" w:cstheme="minorHAnsi"/>
              </w:rPr>
              <w:t xml:space="preserve">export controlled </w:t>
            </w:r>
            <w:r>
              <w:rPr>
                <w:rFonts w:asciiTheme="minorHAnsi" w:hAnsiTheme="minorHAnsi" w:cstheme="minorHAnsi"/>
              </w:rPr>
              <w:t>information from received by ONR from the RP be transmitted to the contractor,  t</w:t>
            </w:r>
            <w:r w:rsidR="0057402E" w:rsidRPr="0057402E">
              <w:rPr>
                <w:rFonts w:asciiTheme="minorHAnsi" w:hAnsiTheme="minorHAnsi" w:cstheme="minorHAnsi"/>
              </w:rPr>
              <w:t>he contractor and where applicable, its sub-contractors, will need to provide assurances that it has, or is able to obtain, all necessary export control licenses, where required to transfer relevant information out of the UK and return it.</w:t>
            </w:r>
          </w:p>
          <w:p w14:paraId="0D776703" w14:textId="77777777" w:rsidR="0057402E" w:rsidRPr="0057402E" w:rsidRDefault="0057402E" w:rsidP="0057402E">
            <w:pPr>
              <w:pStyle w:val="TSBullet1Square"/>
              <w:rPr>
                <w:rFonts w:asciiTheme="minorHAnsi" w:hAnsiTheme="minorHAnsi" w:cstheme="minorHAnsi"/>
              </w:rPr>
            </w:pPr>
            <w:r w:rsidRPr="0057402E">
              <w:rPr>
                <w:rFonts w:asciiTheme="minorHAnsi" w:hAnsiTheme="minorHAnsi" w:cstheme="minorHAnsi"/>
              </w:rPr>
              <w:t>The transmittal of all documents between ONR and the contractor will be through ONR's Joint Programme Office (JPO).</w:t>
            </w:r>
            <w:r w:rsidR="00E300AB">
              <w:rPr>
                <w:rFonts w:asciiTheme="minorHAnsi" w:hAnsiTheme="minorHAnsi" w:cstheme="minorHAnsi"/>
              </w:rPr>
              <w:t xml:space="preserve"> Sensitive and commercially protected information should be transmitted via encrypted DVDs. </w:t>
            </w:r>
          </w:p>
          <w:p w14:paraId="38B798AF" w14:textId="77777777" w:rsidR="0057402E" w:rsidRPr="0057402E" w:rsidRDefault="0057402E" w:rsidP="0057402E">
            <w:pPr>
              <w:pStyle w:val="TSBullet1Square"/>
              <w:rPr>
                <w:rFonts w:asciiTheme="minorHAnsi" w:hAnsiTheme="minorHAnsi" w:cstheme="minorHAnsi"/>
              </w:rPr>
            </w:pPr>
            <w:r w:rsidRPr="0057402E">
              <w:rPr>
                <w:rFonts w:asciiTheme="minorHAnsi" w:hAnsiTheme="minorHAnsi" w:cstheme="minorHAnsi"/>
              </w:rPr>
              <w:t>Any conflict of interest should be declared. Where a potential conflict exists, the contractor should describe how this will be managed.</w:t>
            </w:r>
          </w:p>
          <w:p w14:paraId="76694D0F" w14:textId="77777777" w:rsidR="0057402E" w:rsidRPr="0057402E" w:rsidRDefault="0057402E" w:rsidP="0057402E">
            <w:pPr>
              <w:pStyle w:val="TSBullet1Square"/>
              <w:rPr>
                <w:rFonts w:asciiTheme="minorHAnsi" w:hAnsiTheme="minorHAnsi" w:cstheme="minorHAnsi"/>
              </w:rPr>
            </w:pPr>
            <w:r w:rsidRPr="0057402E">
              <w:rPr>
                <w:rFonts w:asciiTheme="minorHAnsi" w:hAnsiTheme="minorHAnsi" w:cstheme="minorHAnsi"/>
              </w:rPr>
              <w:t xml:space="preserve">The aim of this work package is to inform and advise ONR. The RP will be provided with copies of any </w:t>
            </w:r>
            <w:r w:rsidR="00E300AB">
              <w:rPr>
                <w:rFonts w:asciiTheme="minorHAnsi" w:hAnsiTheme="minorHAnsi" w:cstheme="minorHAnsi"/>
              </w:rPr>
              <w:t>material transmitted to ONR, should it be requested</w:t>
            </w:r>
            <w:r w:rsidRPr="0057402E">
              <w:rPr>
                <w:rFonts w:asciiTheme="minorHAnsi" w:hAnsiTheme="minorHAnsi" w:cstheme="minorHAnsi"/>
              </w:rPr>
              <w:t xml:space="preserve">. </w:t>
            </w:r>
          </w:p>
          <w:p w14:paraId="40BE3056" w14:textId="77777777" w:rsidR="00D30DD5" w:rsidRPr="00493743" w:rsidRDefault="0057402E" w:rsidP="00E300AB">
            <w:pPr>
              <w:pStyle w:val="TSBullet1Square"/>
              <w:rPr>
                <w:rFonts w:asciiTheme="minorHAnsi" w:hAnsiTheme="minorHAnsi" w:cstheme="minorHAnsi"/>
              </w:rPr>
            </w:pPr>
            <w:r w:rsidRPr="0057402E">
              <w:rPr>
                <w:rFonts w:asciiTheme="minorHAnsi" w:hAnsiTheme="minorHAnsi" w:cstheme="minorHAnsi"/>
              </w:rPr>
              <w:t xml:space="preserve">It is not ONR’s intention to publish the </w:t>
            </w:r>
            <w:r w:rsidR="004F1D32">
              <w:rPr>
                <w:rFonts w:asciiTheme="minorHAnsi" w:hAnsiTheme="minorHAnsi" w:cstheme="minorHAnsi"/>
              </w:rPr>
              <w:t>documentation</w:t>
            </w:r>
            <w:r w:rsidR="004F1D32" w:rsidRPr="0057402E">
              <w:rPr>
                <w:rFonts w:asciiTheme="minorHAnsi" w:hAnsiTheme="minorHAnsi" w:cstheme="minorHAnsi"/>
              </w:rPr>
              <w:t xml:space="preserve"> </w:t>
            </w:r>
            <w:r w:rsidRPr="0057402E">
              <w:rPr>
                <w:rFonts w:asciiTheme="minorHAnsi" w:hAnsiTheme="minorHAnsi" w:cstheme="minorHAnsi"/>
              </w:rPr>
              <w:t xml:space="preserve">produced through this contract. However, it is subject to freedom of information requests. This should not constrain or limit the produced </w:t>
            </w:r>
            <w:r w:rsidR="004F1D32">
              <w:rPr>
                <w:rFonts w:asciiTheme="minorHAnsi" w:hAnsiTheme="minorHAnsi" w:cstheme="minorHAnsi"/>
              </w:rPr>
              <w:t>documentation</w:t>
            </w:r>
            <w:r w:rsidR="004F1D32" w:rsidRPr="0057402E">
              <w:rPr>
                <w:rFonts w:asciiTheme="minorHAnsi" w:hAnsiTheme="minorHAnsi" w:cstheme="minorHAnsi"/>
              </w:rPr>
              <w:t xml:space="preserve"> </w:t>
            </w:r>
            <w:r w:rsidRPr="0057402E">
              <w:rPr>
                <w:rFonts w:asciiTheme="minorHAnsi" w:hAnsiTheme="minorHAnsi" w:cstheme="minorHAnsi"/>
              </w:rPr>
              <w:t>but should be taken into account with the style and format.</w:t>
            </w:r>
          </w:p>
        </w:tc>
      </w:tr>
      <w:tr w:rsidR="00AF4C0F" w:rsidRPr="002C62C2" w14:paraId="350E5E15" w14:textId="77777777" w:rsidTr="00971BA8">
        <w:trPr>
          <w:jc w:val="center"/>
        </w:trPr>
        <w:tc>
          <w:tcPr>
            <w:tcW w:w="9709" w:type="dxa"/>
          </w:tcPr>
          <w:p w14:paraId="52136921"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14:paraId="4DB5085B" w14:textId="77777777" w:rsidR="00AF4C0F" w:rsidRPr="00D30DD5" w:rsidRDefault="00AF4C0F" w:rsidP="00B8373C">
            <w:pPr>
              <w:pStyle w:val="TSNumberedParagraph11"/>
              <w:tabs>
                <w:tab w:val="left" w:pos="698"/>
              </w:tabs>
              <w:ind w:left="698" w:hanging="708"/>
              <w:jc w:val="both"/>
              <w:rPr>
                <w:rFonts w:asciiTheme="minorHAnsi" w:hAnsiTheme="minorHAnsi" w:cstheme="minorHAnsi"/>
              </w:rPr>
            </w:pPr>
            <w:r w:rsidRPr="002C62C2">
              <w:rPr>
                <w:rFonts w:asciiTheme="minorHAnsi" w:hAnsiTheme="minorHAnsi" w:cstheme="minorHAnsi"/>
              </w:rPr>
              <w:t xml:space="preserve">ONR will require to be kept updated about progress and delivery of the required work </w:t>
            </w:r>
            <w:r w:rsidR="00491956">
              <w:rPr>
                <w:rFonts w:asciiTheme="minorHAnsi" w:hAnsiTheme="minorHAnsi" w:cstheme="minorHAnsi"/>
              </w:rPr>
              <w:t xml:space="preserve">in accordance with the Framework arrangements. This should include </w:t>
            </w:r>
            <w:r w:rsidR="00493743">
              <w:rPr>
                <w:rFonts w:asciiTheme="minorHAnsi" w:hAnsiTheme="minorHAnsi" w:cstheme="minorHAnsi"/>
              </w:rPr>
              <w:t xml:space="preserve">a </w:t>
            </w:r>
            <w:r w:rsidRPr="002C62C2">
              <w:rPr>
                <w:rFonts w:asciiTheme="minorHAnsi" w:hAnsiTheme="minorHAnsi" w:cstheme="minorHAnsi"/>
              </w:rPr>
              <w:t>contract start-up meeting at ONR’s offices at Bootle</w:t>
            </w:r>
            <w:r w:rsidR="00491956">
              <w:rPr>
                <w:rFonts w:asciiTheme="minorHAnsi" w:hAnsiTheme="minorHAnsi" w:cstheme="minorHAnsi"/>
              </w:rPr>
              <w:t>, the contractors’ offices</w:t>
            </w:r>
            <w:r w:rsidR="00B8373C">
              <w:rPr>
                <w:rFonts w:asciiTheme="minorHAnsi" w:hAnsiTheme="minorHAnsi" w:cstheme="minorHAnsi"/>
              </w:rPr>
              <w:t>, or video/teleconference if appropriate</w:t>
            </w:r>
            <w:r w:rsidRPr="002C62C2">
              <w:rPr>
                <w:rFonts w:asciiTheme="minorHAnsi" w:hAnsiTheme="minorHAnsi" w:cstheme="minorHAnsi"/>
              </w:rPr>
              <w:t xml:space="preserve">. </w:t>
            </w:r>
          </w:p>
        </w:tc>
      </w:tr>
      <w:tr w:rsidR="00863CDC" w:rsidRPr="002C62C2" w14:paraId="3131EF69" w14:textId="77777777" w:rsidTr="00971BA8">
        <w:trPr>
          <w:jc w:val="center"/>
        </w:trPr>
        <w:tc>
          <w:tcPr>
            <w:tcW w:w="9709" w:type="dxa"/>
            <w:tcBorders>
              <w:bottom w:val="single" w:sz="4" w:space="0" w:color="auto"/>
            </w:tcBorders>
            <w:shd w:val="clear" w:color="auto" w:fill="006D68"/>
          </w:tcPr>
          <w:p w14:paraId="033C0900" w14:textId="77777777"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14:paraId="4162C0CD" w14:textId="77777777" w:rsidTr="00971BA8">
        <w:trPr>
          <w:jc w:val="center"/>
        </w:trPr>
        <w:tc>
          <w:tcPr>
            <w:tcW w:w="9709" w:type="dxa"/>
            <w:shd w:val="clear" w:color="auto" w:fill="auto"/>
          </w:tcPr>
          <w:p w14:paraId="63BA61A4" w14:textId="77777777"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14:paraId="0040C0E6" w14:textId="77777777"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14:paraId="4F34F5BF" w14:textId="77777777"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491956">
              <w:rPr>
                <w:rFonts w:asciiTheme="minorHAnsi" w:hAnsiTheme="minorHAnsi" w:cstheme="minorHAnsi"/>
              </w:rPr>
              <w:t>:</w:t>
            </w:r>
            <w:r w:rsidRPr="002C62C2">
              <w:rPr>
                <w:rFonts w:asciiTheme="minorHAnsi" w:hAnsiTheme="minorHAnsi" w:cstheme="minorHAnsi"/>
              </w:rPr>
              <w:t xml:space="preserve"> </w:t>
            </w:r>
          </w:p>
          <w:p w14:paraId="3DC47116" w14:textId="77777777" w:rsidR="00EC1819" w:rsidRDefault="00EC1819" w:rsidP="00EC1819">
            <w:pPr>
              <w:pStyle w:val="TSBullet1Square"/>
              <w:rPr>
                <w:rFonts w:asciiTheme="minorHAnsi" w:hAnsiTheme="minorHAnsi" w:cstheme="minorHAnsi"/>
              </w:rPr>
            </w:pPr>
            <w:r w:rsidRPr="00EC1819">
              <w:rPr>
                <w:rFonts w:asciiTheme="minorHAnsi" w:hAnsiTheme="minorHAnsi" w:cstheme="minorHAnsi"/>
              </w:rPr>
              <w:t>a description of how you will deliver the scope of work and the proposed delivery team you will use</w:t>
            </w:r>
            <w:r w:rsidR="00CA710B">
              <w:rPr>
                <w:rFonts w:asciiTheme="minorHAnsi" w:hAnsiTheme="minorHAnsi" w:cstheme="minorHAnsi"/>
              </w:rPr>
              <w:t xml:space="preserve"> (including potential sub-contractors);</w:t>
            </w:r>
          </w:p>
          <w:p w14:paraId="343332E8" w14:textId="77777777" w:rsidR="00EC1819" w:rsidRPr="00EC1819" w:rsidRDefault="00EC1819" w:rsidP="00EC1819">
            <w:pPr>
              <w:pStyle w:val="TSBullet1Square"/>
              <w:rPr>
                <w:rFonts w:asciiTheme="minorHAnsi" w:hAnsiTheme="minorHAnsi" w:cstheme="minorHAnsi"/>
              </w:rPr>
            </w:pPr>
            <w:r w:rsidRPr="00EC1819">
              <w:rPr>
                <w:rFonts w:asciiTheme="minorHAnsi" w:hAnsiTheme="minorHAnsi" w:cstheme="minorHAnsi"/>
              </w:rPr>
              <w:t xml:space="preserve">an overview of any prior experience of </w:t>
            </w:r>
            <w:r>
              <w:rPr>
                <w:rFonts w:asciiTheme="minorHAnsi" w:hAnsiTheme="minorHAnsi" w:cstheme="minorHAnsi"/>
              </w:rPr>
              <w:t xml:space="preserve">providing similar </w:t>
            </w:r>
            <w:r w:rsidR="0045309D">
              <w:rPr>
                <w:rFonts w:asciiTheme="minorHAnsi" w:hAnsiTheme="minorHAnsi" w:cstheme="minorHAnsi"/>
              </w:rPr>
              <w:t>course</w:t>
            </w:r>
            <w:r>
              <w:rPr>
                <w:rFonts w:asciiTheme="minorHAnsi" w:hAnsiTheme="minorHAnsi" w:cstheme="minorHAnsi"/>
              </w:rPr>
              <w:t xml:space="preserve"> on</w:t>
            </w:r>
            <w:r w:rsidRPr="00EC1819">
              <w:rPr>
                <w:rFonts w:asciiTheme="minorHAnsi" w:hAnsiTheme="minorHAnsi" w:cstheme="minorHAnsi"/>
              </w:rPr>
              <w:t xml:space="preserve"> computer codes</w:t>
            </w:r>
            <w:r>
              <w:rPr>
                <w:rFonts w:asciiTheme="minorHAnsi" w:hAnsiTheme="minorHAnsi" w:cstheme="minorHAnsi"/>
              </w:rPr>
              <w:t xml:space="preserve"> used for </w:t>
            </w:r>
            <w:r w:rsidRPr="00EC1819">
              <w:rPr>
                <w:rFonts w:asciiTheme="minorHAnsi" w:hAnsiTheme="minorHAnsi" w:cstheme="minorHAnsi"/>
              </w:rPr>
              <w:t>safety analysis;</w:t>
            </w:r>
          </w:p>
          <w:p w14:paraId="2B34C6EC" w14:textId="77777777" w:rsidR="00EC1819" w:rsidRPr="00EC1819" w:rsidRDefault="00EC1819" w:rsidP="00EC1819">
            <w:pPr>
              <w:pStyle w:val="TSBullet1Square"/>
              <w:rPr>
                <w:rFonts w:asciiTheme="minorHAnsi" w:hAnsiTheme="minorHAnsi" w:cstheme="minorHAnsi"/>
              </w:rPr>
            </w:pPr>
            <w:r w:rsidRPr="00EC1819">
              <w:rPr>
                <w:rFonts w:asciiTheme="minorHAnsi" w:hAnsiTheme="minorHAnsi" w:cstheme="minorHAnsi"/>
              </w:rPr>
              <w:t xml:space="preserve">an overview of any prior experience with the </w:t>
            </w:r>
            <w:r>
              <w:rPr>
                <w:rFonts w:asciiTheme="minorHAnsi" w:hAnsiTheme="minorHAnsi" w:cstheme="minorHAnsi"/>
              </w:rPr>
              <w:t>ASTEC</w:t>
            </w:r>
            <w:r w:rsidRPr="00EC1819">
              <w:rPr>
                <w:rFonts w:asciiTheme="minorHAnsi" w:hAnsiTheme="minorHAnsi" w:cstheme="minorHAnsi"/>
              </w:rPr>
              <w:t xml:space="preserve"> code;</w:t>
            </w:r>
          </w:p>
          <w:p w14:paraId="22C02101" w14:textId="77777777" w:rsidR="00EC1819" w:rsidRPr="00EC1819" w:rsidRDefault="00E300AB" w:rsidP="00EC1819">
            <w:pPr>
              <w:pStyle w:val="TSBullet1Square"/>
              <w:rPr>
                <w:rFonts w:asciiTheme="minorHAnsi" w:hAnsiTheme="minorHAnsi" w:cstheme="minorHAnsi"/>
              </w:rPr>
            </w:pPr>
            <w:r>
              <w:rPr>
                <w:rFonts w:asciiTheme="minorHAnsi" w:hAnsiTheme="minorHAnsi" w:cstheme="minorHAnsi"/>
              </w:rPr>
              <w:t>an overview of the course contents, structure and materials to be provided</w:t>
            </w:r>
            <w:r w:rsidR="00EC1819" w:rsidRPr="00EC1819">
              <w:rPr>
                <w:rFonts w:asciiTheme="minorHAnsi" w:hAnsiTheme="minorHAnsi" w:cstheme="minorHAnsi"/>
              </w:rPr>
              <w:t>;</w:t>
            </w:r>
          </w:p>
          <w:p w14:paraId="3FBEF1F7" w14:textId="77777777" w:rsidR="00EC1819" w:rsidRPr="00EC1819" w:rsidRDefault="00EC1819" w:rsidP="00EC1819">
            <w:pPr>
              <w:pStyle w:val="TSBullet1Square"/>
              <w:rPr>
                <w:rFonts w:asciiTheme="minorHAnsi" w:hAnsiTheme="minorHAnsi" w:cstheme="minorHAnsi"/>
              </w:rPr>
            </w:pPr>
            <w:r w:rsidRPr="00EC1819">
              <w:rPr>
                <w:rFonts w:asciiTheme="minorHAnsi" w:hAnsiTheme="minorHAnsi" w:cstheme="minorHAnsi"/>
              </w:rPr>
              <w:t>details of proposed cost and associated effort assumptions;</w:t>
            </w:r>
          </w:p>
          <w:p w14:paraId="1B5558F7" w14:textId="77777777" w:rsidR="00EC1819" w:rsidRPr="00EC1819" w:rsidRDefault="00EC1819" w:rsidP="00EC1819">
            <w:pPr>
              <w:pStyle w:val="TSBullet1Square"/>
              <w:rPr>
                <w:rFonts w:asciiTheme="minorHAnsi" w:hAnsiTheme="minorHAnsi" w:cstheme="minorHAnsi"/>
              </w:rPr>
            </w:pPr>
            <w:r w:rsidRPr="00EC1819">
              <w:rPr>
                <w:rFonts w:asciiTheme="minorHAnsi" w:hAnsiTheme="minorHAnsi" w:cstheme="minorHAnsi"/>
              </w:rPr>
              <w:t>a project delivery plan showing activities and milestones;</w:t>
            </w:r>
          </w:p>
          <w:p w14:paraId="3442B31B" w14:textId="77777777" w:rsidR="00EC1819" w:rsidRPr="00EC1819" w:rsidRDefault="00EC1819" w:rsidP="00EC1819">
            <w:pPr>
              <w:pStyle w:val="TSBullet1Square"/>
              <w:rPr>
                <w:rFonts w:asciiTheme="minorHAnsi" w:hAnsiTheme="minorHAnsi" w:cstheme="minorHAnsi"/>
              </w:rPr>
            </w:pPr>
            <w:r w:rsidRPr="00EC1819">
              <w:rPr>
                <w:rFonts w:asciiTheme="minorHAnsi" w:hAnsiTheme="minorHAnsi" w:cstheme="minorHAnsi"/>
              </w:rPr>
              <w:t>a planned invoice schedule;</w:t>
            </w:r>
          </w:p>
          <w:p w14:paraId="7DDDCF33" w14:textId="77777777" w:rsidR="00B642E6" w:rsidRPr="00B642E6" w:rsidRDefault="00EC1819" w:rsidP="00EC1819">
            <w:pPr>
              <w:pStyle w:val="TSBullet1Square"/>
              <w:rPr>
                <w:rFonts w:asciiTheme="minorHAnsi" w:hAnsiTheme="minorHAnsi" w:cstheme="minorHAnsi"/>
                <w:b/>
                <w:iCs/>
                <w:color w:val="FFFFFF" w:themeColor="background1"/>
                <w:sz w:val="24"/>
              </w:rPr>
            </w:pPr>
            <w:proofErr w:type="gramStart"/>
            <w:r w:rsidRPr="00EC1819">
              <w:rPr>
                <w:rFonts w:asciiTheme="minorHAnsi" w:hAnsiTheme="minorHAnsi" w:cstheme="minorHAnsi"/>
              </w:rPr>
              <w:t>details</w:t>
            </w:r>
            <w:proofErr w:type="gramEnd"/>
            <w:r w:rsidRPr="00EC1819">
              <w:rPr>
                <w:rFonts w:asciiTheme="minorHAnsi" w:hAnsiTheme="minorHAnsi" w:cstheme="minorHAnsi"/>
              </w:rPr>
              <w:t xml:space="preserve"> of any assumptions or constraints.</w:t>
            </w:r>
          </w:p>
        </w:tc>
      </w:tr>
    </w:tbl>
    <w:p w14:paraId="048B5A42" w14:textId="77777777" w:rsidR="00D75DA2" w:rsidRPr="002C62C2" w:rsidRDefault="00D75DA2">
      <w:pPr>
        <w:rPr>
          <w:rFonts w:asciiTheme="minorHAnsi" w:hAnsiTheme="minorHAnsi" w:cstheme="minorHAnsi"/>
        </w:rPr>
      </w:pPr>
    </w:p>
    <w:sectPr w:rsidR="00D75DA2" w:rsidRPr="002C62C2" w:rsidSect="0045706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uA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CA282" w14:textId="77777777" w:rsidR="00820F41" w:rsidRDefault="00820F41">
      <w:r>
        <w:separator/>
      </w:r>
    </w:p>
  </w:endnote>
  <w:endnote w:type="continuationSeparator" w:id="0">
    <w:p w14:paraId="1F2A4EB9" w14:textId="77777777" w:rsidR="00820F41" w:rsidRDefault="0082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8A11" w14:textId="77777777" w:rsidR="002F71C0" w:rsidRDefault="002F7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3B8B" w14:textId="77777777" w:rsidR="00D75DA2" w:rsidRDefault="00491956" w:rsidP="00BC5FC8">
    <w:pPr>
      <w:pStyle w:val="Header"/>
      <w:jc w:val="center"/>
      <w:rPr>
        <w:b/>
        <w:color w:val="006D68"/>
        <w:sz w:val="14"/>
        <w:szCs w:val="14"/>
      </w:rPr>
    </w:pPr>
    <w:r>
      <w:rPr>
        <w:b/>
        <w:color w:val="006D68"/>
        <w:sz w:val="20"/>
        <w:szCs w:val="20"/>
      </w:rPr>
      <w:t>OFFICAL</w:t>
    </w:r>
  </w:p>
  <w:p w14:paraId="453806C8" w14:textId="77777777" w:rsidR="00D75DA2" w:rsidRDefault="00D75DA2" w:rsidP="00BC5FC8">
    <w:pPr>
      <w:pStyle w:val="Footer"/>
      <w:tabs>
        <w:tab w:val="clear" w:pos="4153"/>
        <w:tab w:val="clear" w:pos="8306"/>
        <w:tab w:val="right" w:pos="9214"/>
      </w:tabs>
      <w:jc w:val="center"/>
      <w:rPr>
        <w:color w:val="006D68"/>
        <w:sz w:val="14"/>
        <w:szCs w:val="14"/>
      </w:rPr>
    </w:pPr>
  </w:p>
  <w:p w14:paraId="116904D8" w14:textId="2915B1F6"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475C9D">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475C9D">
      <w:rPr>
        <w:b/>
        <w:noProof/>
        <w:color w:val="006D68"/>
        <w:sz w:val="14"/>
        <w:szCs w:val="14"/>
      </w:rPr>
      <w:t>4</w:t>
    </w:r>
    <w:r w:rsidRPr="00487A22">
      <w:rPr>
        <w:b/>
        <w:color w:val="006D68"/>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CD9C" w14:textId="77777777" w:rsidR="00D75DA2" w:rsidRDefault="00491956" w:rsidP="007D545C">
    <w:pPr>
      <w:pStyle w:val="Header"/>
      <w:jc w:val="center"/>
      <w:rPr>
        <w:b/>
        <w:color w:val="006D68"/>
        <w:sz w:val="14"/>
        <w:szCs w:val="14"/>
      </w:rPr>
    </w:pPr>
    <w:r>
      <w:rPr>
        <w:b/>
        <w:color w:val="006D68"/>
        <w:sz w:val="24"/>
        <w:szCs w:val="14"/>
      </w:rPr>
      <w:t>OFFICIAL</w:t>
    </w:r>
  </w:p>
  <w:p w14:paraId="46C1965D" w14:textId="77777777" w:rsidR="00D75DA2" w:rsidRDefault="00D75DA2" w:rsidP="00BC5FC8">
    <w:pPr>
      <w:pStyle w:val="Header"/>
      <w:jc w:val="center"/>
      <w:rPr>
        <w:b/>
        <w:color w:val="006D68"/>
        <w:sz w:val="14"/>
        <w:szCs w:val="14"/>
      </w:rPr>
    </w:pPr>
  </w:p>
  <w:p w14:paraId="0BB24C93" w14:textId="77777777" w:rsidR="00D75DA2" w:rsidRDefault="00D75DA2" w:rsidP="00BC5FC8">
    <w:pPr>
      <w:pStyle w:val="Footer"/>
      <w:tabs>
        <w:tab w:val="clear" w:pos="4153"/>
        <w:tab w:val="clear" w:pos="8306"/>
        <w:tab w:val="right" w:pos="9214"/>
      </w:tabs>
      <w:jc w:val="center"/>
      <w:rPr>
        <w:color w:val="006D68"/>
        <w:sz w:val="14"/>
        <w:szCs w:val="14"/>
      </w:rPr>
    </w:pPr>
  </w:p>
  <w:p w14:paraId="52304E43" w14:textId="251DAA34"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475C9D">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475C9D">
      <w:rPr>
        <w:b/>
        <w:noProof/>
        <w:color w:val="006D68"/>
        <w:sz w:val="14"/>
        <w:szCs w:val="14"/>
      </w:rPr>
      <w:t>4</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1AF8E" w14:textId="77777777" w:rsidR="00820F41" w:rsidRDefault="00820F41">
      <w:r>
        <w:separator/>
      </w:r>
    </w:p>
  </w:footnote>
  <w:footnote w:type="continuationSeparator" w:id="0">
    <w:p w14:paraId="4173670F" w14:textId="77777777" w:rsidR="00820F41" w:rsidRDefault="00820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FC062" w14:textId="77777777" w:rsidR="002F71C0" w:rsidRDefault="002F7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C8542" w14:textId="77777777" w:rsidR="00D75DA2" w:rsidRDefault="00A25EB0">
    <w:pPr>
      <w:pStyle w:val="Header"/>
      <w:rPr>
        <w:b/>
        <w:color w:val="006D68"/>
        <w:sz w:val="14"/>
        <w:szCs w:val="14"/>
      </w:rPr>
    </w:pPr>
    <w:r w:rsidRPr="00487A22">
      <w:rPr>
        <w:color w:val="006D68"/>
        <w:sz w:val="14"/>
        <w:szCs w:val="14"/>
      </w:rPr>
      <w:t>Office for Nuclear Regulation</w:t>
    </w:r>
  </w:p>
  <w:p w14:paraId="6780ECF2" w14:textId="77777777" w:rsidR="00D75DA2" w:rsidRDefault="00D75DA2">
    <w:pPr>
      <w:pStyle w:val="Header"/>
      <w:rPr>
        <w:b/>
        <w:color w:val="006D68"/>
        <w:sz w:val="14"/>
        <w:szCs w:val="14"/>
      </w:rPr>
    </w:pPr>
  </w:p>
  <w:p w14:paraId="580EF40D" w14:textId="77777777" w:rsidR="00D75DA2" w:rsidRPr="00AF4C0F" w:rsidRDefault="00491956" w:rsidP="007D545C">
    <w:pPr>
      <w:pStyle w:val="Header"/>
      <w:jc w:val="center"/>
      <w:rPr>
        <w:b/>
        <w:color w:val="006D68"/>
        <w:sz w:val="20"/>
        <w:szCs w:val="20"/>
      </w:rPr>
    </w:pPr>
    <w:r>
      <w:rPr>
        <w:b/>
        <w:color w:val="006D68"/>
        <w:sz w:val="20"/>
        <w:szCs w:val="20"/>
      </w:rPr>
      <w:t>OFFICIAL</w:t>
    </w:r>
  </w:p>
  <w:p w14:paraId="50B58564" w14:textId="77777777" w:rsidR="00D75DA2" w:rsidRDefault="00D75DA2" w:rsidP="007D545C">
    <w:pPr>
      <w:pStyle w:val="Header"/>
      <w:jc w:val="center"/>
      <w:rPr>
        <w:b/>
        <w:color w:val="006D68"/>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B13F" w14:textId="77777777" w:rsidR="00457068" w:rsidRDefault="00457068" w:rsidP="00457068">
    <w:pPr>
      <w:pStyle w:val="Header"/>
      <w:rPr>
        <w:b/>
        <w:sz w:val="20"/>
        <w:szCs w:val="20"/>
      </w:rPr>
    </w:pPr>
    <w:r>
      <w:rPr>
        <w:b/>
        <w:noProof/>
        <w:sz w:val="20"/>
        <w:szCs w:val="20"/>
        <w:lang w:eastAsia="en-GB"/>
      </w:rPr>
      <w:drawing>
        <wp:inline distT="0" distB="0" distL="0" distR="0" wp14:anchorId="6129AEAD" wp14:editId="171F03F5">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5194A1D7" w14:textId="2B245DC8"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proofErr w:type="gramStart"/>
    <w:r w:rsidR="00457068">
      <w:rPr>
        <w:b/>
        <w:sz w:val="20"/>
        <w:szCs w:val="20"/>
      </w:rPr>
      <w:t>:</w:t>
    </w:r>
    <w:r w:rsidR="002F71C0">
      <w:rPr>
        <w:b/>
        <w:sz w:val="20"/>
        <w:szCs w:val="20"/>
      </w:rPr>
      <w:t>T3371</w:t>
    </w:r>
    <w:proofErr w:type="gramEnd"/>
  </w:p>
  <w:p w14:paraId="4E119AC8"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0358E7"/>
    <w:multiLevelType w:val="hybridMultilevel"/>
    <w:tmpl w:val="6FFCB7D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5">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7">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20E22E7"/>
    <w:multiLevelType w:val="hybridMultilevel"/>
    <w:tmpl w:val="7494D69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1">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4">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6">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8">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0"/>
  </w:num>
  <w:num w:numId="3">
    <w:abstractNumId w:val="16"/>
  </w:num>
  <w:num w:numId="4">
    <w:abstractNumId w:val="0"/>
  </w:num>
  <w:num w:numId="5">
    <w:abstractNumId w:val="14"/>
  </w:num>
  <w:num w:numId="6">
    <w:abstractNumId w:val="28"/>
  </w:num>
  <w:num w:numId="7">
    <w:abstractNumId w:val="23"/>
  </w:num>
  <w:num w:numId="8">
    <w:abstractNumId w:val="20"/>
  </w:num>
  <w:num w:numId="9">
    <w:abstractNumId w:val="29"/>
  </w:num>
  <w:num w:numId="10">
    <w:abstractNumId w:val="2"/>
  </w:num>
  <w:num w:numId="11">
    <w:abstractNumId w:val="7"/>
  </w:num>
  <w:num w:numId="12">
    <w:abstractNumId w:val="10"/>
  </w:num>
  <w:num w:numId="13">
    <w:abstractNumId w:val="1"/>
  </w:num>
  <w:num w:numId="14">
    <w:abstractNumId w:val="21"/>
  </w:num>
  <w:num w:numId="15">
    <w:abstractNumId w:val="12"/>
  </w:num>
  <w:num w:numId="16">
    <w:abstractNumId w:val="26"/>
  </w:num>
  <w:num w:numId="17">
    <w:abstractNumId w:val="8"/>
  </w:num>
  <w:num w:numId="18">
    <w:abstractNumId w:val="17"/>
  </w:num>
  <w:num w:numId="19">
    <w:abstractNumId w:val="15"/>
  </w:num>
  <w:num w:numId="20">
    <w:abstractNumId w:val="4"/>
  </w:num>
  <w:num w:numId="21">
    <w:abstractNumId w:val="27"/>
  </w:num>
  <w:num w:numId="22">
    <w:abstractNumId w:val="5"/>
  </w:num>
  <w:num w:numId="23">
    <w:abstractNumId w:val="22"/>
  </w:num>
  <w:num w:numId="24">
    <w:abstractNumId w:val="24"/>
  </w:num>
  <w:num w:numId="25">
    <w:abstractNumId w:val="13"/>
  </w:num>
  <w:num w:numId="26">
    <w:abstractNumId w:val="6"/>
  </w:num>
  <w:num w:numId="27">
    <w:abstractNumId w:val="11"/>
  </w:num>
  <w:num w:numId="28">
    <w:abstractNumId w:val="25"/>
  </w:num>
  <w:num w:numId="29">
    <w:abstractNumId w:val="19"/>
  </w:num>
  <w:num w:numId="30">
    <w:abstractNumId w:val="26"/>
  </w:num>
  <w:num w:numId="31">
    <w:abstractNumId w:val="10"/>
  </w:num>
  <w:num w:numId="32">
    <w:abstractNumId w:val="3"/>
  </w:num>
  <w:num w:numId="33">
    <w:abstractNumId w:val="1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22AC3"/>
    <w:rsid w:val="00030D3C"/>
    <w:rsid w:val="000312D3"/>
    <w:rsid w:val="000375D1"/>
    <w:rsid w:val="000715BD"/>
    <w:rsid w:val="00096F71"/>
    <w:rsid w:val="000A469E"/>
    <w:rsid w:val="000B1830"/>
    <w:rsid w:val="000B4E40"/>
    <w:rsid w:val="000C0DF1"/>
    <w:rsid w:val="000D3F84"/>
    <w:rsid w:val="000D6244"/>
    <w:rsid w:val="00121C8F"/>
    <w:rsid w:val="00131ECC"/>
    <w:rsid w:val="00144CEA"/>
    <w:rsid w:val="001559A7"/>
    <w:rsid w:val="00164F4F"/>
    <w:rsid w:val="00177B3D"/>
    <w:rsid w:val="00193C9A"/>
    <w:rsid w:val="001A0DC8"/>
    <w:rsid w:val="001A58B1"/>
    <w:rsid w:val="001C3DB8"/>
    <w:rsid w:val="001D78A1"/>
    <w:rsid w:val="00200CB7"/>
    <w:rsid w:val="0021074A"/>
    <w:rsid w:val="00216018"/>
    <w:rsid w:val="00236868"/>
    <w:rsid w:val="00243762"/>
    <w:rsid w:val="00266FCB"/>
    <w:rsid w:val="0028011F"/>
    <w:rsid w:val="0028356A"/>
    <w:rsid w:val="002925BC"/>
    <w:rsid w:val="00297401"/>
    <w:rsid w:val="002C62C2"/>
    <w:rsid w:val="002F3BA5"/>
    <w:rsid w:val="002F71C0"/>
    <w:rsid w:val="003143C8"/>
    <w:rsid w:val="0031706E"/>
    <w:rsid w:val="00340062"/>
    <w:rsid w:val="003B4AA2"/>
    <w:rsid w:val="003D005E"/>
    <w:rsid w:val="003E2CA6"/>
    <w:rsid w:val="003E452E"/>
    <w:rsid w:val="00435B1D"/>
    <w:rsid w:val="0045309D"/>
    <w:rsid w:val="00457068"/>
    <w:rsid w:val="004750A2"/>
    <w:rsid w:val="00475C9D"/>
    <w:rsid w:val="00487A22"/>
    <w:rsid w:val="00491956"/>
    <w:rsid w:val="00493743"/>
    <w:rsid w:val="004A296C"/>
    <w:rsid w:val="004A7B1B"/>
    <w:rsid w:val="004C36D4"/>
    <w:rsid w:val="004F1D32"/>
    <w:rsid w:val="004F24BC"/>
    <w:rsid w:val="00505F6E"/>
    <w:rsid w:val="00511052"/>
    <w:rsid w:val="005322E6"/>
    <w:rsid w:val="005556C6"/>
    <w:rsid w:val="00562F2F"/>
    <w:rsid w:val="00566036"/>
    <w:rsid w:val="0057402E"/>
    <w:rsid w:val="005A1570"/>
    <w:rsid w:val="005A5A87"/>
    <w:rsid w:val="005A7FC6"/>
    <w:rsid w:val="005E3967"/>
    <w:rsid w:val="005F0722"/>
    <w:rsid w:val="00600D50"/>
    <w:rsid w:val="00604F23"/>
    <w:rsid w:val="00644CB8"/>
    <w:rsid w:val="0068287B"/>
    <w:rsid w:val="006A667F"/>
    <w:rsid w:val="006B2DA6"/>
    <w:rsid w:val="006B3DC4"/>
    <w:rsid w:val="006C0453"/>
    <w:rsid w:val="006C519A"/>
    <w:rsid w:val="006F1199"/>
    <w:rsid w:val="006F5420"/>
    <w:rsid w:val="00715C62"/>
    <w:rsid w:val="0072164C"/>
    <w:rsid w:val="007255B8"/>
    <w:rsid w:val="00726877"/>
    <w:rsid w:val="00730998"/>
    <w:rsid w:val="007B4EE0"/>
    <w:rsid w:val="007D545C"/>
    <w:rsid w:val="007F7246"/>
    <w:rsid w:val="008104CF"/>
    <w:rsid w:val="00820F41"/>
    <w:rsid w:val="00842FD6"/>
    <w:rsid w:val="00863CDC"/>
    <w:rsid w:val="00885F8A"/>
    <w:rsid w:val="00891423"/>
    <w:rsid w:val="008A7BDD"/>
    <w:rsid w:val="008D71E9"/>
    <w:rsid w:val="008E5820"/>
    <w:rsid w:val="008E65AD"/>
    <w:rsid w:val="008E67CB"/>
    <w:rsid w:val="0091041C"/>
    <w:rsid w:val="00932851"/>
    <w:rsid w:val="0096545C"/>
    <w:rsid w:val="009678DE"/>
    <w:rsid w:val="00971BA8"/>
    <w:rsid w:val="009765DB"/>
    <w:rsid w:val="00980F89"/>
    <w:rsid w:val="00987AA6"/>
    <w:rsid w:val="009962B1"/>
    <w:rsid w:val="009B5159"/>
    <w:rsid w:val="009D3CD0"/>
    <w:rsid w:val="009F1B6F"/>
    <w:rsid w:val="00A14024"/>
    <w:rsid w:val="00A25EB0"/>
    <w:rsid w:val="00A277E2"/>
    <w:rsid w:val="00A41FDA"/>
    <w:rsid w:val="00A442D1"/>
    <w:rsid w:val="00A62536"/>
    <w:rsid w:val="00AB2BB0"/>
    <w:rsid w:val="00AB7147"/>
    <w:rsid w:val="00AD5635"/>
    <w:rsid w:val="00AE199F"/>
    <w:rsid w:val="00AF4C0F"/>
    <w:rsid w:val="00B255B3"/>
    <w:rsid w:val="00B31995"/>
    <w:rsid w:val="00B43C54"/>
    <w:rsid w:val="00B504F7"/>
    <w:rsid w:val="00B54FBC"/>
    <w:rsid w:val="00B56CCE"/>
    <w:rsid w:val="00B642E6"/>
    <w:rsid w:val="00B81B18"/>
    <w:rsid w:val="00B8373C"/>
    <w:rsid w:val="00BB4F9E"/>
    <w:rsid w:val="00BC24ED"/>
    <w:rsid w:val="00BC5FC8"/>
    <w:rsid w:val="00C25583"/>
    <w:rsid w:val="00C75298"/>
    <w:rsid w:val="00C75A1C"/>
    <w:rsid w:val="00C853AE"/>
    <w:rsid w:val="00CA3B14"/>
    <w:rsid w:val="00CA710B"/>
    <w:rsid w:val="00CD7B5F"/>
    <w:rsid w:val="00CE5958"/>
    <w:rsid w:val="00CE6571"/>
    <w:rsid w:val="00D3061A"/>
    <w:rsid w:val="00D30DD5"/>
    <w:rsid w:val="00D448D6"/>
    <w:rsid w:val="00D55197"/>
    <w:rsid w:val="00D55FE7"/>
    <w:rsid w:val="00D570AA"/>
    <w:rsid w:val="00D75DA2"/>
    <w:rsid w:val="00D7747E"/>
    <w:rsid w:val="00DC6611"/>
    <w:rsid w:val="00DC6810"/>
    <w:rsid w:val="00DE4417"/>
    <w:rsid w:val="00DF2FCB"/>
    <w:rsid w:val="00DF3697"/>
    <w:rsid w:val="00E02BFC"/>
    <w:rsid w:val="00E043DA"/>
    <w:rsid w:val="00E121D1"/>
    <w:rsid w:val="00E12A39"/>
    <w:rsid w:val="00E300AB"/>
    <w:rsid w:val="00E32F3B"/>
    <w:rsid w:val="00E40ABA"/>
    <w:rsid w:val="00E47656"/>
    <w:rsid w:val="00E57F98"/>
    <w:rsid w:val="00E71B0C"/>
    <w:rsid w:val="00E87C8C"/>
    <w:rsid w:val="00E9478E"/>
    <w:rsid w:val="00E97293"/>
    <w:rsid w:val="00EA5EB4"/>
    <w:rsid w:val="00EC1819"/>
    <w:rsid w:val="00ED5F2B"/>
    <w:rsid w:val="00EE010E"/>
    <w:rsid w:val="00EF7BCC"/>
    <w:rsid w:val="00FC7810"/>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2C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ukhpr1000.co.uk/documents-library/step-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FAC1-F3D9-4F45-B48B-2699B6A8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9610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2018-12-07T10:53:00Z</cp:lastPrinted>
  <dcterms:created xsi:type="dcterms:W3CDTF">2019-03-21T13:27:00Z</dcterms:created>
  <dcterms:modified xsi:type="dcterms:W3CDTF">2019-03-21T13:27:00Z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