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263283ED" w:rsidR="00B327EC" w:rsidRPr="003B39B1" w:rsidRDefault="003B39B1" w:rsidP="00B327EC">
      <w:pPr>
        <w:widowControl w:val="0"/>
        <w:tabs>
          <w:tab w:val="center" w:pos="4513"/>
        </w:tabs>
        <w:spacing w:before="120" w:after="120"/>
        <w:jc w:val="center"/>
        <w:rPr>
          <w:b/>
          <w:bCs/>
          <w:sz w:val="36"/>
          <w:szCs w:val="36"/>
        </w:rPr>
      </w:pPr>
      <w:r w:rsidRPr="003B39B1">
        <w:rPr>
          <w:b/>
          <w:bCs/>
          <w:sz w:val="36"/>
          <w:szCs w:val="36"/>
        </w:rPr>
        <w:t>NATIONAL LEADERSHIP CENTRE (NLC)</w:t>
      </w:r>
    </w:p>
    <w:p w14:paraId="03503EB0" w14:textId="77777777" w:rsidR="00B327EC" w:rsidRPr="003B39B1" w:rsidRDefault="00B327EC" w:rsidP="00B327EC">
      <w:pPr>
        <w:widowControl w:val="0"/>
        <w:tabs>
          <w:tab w:val="center" w:pos="4513"/>
        </w:tabs>
        <w:spacing w:before="120" w:after="120"/>
        <w:jc w:val="center"/>
        <w:rPr>
          <w:b/>
          <w:bCs/>
          <w:sz w:val="36"/>
          <w:szCs w:val="36"/>
        </w:rPr>
      </w:pPr>
    </w:p>
    <w:p w14:paraId="38818A6E" w14:textId="77777777" w:rsidR="00B327EC" w:rsidRPr="003B39B1" w:rsidRDefault="00B327EC" w:rsidP="00B327EC">
      <w:pPr>
        <w:widowControl w:val="0"/>
        <w:tabs>
          <w:tab w:val="center" w:pos="4513"/>
        </w:tabs>
        <w:spacing w:before="120" w:after="120"/>
        <w:jc w:val="center"/>
        <w:rPr>
          <w:b/>
          <w:bCs/>
          <w:sz w:val="36"/>
          <w:szCs w:val="36"/>
        </w:rPr>
      </w:pPr>
      <w:r w:rsidRPr="003B39B1">
        <w:rPr>
          <w:b/>
          <w:bCs/>
          <w:sz w:val="36"/>
          <w:szCs w:val="36"/>
        </w:rPr>
        <w:t>- and -</w:t>
      </w:r>
    </w:p>
    <w:p w14:paraId="5CA8630C" w14:textId="77777777" w:rsidR="00B327EC" w:rsidRPr="003B39B1" w:rsidRDefault="00B327EC" w:rsidP="00B327EC">
      <w:pPr>
        <w:widowControl w:val="0"/>
        <w:tabs>
          <w:tab w:val="center" w:pos="4513"/>
        </w:tabs>
        <w:spacing w:before="120" w:after="120"/>
        <w:jc w:val="center"/>
        <w:rPr>
          <w:b/>
          <w:bCs/>
          <w:sz w:val="36"/>
          <w:szCs w:val="36"/>
        </w:rPr>
      </w:pPr>
    </w:p>
    <w:p w14:paraId="42EC9FF9" w14:textId="1A05630A" w:rsidR="00B327EC" w:rsidRPr="003B39B1" w:rsidRDefault="003B39B1" w:rsidP="00B327EC">
      <w:pPr>
        <w:widowControl w:val="0"/>
        <w:tabs>
          <w:tab w:val="center" w:pos="4513"/>
        </w:tabs>
        <w:spacing w:before="120" w:after="120"/>
        <w:jc w:val="center"/>
        <w:rPr>
          <w:bCs/>
          <w:sz w:val="36"/>
          <w:szCs w:val="36"/>
        </w:rPr>
      </w:pPr>
      <w:r w:rsidRPr="003B39B1">
        <w:rPr>
          <w:b/>
          <w:bCs/>
          <w:sz w:val="36"/>
          <w:szCs w:val="36"/>
        </w:rPr>
        <w:t>TBC AT CONTRACT AWARD</w:t>
      </w:r>
    </w:p>
    <w:p w14:paraId="0AC1DA6B" w14:textId="77777777" w:rsidR="00B327EC" w:rsidRPr="003B39B1" w:rsidRDefault="00B327EC" w:rsidP="00B327EC">
      <w:pPr>
        <w:widowControl w:val="0"/>
        <w:tabs>
          <w:tab w:val="center" w:pos="4513"/>
        </w:tabs>
        <w:spacing w:before="120" w:after="120"/>
        <w:jc w:val="center"/>
        <w:rPr>
          <w:b/>
          <w:bCs/>
          <w:sz w:val="36"/>
          <w:szCs w:val="36"/>
        </w:rPr>
      </w:pPr>
    </w:p>
    <w:p w14:paraId="49E4EEDF" w14:textId="3A964A5B" w:rsidR="00B327EC" w:rsidRPr="003B39B1" w:rsidRDefault="004B1AF8" w:rsidP="00B327EC">
      <w:pPr>
        <w:widowControl w:val="0"/>
        <w:tabs>
          <w:tab w:val="center" w:pos="4513"/>
        </w:tabs>
        <w:spacing w:before="120" w:after="120"/>
        <w:jc w:val="center"/>
        <w:rPr>
          <w:b/>
          <w:bCs/>
          <w:sz w:val="36"/>
          <w:szCs w:val="36"/>
        </w:rPr>
      </w:pPr>
      <w:r w:rsidRPr="003B39B1">
        <w:rPr>
          <w:b/>
          <w:bCs/>
          <w:sz w:val="36"/>
          <w:szCs w:val="36"/>
        </w:rPr>
        <w:t>ANNEXES</w:t>
      </w:r>
    </w:p>
    <w:p w14:paraId="6EACBD19" w14:textId="77777777" w:rsidR="00B327EC" w:rsidRPr="003B39B1" w:rsidRDefault="00B327EC" w:rsidP="00B327EC">
      <w:pPr>
        <w:widowControl w:val="0"/>
        <w:tabs>
          <w:tab w:val="left" w:pos="-720"/>
        </w:tabs>
        <w:spacing w:before="120" w:after="120"/>
        <w:jc w:val="center"/>
        <w:rPr>
          <w:b/>
          <w:bCs/>
          <w:sz w:val="36"/>
          <w:szCs w:val="36"/>
        </w:rPr>
      </w:pPr>
      <w:r w:rsidRPr="003B39B1">
        <w:rPr>
          <w:b/>
          <w:bCs/>
          <w:sz w:val="36"/>
          <w:szCs w:val="36"/>
        </w:rPr>
        <w:t>relating to</w:t>
      </w:r>
    </w:p>
    <w:p w14:paraId="0DA96CDA" w14:textId="77777777" w:rsidR="002C519F" w:rsidRPr="003B39B1" w:rsidRDefault="002C519F" w:rsidP="00B327EC">
      <w:pPr>
        <w:widowControl w:val="0"/>
        <w:tabs>
          <w:tab w:val="left" w:pos="-720"/>
        </w:tabs>
        <w:spacing w:before="120" w:after="120"/>
        <w:jc w:val="center"/>
        <w:rPr>
          <w:b/>
          <w:bCs/>
          <w:sz w:val="36"/>
          <w:szCs w:val="36"/>
        </w:rPr>
      </w:pPr>
    </w:p>
    <w:p w14:paraId="584C9CC2" w14:textId="5410557C" w:rsidR="00F42D71" w:rsidRPr="002C519F" w:rsidRDefault="003B39B1" w:rsidP="003B39B1">
      <w:pPr>
        <w:widowControl w:val="0"/>
        <w:tabs>
          <w:tab w:val="center" w:pos="4513"/>
        </w:tabs>
        <w:spacing w:before="120" w:after="120"/>
        <w:jc w:val="center"/>
        <w:rPr>
          <w:b/>
          <w:bCs/>
          <w:sz w:val="36"/>
          <w:szCs w:val="36"/>
        </w:rPr>
      </w:pPr>
      <w:r w:rsidRPr="003B39B1">
        <w:rPr>
          <w:b/>
          <w:bCs/>
          <w:sz w:val="36"/>
          <w:szCs w:val="36"/>
        </w:rPr>
        <w:t>THE PROVISION OF DESIGN</w:t>
      </w:r>
      <w:r w:rsidR="009A04BB">
        <w:rPr>
          <w:b/>
          <w:bCs/>
          <w:sz w:val="36"/>
          <w:szCs w:val="36"/>
        </w:rPr>
        <w:t>,</w:t>
      </w:r>
      <w:r w:rsidRPr="003B39B1">
        <w:rPr>
          <w:b/>
          <w:bCs/>
          <w:sz w:val="36"/>
          <w:szCs w:val="36"/>
        </w:rPr>
        <w:t xml:space="preserve"> DEVELOPMENT AND DELIVERY OF A DIVERSITY LEADERSHIP COURSE FOR THE NATIONAL LEADERSHIP CENTRE (NLC)</w:t>
      </w: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3CB43A0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AA272C">
          <w:rPr>
            <w:noProof/>
            <w:webHidden/>
          </w:rPr>
          <w:t>3</w:t>
        </w:r>
        <w:r w:rsidR="003537BB">
          <w:rPr>
            <w:noProof/>
            <w:webHidden/>
          </w:rPr>
          <w:fldChar w:fldCharType="end"/>
        </w:r>
      </w:hyperlink>
    </w:p>
    <w:p w14:paraId="0AA737F4" w14:textId="53CA1B9A" w:rsidR="003537BB" w:rsidRDefault="00D90B42">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AA272C">
          <w:rPr>
            <w:noProof/>
            <w:webHidden/>
          </w:rPr>
          <w:t>3</w:t>
        </w:r>
        <w:r w:rsidR="003537BB">
          <w:rPr>
            <w:noProof/>
            <w:webHidden/>
          </w:rPr>
          <w:fldChar w:fldCharType="end"/>
        </w:r>
      </w:hyperlink>
    </w:p>
    <w:p w14:paraId="4C1A2F88" w14:textId="32511DA4" w:rsidR="003537BB" w:rsidRDefault="00D90B42">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AA272C">
          <w:rPr>
            <w:noProof/>
            <w:webHidden/>
          </w:rPr>
          <w:t>4</w:t>
        </w:r>
        <w:r w:rsidR="003537BB">
          <w:rPr>
            <w:noProof/>
            <w:webHidden/>
          </w:rPr>
          <w:fldChar w:fldCharType="end"/>
        </w:r>
      </w:hyperlink>
    </w:p>
    <w:p w14:paraId="239E4E79" w14:textId="4CD2B46B" w:rsidR="003537BB" w:rsidRDefault="00D90B42">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AA272C">
          <w:rPr>
            <w:noProof/>
            <w:webHidden/>
          </w:rPr>
          <w:t>5</w:t>
        </w:r>
        <w:r w:rsidR="003537BB">
          <w:rPr>
            <w:noProof/>
            <w:webHidden/>
          </w:rPr>
          <w:fldChar w:fldCharType="end"/>
        </w:r>
      </w:hyperlink>
    </w:p>
    <w:p w14:paraId="0B35382D" w14:textId="0B8BBB64" w:rsidR="003537BB" w:rsidRDefault="00D90B42">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AA272C">
          <w:rPr>
            <w:noProof/>
            <w:webHidden/>
          </w:rPr>
          <w:t>5</w:t>
        </w:r>
        <w:r w:rsidR="003537BB">
          <w:rPr>
            <w:noProof/>
            <w:webHidden/>
          </w:rPr>
          <w:fldChar w:fldCharType="end"/>
        </w:r>
      </w:hyperlink>
    </w:p>
    <w:p w14:paraId="13B8BD04" w14:textId="1011E79D" w:rsidR="003537BB" w:rsidRDefault="00D90B42">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AA272C">
          <w:rPr>
            <w:noProof/>
            <w:webHidden/>
          </w:rPr>
          <w:t>5</w:t>
        </w:r>
        <w:r w:rsidR="003537BB">
          <w:rPr>
            <w:noProof/>
            <w:webHidden/>
          </w:rPr>
          <w:fldChar w:fldCharType="end"/>
        </w:r>
      </w:hyperlink>
    </w:p>
    <w:p w14:paraId="3137EB71" w14:textId="1A0013AE" w:rsidR="003537BB" w:rsidRDefault="00D90B42">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AA272C">
          <w:rPr>
            <w:noProof/>
            <w:webHidden/>
          </w:rPr>
          <w:t>6</w:t>
        </w:r>
        <w:r w:rsidR="003537BB">
          <w:rPr>
            <w:noProof/>
            <w:webHidden/>
          </w:rPr>
          <w:fldChar w:fldCharType="end"/>
        </w:r>
      </w:hyperlink>
    </w:p>
    <w:p w14:paraId="49500F3D" w14:textId="04FE1ACD" w:rsidR="003537BB" w:rsidRDefault="00D90B42">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AA272C">
          <w:rPr>
            <w:noProof/>
            <w:webHidden/>
          </w:rPr>
          <w:t>7</w:t>
        </w:r>
        <w:r w:rsidR="003537BB">
          <w:rPr>
            <w:noProof/>
            <w:webHidden/>
          </w:rPr>
          <w:fldChar w:fldCharType="end"/>
        </w:r>
      </w:hyperlink>
    </w:p>
    <w:p w14:paraId="1F65720D" w14:textId="439D3435" w:rsidR="003537BB" w:rsidRDefault="00D90B42">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AA272C">
          <w:rPr>
            <w:noProof/>
            <w:webHidden/>
          </w:rPr>
          <w:t>8</w:t>
        </w:r>
        <w:r w:rsidR="003537BB">
          <w:rPr>
            <w:noProof/>
            <w:webHidden/>
          </w:rPr>
          <w:fldChar w:fldCharType="end"/>
        </w:r>
      </w:hyperlink>
    </w:p>
    <w:p w14:paraId="11D51CDD" w14:textId="50CF206A" w:rsidR="003537BB" w:rsidRDefault="00D90B42">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AA272C">
          <w:rPr>
            <w:noProof/>
            <w:webHidden/>
          </w:rPr>
          <w:t>8</w:t>
        </w:r>
        <w:r w:rsidR="003537BB">
          <w:rPr>
            <w:noProof/>
            <w:webHidden/>
          </w:rPr>
          <w:fldChar w:fldCharType="end"/>
        </w:r>
      </w:hyperlink>
    </w:p>
    <w:p w14:paraId="37C11058" w14:textId="25CB1C31" w:rsidR="003537BB" w:rsidRDefault="00D90B42">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AA272C">
          <w:rPr>
            <w:noProof/>
            <w:webHidden/>
          </w:rPr>
          <w:t>9</w:t>
        </w:r>
        <w:r w:rsidR="003537BB">
          <w:rPr>
            <w:noProof/>
            <w:webHidden/>
          </w:rPr>
          <w:fldChar w:fldCharType="end"/>
        </w:r>
      </w:hyperlink>
    </w:p>
    <w:p w14:paraId="049CD371" w14:textId="49AD2DAA" w:rsidR="003537BB" w:rsidRDefault="00D90B42">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AA272C">
          <w:rPr>
            <w:noProof/>
            <w:webHidden/>
          </w:rPr>
          <w:t>9</w:t>
        </w:r>
        <w:r w:rsidR="003537BB">
          <w:rPr>
            <w:noProof/>
            <w:webHidden/>
          </w:rPr>
          <w:fldChar w:fldCharType="end"/>
        </w:r>
      </w:hyperlink>
    </w:p>
    <w:p w14:paraId="0F6856DE" w14:textId="21550601" w:rsidR="003537BB" w:rsidRDefault="00D90B42">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AA272C">
          <w:rPr>
            <w:noProof/>
            <w:webHidden/>
          </w:rPr>
          <w:t>10</w:t>
        </w:r>
        <w:r w:rsidR="003537BB">
          <w:rPr>
            <w:noProof/>
            <w:webHidden/>
          </w:rPr>
          <w:fldChar w:fldCharType="end"/>
        </w:r>
      </w:hyperlink>
    </w:p>
    <w:p w14:paraId="30D93AB2" w14:textId="05F9848B" w:rsidR="003537BB" w:rsidRDefault="00D90B42">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AA272C">
          <w:rPr>
            <w:noProof/>
            <w:webHidden/>
          </w:rPr>
          <w:t>11</w:t>
        </w:r>
        <w:r w:rsidR="003537BB">
          <w:rPr>
            <w:noProof/>
            <w:webHidden/>
          </w:rPr>
          <w:fldChar w:fldCharType="end"/>
        </w:r>
      </w:hyperlink>
    </w:p>
    <w:p w14:paraId="18AD9369" w14:textId="328CAB8E" w:rsidR="003537BB" w:rsidRDefault="00D90B42">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AA272C">
          <w:rPr>
            <w:noProof/>
            <w:webHidden/>
          </w:rPr>
          <w:t>11</w:t>
        </w:r>
        <w:r w:rsidR="003537BB">
          <w:rPr>
            <w:noProof/>
            <w:webHidden/>
          </w:rPr>
          <w:fldChar w:fldCharType="end"/>
        </w:r>
      </w:hyperlink>
    </w:p>
    <w:p w14:paraId="55FCE754" w14:textId="23A97644" w:rsidR="003537BB" w:rsidRDefault="00D90B42">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AA272C">
          <w:rPr>
            <w:noProof/>
            <w:webHidden/>
          </w:rPr>
          <w:t>12</w:t>
        </w:r>
        <w:r w:rsidR="003537BB">
          <w:rPr>
            <w:noProof/>
            <w:webHidden/>
          </w:rPr>
          <w:fldChar w:fldCharType="end"/>
        </w:r>
      </w:hyperlink>
    </w:p>
    <w:p w14:paraId="62436698" w14:textId="5E8EB201" w:rsidR="003537BB" w:rsidRDefault="00D90B42">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AA272C">
          <w:rPr>
            <w:noProof/>
            <w:webHidden/>
          </w:rPr>
          <w:t>12</w:t>
        </w:r>
        <w:r w:rsidR="003537BB">
          <w:rPr>
            <w:noProof/>
            <w:webHidden/>
          </w:rPr>
          <w:fldChar w:fldCharType="end"/>
        </w:r>
      </w:hyperlink>
    </w:p>
    <w:p w14:paraId="4EC3B055" w14:textId="67F4AF87" w:rsidR="003537BB" w:rsidRDefault="00D90B42">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AA272C">
          <w:rPr>
            <w:noProof/>
            <w:webHidden/>
          </w:rPr>
          <w:t>13</w:t>
        </w:r>
        <w:r w:rsidR="003537BB">
          <w:rPr>
            <w:noProof/>
            <w:webHidden/>
          </w:rPr>
          <w:fldChar w:fldCharType="end"/>
        </w:r>
      </w:hyperlink>
    </w:p>
    <w:p w14:paraId="445081EC" w14:textId="33D44D59" w:rsidR="003537BB" w:rsidRDefault="00D90B42">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AA272C">
          <w:rPr>
            <w:noProof/>
            <w:webHidden/>
          </w:rPr>
          <w:t>13</w:t>
        </w:r>
        <w:r w:rsidR="003537BB">
          <w:rPr>
            <w:noProof/>
            <w:webHidden/>
          </w:rPr>
          <w:fldChar w:fldCharType="end"/>
        </w:r>
      </w:hyperlink>
    </w:p>
    <w:p w14:paraId="5F951ACA" w14:textId="456F5573" w:rsidR="003537BB" w:rsidRDefault="00D90B42">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AA272C">
          <w:rPr>
            <w:noProof/>
            <w:webHidden/>
          </w:rPr>
          <w:t>14</w:t>
        </w:r>
        <w:r w:rsidR="003537BB">
          <w:rPr>
            <w:noProof/>
            <w:webHidden/>
          </w:rPr>
          <w:fldChar w:fldCharType="end"/>
        </w:r>
      </w:hyperlink>
    </w:p>
    <w:p w14:paraId="7631B256" w14:textId="26CE5D0B" w:rsidR="003537BB" w:rsidRDefault="00D90B42">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AA272C">
          <w:rPr>
            <w:noProof/>
            <w:webHidden/>
          </w:rPr>
          <w:t>14</w:t>
        </w:r>
        <w:r w:rsidR="003537BB">
          <w:rPr>
            <w:noProof/>
            <w:webHidden/>
          </w:rPr>
          <w:fldChar w:fldCharType="end"/>
        </w:r>
      </w:hyperlink>
    </w:p>
    <w:p w14:paraId="6B939037" w14:textId="30247E66" w:rsidR="003537BB" w:rsidRDefault="00D90B42">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AA272C">
          <w:rPr>
            <w:noProof/>
            <w:webHidden/>
          </w:rPr>
          <w:t>15</w:t>
        </w:r>
        <w:r w:rsidR="003537BB">
          <w:rPr>
            <w:noProof/>
            <w:webHidden/>
          </w:rPr>
          <w:fldChar w:fldCharType="end"/>
        </w:r>
      </w:hyperlink>
    </w:p>
    <w:p w14:paraId="17107B4E" w14:textId="030C2E1F" w:rsidR="003537BB" w:rsidRDefault="00D90B42">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AA272C">
          <w:rPr>
            <w:noProof/>
            <w:webHidden/>
          </w:rPr>
          <w:t>15</w:t>
        </w:r>
        <w:r w:rsidR="003537BB">
          <w:rPr>
            <w:noProof/>
            <w:webHidden/>
          </w:rPr>
          <w:fldChar w:fldCharType="end"/>
        </w:r>
      </w:hyperlink>
    </w:p>
    <w:p w14:paraId="6E571369" w14:textId="753B7CE7" w:rsidR="003537BB" w:rsidRDefault="00D90B42">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AA272C">
          <w:rPr>
            <w:noProof/>
            <w:webHidden/>
          </w:rPr>
          <w:t>16</w:t>
        </w:r>
        <w:r w:rsidR="003537BB">
          <w:rPr>
            <w:noProof/>
            <w:webHidden/>
          </w:rPr>
          <w:fldChar w:fldCharType="end"/>
        </w:r>
      </w:hyperlink>
    </w:p>
    <w:p w14:paraId="1D908634" w14:textId="7E802AEB" w:rsidR="003537BB" w:rsidRDefault="00D90B42">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AA272C">
          <w:rPr>
            <w:noProof/>
            <w:webHidden/>
          </w:rPr>
          <w:t>17</w:t>
        </w:r>
        <w:r w:rsidR="003537BB">
          <w:rPr>
            <w:noProof/>
            <w:webHidden/>
          </w:rPr>
          <w:fldChar w:fldCharType="end"/>
        </w:r>
      </w:hyperlink>
    </w:p>
    <w:p w14:paraId="4C793176" w14:textId="16284EA0" w:rsidR="003537BB" w:rsidRDefault="00D90B42">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AA272C">
          <w:rPr>
            <w:noProof/>
            <w:webHidden/>
          </w:rPr>
          <w:t>18</w:t>
        </w:r>
        <w:r w:rsidR="003537BB">
          <w:rPr>
            <w:noProof/>
            <w:webHidden/>
          </w:rPr>
          <w:fldChar w:fldCharType="end"/>
        </w:r>
      </w:hyperlink>
    </w:p>
    <w:p w14:paraId="606B5B06" w14:textId="6F530E1A" w:rsidR="003537BB" w:rsidRDefault="00D90B42">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AA272C">
          <w:rPr>
            <w:noProof/>
            <w:webHidden/>
          </w:rPr>
          <w:t>19</w:t>
        </w:r>
        <w:r w:rsidR="003537BB">
          <w:rPr>
            <w:noProof/>
            <w:webHidden/>
          </w:rPr>
          <w:fldChar w:fldCharType="end"/>
        </w:r>
      </w:hyperlink>
    </w:p>
    <w:p w14:paraId="118FE93F" w14:textId="441FB3B9" w:rsidR="003537BB" w:rsidRDefault="00D90B42">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AA272C">
          <w:rPr>
            <w:noProof/>
            <w:webHidden/>
          </w:rPr>
          <w:t>20</w:t>
        </w:r>
        <w:r w:rsidR="003537BB">
          <w:rPr>
            <w:noProof/>
            <w:webHidden/>
          </w:rPr>
          <w:fldChar w:fldCharType="end"/>
        </w:r>
      </w:hyperlink>
    </w:p>
    <w:p w14:paraId="58F3D739" w14:textId="173618D4" w:rsidR="003537BB" w:rsidRDefault="00D90B42">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AA272C">
          <w:rPr>
            <w:noProof/>
            <w:webHidden/>
          </w:rPr>
          <w:t>29</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5C81E94C" w:rsidR="006E4A65" w:rsidRPr="006E4A65" w:rsidRDefault="000226A8" w:rsidP="000226A8">
            <w:pPr>
              <w:widowControl w:val="0"/>
              <w:spacing w:after="120" w:line="240" w:lineRule="atLeast"/>
              <w:jc w:val="both"/>
              <w:rPr>
                <w:rFonts w:cs="Arial"/>
                <w:szCs w:val="22"/>
              </w:rPr>
            </w:pPr>
            <w:r w:rsidRPr="000226A8">
              <w:rPr>
                <w:rFonts w:cs="Arial"/>
                <w:szCs w:val="22"/>
              </w:rPr>
              <w:t>means the period from the Start Date of the Agreement set out in the Award Letter to the Expiry Date or terminated in accordance with the terms and conditions of the Agreement;</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E33C8F" w:rsidRPr="003B2E34">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lastRenderedPageBreak/>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0057E601" w:rsidR="006E4A65" w:rsidRPr="006E4A65" w:rsidRDefault="00D90B42"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D90B42">
        <w:rPr>
          <w:rFonts w:cs="Arial"/>
          <w:b w:val="0"/>
          <w:u w:val="none"/>
        </w:rPr>
        <w:t>The Agreement shall take effect on the Start Date and shall expire on the Expiry Date, unless terminated in accordance with the terms and conditions of the Agreement</w:t>
      </w:r>
      <w:r>
        <w:rPr>
          <w:rFonts w:cs="Arial"/>
          <w:b w:val="0"/>
          <w:u w:val="none"/>
        </w:rPr>
        <w:t>.</w:t>
      </w:r>
      <w:bookmarkStart w:id="10" w:name="_GoBack"/>
      <w:bookmarkEnd w:id="10"/>
    </w:p>
    <w:p w14:paraId="65F0CDE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4"/>
      <w:r w:rsidRPr="006E4A65">
        <w:rPr>
          <w:rFonts w:cs="Arial"/>
          <w:szCs w:val="22"/>
          <w:u w:val="none"/>
        </w:rPr>
        <w:t>Charges, Payment and Recovery of Sums Due</w:t>
      </w:r>
      <w:bookmarkEnd w:id="11"/>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2" w:name="_Toc444688605"/>
      <w:r w:rsidRPr="006E4A65">
        <w:rPr>
          <w:rFonts w:cs="Arial"/>
          <w:szCs w:val="22"/>
          <w:u w:val="none"/>
        </w:rPr>
        <w:t>Premises and equipment</w:t>
      </w:r>
      <w:bookmarkEnd w:id="12"/>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3"/>
      <w:r w:rsidRPr="006E4A65">
        <w:rPr>
          <w:rFonts w:cs="Arial"/>
          <w:b w:val="0"/>
          <w:u w:val="none"/>
        </w:rPr>
        <w:t xml:space="preserve">  </w:t>
      </w:r>
    </w:p>
    <w:p w14:paraId="3E325ED0" w14:textId="67B99E8B"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w:t>
      </w:r>
      <w:r w:rsidR="003B2E34">
        <w:rPr>
          <w:rFonts w:cs="Arial"/>
          <w:b w:val="0"/>
          <w:u w:val="none"/>
        </w:rPr>
        <w:t xml:space="preserve">lean, safe and tidy condition. </w:t>
      </w:r>
      <w:r w:rsidRPr="006E4A65">
        <w:rPr>
          <w:rFonts w:cs="Arial"/>
          <w:b w:val="0"/>
          <w:u w:val="none"/>
        </w:rPr>
        <w:t>The Supplier shall be solely responsible for making good any damage to the Customer’s premises or any objects contained on the Customer’s premises which is caused by the Supplier or any Staff, other than fair wear and tear.</w:t>
      </w:r>
      <w:bookmarkEnd w:id="14"/>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5"/>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6"/>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7" w:name="_Ref377050486"/>
      <w:bookmarkStart w:id="18" w:name="_Toc444688606"/>
      <w:r w:rsidRPr="006E4A65">
        <w:rPr>
          <w:rFonts w:cs="Arial"/>
          <w:szCs w:val="22"/>
          <w:u w:val="none"/>
        </w:rPr>
        <w:t>Staff and Key Personnel</w:t>
      </w:r>
      <w:bookmarkEnd w:id="17"/>
      <w:bookmarkEnd w:id="18"/>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9"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0" w:name="_Ref377050375"/>
      <w:bookmarkEnd w:id="19"/>
      <w:r w:rsidRPr="006E4A65">
        <w:rPr>
          <w:rFonts w:cs="Arial"/>
          <w:b w:val="0"/>
          <w:u w:val="none"/>
        </w:rPr>
        <w:t>The Supplier shall:</w:t>
      </w:r>
      <w:bookmarkEnd w:id="20"/>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Toc444688607"/>
      <w:r w:rsidRPr="006E4A65">
        <w:rPr>
          <w:rFonts w:cs="Arial"/>
          <w:szCs w:val="22"/>
          <w:u w:val="none"/>
        </w:rPr>
        <w:lastRenderedPageBreak/>
        <w:t>Assignment and sub-contracting</w:t>
      </w:r>
      <w:bookmarkEnd w:id="21"/>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2" w:name="_Ref377050494"/>
      <w:bookmarkStart w:id="23" w:name="_Toc444688608"/>
      <w:r w:rsidRPr="006E4A65">
        <w:rPr>
          <w:rFonts w:cs="Arial"/>
          <w:szCs w:val="22"/>
          <w:u w:val="none"/>
        </w:rPr>
        <w:t>Intellectual Property Rights</w:t>
      </w:r>
      <w:bookmarkEnd w:id="22"/>
      <w:bookmarkEnd w:id="23"/>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4"/>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59607763"/>
      <w:r w:rsidRPr="006E4A65">
        <w:rPr>
          <w:rFonts w:cs="Arial"/>
          <w:b w:val="0"/>
          <w:u w:val="none"/>
        </w:rPr>
        <w:lastRenderedPageBreak/>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5"/>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6" w:name="_Toc444688609"/>
      <w:bookmarkStart w:id="27" w:name="_Ref243716101"/>
      <w:r w:rsidRPr="006E4A65">
        <w:rPr>
          <w:rFonts w:cs="Arial"/>
          <w:szCs w:val="22"/>
          <w:u w:val="none"/>
        </w:rPr>
        <w:t>Governance and Records</w:t>
      </w:r>
      <w:bookmarkEnd w:id="26"/>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8" w:name="_DV_M163"/>
      <w:bookmarkStart w:id="29" w:name="_DV_M164"/>
      <w:bookmarkStart w:id="30" w:name="_DV_M974"/>
      <w:bookmarkEnd w:id="28"/>
      <w:bookmarkEnd w:id="29"/>
      <w:bookmarkEnd w:id="30"/>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1"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1"/>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2" w:name="_Ref377050387"/>
      <w:bookmarkStart w:id="33" w:name="_Toc444688610"/>
      <w:r w:rsidRPr="006E4A65">
        <w:rPr>
          <w:rFonts w:cs="Arial"/>
          <w:szCs w:val="22"/>
          <w:u w:val="none"/>
        </w:rPr>
        <w:t>Confidentiality</w:t>
      </w:r>
      <w:bookmarkEnd w:id="27"/>
      <w:r w:rsidRPr="006E4A65">
        <w:rPr>
          <w:rFonts w:cs="Arial"/>
          <w:szCs w:val="22"/>
          <w:u w:val="none"/>
        </w:rPr>
        <w:t>, Transparency and Publicity</w:t>
      </w:r>
      <w:bookmarkEnd w:id="32"/>
      <w:bookmarkEnd w:id="33"/>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4"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4"/>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5"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5"/>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6"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6"/>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7"/>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8"/>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9" w:name="_Ref261004389"/>
      <w:bookmarkStart w:id="40" w:name="_Toc444688611"/>
      <w:r w:rsidRPr="006E4A65">
        <w:rPr>
          <w:rFonts w:cs="Arial"/>
          <w:szCs w:val="22"/>
          <w:u w:val="none"/>
        </w:rPr>
        <w:t>Freedom of Information</w:t>
      </w:r>
      <w:bookmarkEnd w:id="39"/>
      <w:bookmarkEnd w:id="40"/>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w:t>
      </w:r>
      <w:r w:rsidRPr="006E4A65">
        <w:rPr>
          <w:rFonts w:cs="Arial"/>
          <w:b w:val="0"/>
          <w:u w:val="none"/>
        </w:rPr>
        <w:lastRenderedPageBreak/>
        <w:t xml:space="preserve">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1" w:name="_Ref377050406"/>
      <w:bookmarkStart w:id="42" w:name="_Toc444688612"/>
      <w:bookmarkStart w:id="43" w:name="_Ref260838253"/>
      <w:r w:rsidRPr="006E4A65">
        <w:rPr>
          <w:rFonts w:cs="Arial"/>
          <w:szCs w:val="22"/>
          <w:u w:val="none"/>
        </w:rPr>
        <w:t>Protection of Personal Data and Security of Data</w:t>
      </w:r>
      <w:bookmarkEnd w:id="41"/>
      <w:bookmarkEnd w:id="42"/>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4"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3"/>
      <w:bookmarkEnd w:id="44"/>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5"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5"/>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6" w:name="_Ref377050536"/>
      <w:bookmarkStart w:id="47" w:name="_Toc444688613"/>
      <w:r w:rsidRPr="006E4A65">
        <w:rPr>
          <w:rFonts w:cs="Arial"/>
          <w:szCs w:val="22"/>
          <w:u w:val="none"/>
        </w:rPr>
        <w:t>Liability</w:t>
      </w:r>
      <w:bookmarkEnd w:id="46"/>
      <w:bookmarkEnd w:id="47"/>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8"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8"/>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9"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9"/>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0"/>
      <w:r w:rsidRPr="006E4A65">
        <w:rPr>
          <w:rFonts w:cs="Arial"/>
          <w:b w:val="0"/>
          <w:u w:val="none"/>
        </w:rPr>
        <w:t>Nothing in the Agreement shall be construed to limit or exclude either Party's liability for:</w:t>
      </w:r>
      <w:bookmarkEnd w:id="50"/>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1"/>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2" w:name="_Ref360044784"/>
      <w:bookmarkStart w:id="53" w:name="_Toc444688614"/>
      <w:r w:rsidRPr="006E4A65">
        <w:rPr>
          <w:rFonts w:cs="Arial"/>
          <w:szCs w:val="22"/>
          <w:u w:val="none"/>
        </w:rPr>
        <w:t>Force Majeure</w:t>
      </w:r>
      <w:bookmarkEnd w:id="52"/>
      <w:bookmarkEnd w:id="53"/>
    </w:p>
    <w:p w14:paraId="5B182549" w14:textId="77777777" w:rsidR="006E4A65" w:rsidRPr="006E4A65" w:rsidRDefault="006E4A65" w:rsidP="003B2E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4" w:name="_Ref359655944"/>
      <w:bookmarkStart w:id="55" w:name="_Toc444688615"/>
      <w:bookmarkStart w:id="56" w:name="_Ref245529290"/>
      <w:r w:rsidRPr="006E4A65">
        <w:rPr>
          <w:rFonts w:cs="Arial"/>
          <w:szCs w:val="22"/>
          <w:u w:val="none"/>
        </w:rPr>
        <w:t>Termination</w:t>
      </w:r>
      <w:bookmarkEnd w:id="54"/>
      <w:bookmarkEnd w:id="55"/>
    </w:p>
    <w:bookmarkEnd w:id="56"/>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859809"/>
      <w:r w:rsidRPr="006E4A65">
        <w:rPr>
          <w:rFonts w:cs="Arial"/>
          <w:sz w:val="22"/>
          <w:szCs w:val="22"/>
        </w:rPr>
        <w:t>undergoes a change of control within the meaning of section 416 of the Income and Corporation Taxes Act 1988;</w:t>
      </w:r>
      <w:bookmarkEnd w:id="58"/>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7"/>
      <w:bookmarkEnd w:id="59"/>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0"/>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110965"/>
      <w:r w:rsidRPr="006E4A65">
        <w:rPr>
          <w:rFonts w:cs="Arial"/>
          <w:b w:val="0"/>
          <w:u w:val="none"/>
        </w:rPr>
        <w:t>The Supplier may terminate the Agreement by written notice to the Customer if the Customer has not paid any undisputed amounts within 90 days of them falling due.</w:t>
      </w:r>
      <w:bookmarkEnd w:id="61"/>
      <w:bookmarkEnd w:id="62"/>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w:t>
      </w:r>
      <w:r w:rsidRPr="006E4A65">
        <w:rPr>
          <w:rFonts w:cs="Arial"/>
          <w:b w:val="0"/>
          <w:u w:val="none"/>
        </w:rPr>
        <w:lastRenderedPageBreak/>
        <w:t xml:space="preserve">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050546"/>
      <w:r w:rsidRPr="006E4A65">
        <w:rPr>
          <w:rFonts w:cs="Arial"/>
          <w:b w:val="0"/>
          <w:u w:val="none"/>
        </w:rPr>
        <w:t>Upon termination or expiry of the Agreement, the Supplier shall:</w:t>
      </w:r>
      <w:bookmarkEnd w:id="63"/>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4" w:name="_Ref377050416"/>
      <w:bookmarkStart w:id="65" w:name="_Toc444688616"/>
      <w:r w:rsidRPr="006E4A65">
        <w:rPr>
          <w:rFonts w:cs="Arial"/>
          <w:szCs w:val="22"/>
          <w:u w:val="none"/>
        </w:rPr>
        <w:t>Compliance</w:t>
      </w:r>
      <w:bookmarkEnd w:id="64"/>
      <w:bookmarkEnd w:id="65"/>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6" w:name="_Ref261013166"/>
      <w:r w:rsidRPr="006E4A65">
        <w:rPr>
          <w:rFonts w:cs="Arial"/>
          <w:b w:val="0"/>
          <w:u w:val="none"/>
        </w:rPr>
        <w:t xml:space="preserve">The Supplier </w:t>
      </w:r>
      <w:bookmarkEnd w:id="66"/>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7"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7"/>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8" w:name="_Ref377050556"/>
      <w:r w:rsidRPr="006E4A65">
        <w:rPr>
          <w:rFonts w:cs="Arial"/>
          <w:b w:val="0"/>
          <w:u w:val="none"/>
        </w:rPr>
        <w:t>The Supplier shall supply the Services in accordance with the Customer’s environmental policy as provided to the Supplier from time to time.</w:t>
      </w:r>
      <w:bookmarkEnd w:id="68"/>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9" w:name="_Toc444688617"/>
      <w:r w:rsidRPr="006E4A65">
        <w:rPr>
          <w:rFonts w:cs="Arial"/>
          <w:szCs w:val="22"/>
          <w:u w:val="none"/>
        </w:rPr>
        <w:t>Prevention of Fraud and Corruption</w:t>
      </w:r>
      <w:bookmarkEnd w:id="69"/>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0" w:name="_Ref359607864"/>
      <w:bookmarkStart w:id="71"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0"/>
    </w:p>
    <w:bookmarkEnd w:id="71"/>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2"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w:t>
      </w:r>
      <w:r w:rsidRPr="006E4A65">
        <w:rPr>
          <w:rFonts w:cs="Arial"/>
          <w:b w:val="0"/>
          <w:u w:val="none"/>
        </w:rPr>
        <w:lastRenderedPageBreak/>
        <w:t>in relation to the Agreement or any other contract with the Crown (including the Customer) the Customer may:</w:t>
      </w:r>
      <w:bookmarkEnd w:id="72"/>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3" w:name="a324896"/>
      <w:bookmarkStart w:id="74" w:name="a754740"/>
      <w:bookmarkStart w:id="75" w:name="a771580"/>
      <w:bookmarkStart w:id="76" w:name="d4695e134"/>
      <w:bookmarkStart w:id="77" w:name="a688721"/>
      <w:bookmarkStart w:id="78" w:name="a797188"/>
      <w:bookmarkStart w:id="79" w:name="a424610"/>
      <w:bookmarkStart w:id="80" w:name="a247073"/>
      <w:bookmarkStart w:id="81" w:name="a57863"/>
      <w:bookmarkStart w:id="82" w:name="d4695e160"/>
      <w:bookmarkStart w:id="83" w:name="a836145"/>
      <w:bookmarkStart w:id="84" w:name="a1017728"/>
      <w:bookmarkStart w:id="85" w:name="d4695e202"/>
      <w:bookmarkStart w:id="86" w:name="a555840"/>
      <w:bookmarkStart w:id="87" w:name="d4695e232"/>
      <w:bookmarkStart w:id="88" w:name="a825464"/>
      <w:bookmarkStart w:id="89" w:name="a1049772"/>
      <w:bookmarkStart w:id="90" w:name="a111270"/>
      <w:bookmarkStart w:id="91" w:name="a395620"/>
      <w:bookmarkStart w:id="92" w:name="a107224"/>
      <w:bookmarkStart w:id="93" w:name="a673334"/>
      <w:bookmarkStart w:id="94" w:name="a975002"/>
      <w:bookmarkStart w:id="95" w:name="a207401"/>
      <w:bookmarkStart w:id="96" w:name="_Ref359607573"/>
      <w:bookmarkStart w:id="97" w:name="_Toc44468861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6E4A65">
        <w:rPr>
          <w:rFonts w:cs="Arial"/>
          <w:szCs w:val="22"/>
          <w:u w:val="none"/>
        </w:rPr>
        <w:t>Dispute Resolution</w:t>
      </w:r>
      <w:bookmarkEnd w:id="96"/>
      <w:bookmarkEnd w:id="97"/>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8"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8"/>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9" w:name="_Toc444688619"/>
      <w:r w:rsidRPr="006E4A65">
        <w:rPr>
          <w:rFonts w:cs="Arial"/>
          <w:szCs w:val="22"/>
          <w:u w:val="none"/>
        </w:rPr>
        <w:t>General</w:t>
      </w:r>
      <w:bookmarkEnd w:id="99"/>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w:t>
      </w:r>
      <w:r w:rsidRPr="006E4A65">
        <w:rPr>
          <w:rFonts w:cs="Arial"/>
          <w:b w:val="0"/>
          <w:u w:val="none"/>
        </w:rPr>
        <w:lastRenderedPageBreak/>
        <w:t xml:space="preserve">represent that it has, any </w:t>
      </w:r>
      <w:r w:rsidR="000C212E">
        <w:rPr>
          <w:rFonts w:cs="Arial"/>
          <w:b w:val="0"/>
          <w:u w:val="none"/>
        </w:rPr>
        <w:t>Customer</w:t>
      </w:r>
      <w:r w:rsidRPr="006E4A65">
        <w:rPr>
          <w:rFonts w:cs="Arial"/>
          <w:b w:val="0"/>
          <w:u w:val="none"/>
        </w:rPr>
        <w:t xml:space="preserve"> to make any commitments on the other Party’s 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0"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0"/>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1" w:name="_Toc444688620"/>
      <w:r w:rsidRPr="006E4A65">
        <w:rPr>
          <w:rFonts w:cs="Arial"/>
          <w:szCs w:val="22"/>
          <w:u w:val="none"/>
        </w:rPr>
        <w:t>Notices</w:t>
      </w:r>
      <w:bookmarkEnd w:id="101"/>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2"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2"/>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3"/>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4"/>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5" w:name="_Toc444688621"/>
      <w:r w:rsidRPr="006E4A65">
        <w:rPr>
          <w:rFonts w:cs="Arial"/>
          <w:szCs w:val="22"/>
          <w:u w:val="none"/>
        </w:rPr>
        <w:t>Governing Law and Jurisdiction</w:t>
      </w:r>
      <w:bookmarkEnd w:id="105"/>
    </w:p>
    <w:p w14:paraId="6BDA505C" w14:textId="77777777" w:rsidR="006E4A65" w:rsidRPr="006E4A65" w:rsidRDefault="006E4A65" w:rsidP="003B2E34">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44688622"/>
      <w:r w:rsidRPr="001167A3">
        <w:rPr>
          <w:rFonts w:eastAsia="Times New Roman"/>
          <w:b/>
          <w:szCs w:val="22"/>
          <w:lang w:eastAsia="en-US"/>
        </w:rPr>
        <w:t>ANNEX 2 – PRICE SCHEDULE</w:t>
      </w:r>
      <w:bookmarkEnd w:id="106"/>
    </w:p>
    <w:p w14:paraId="60F3E548" w14:textId="3263F5AA" w:rsidR="007D5D50" w:rsidRPr="00913679" w:rsidRDefault="003B2E34" w:rsidP="00913679">
      <w:pPr>
        <w:pStyle w:val="ScheduleLevel1"/>
        <w:numPr>
          <w:ilvl w:val="0"/>
          <w:numId w:val="0"/>
        </w:numPr>
        <w:spacing w:after="120"/>
        <w:jc w:val="center"/>
        <w:rPr>
          <w:rFonts w:cs="Arial"/>
          <w:b/>
          <w:szCs w:val="22"/>
        </w:rPr>
      </w:pPr>
      <w:r w:rsidRPr="003B2E34">
        <w:rPr>
          <w:rFonts w:cs="Arial"/>
          <w:b/>
          <w:szCs w:val="22"/>
        </w:rPr>
        <w:t>TBC AT CONTRACT AWARD</w:t>
      </w:r>
    </w:p>
    <w:p w14:paraId="07AFED0D" w14:textId="77777777" w:rsidR="00A649DF" w:rsidRPr="00913679" w:rsidRDefault="00A649DF">
      <w:pPr>
        <w:rPr>
          <w:rFonts w:eastAsia="Times New Roman" w:cs="Arial"/>
          <w:b/>
          <w:szCs w:val="22"/>
          <w:lang w:eastAsia="en-US"/>
        </w:rPr>
      </w:pPr>
      <w:r w:rsidRPr="00913679">
        <w:rPr>
          <w:rFonts w:cs="Arial"/>
          <w:b/>
          <w:szCs w:val="22"/>
        </w:rPr>
        <w:br w:type="page"/>
      </w:r>
    </w:p>
    <w:p w14:paraId="0325C2CD" w14:textId="78E2A7A8"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3"/>
      <w:r w:rsidRPr="001167A3">
        <w:rPr>
          <w:rFonts w:eastAsia="Times New Roman"/>
          <w:b/>
          <w:szCs w:val="22"/>
          <w:lang w:eastAsia="en-US"/>
        </w:rPr>
        <w:lastRenderedPageBreak/>
        <w:t>ANNEX 3 – STATEMENT OF REQUIREMENT</w:t>
      </w:r>
      <w:bookmarkEnd w:id="107"/>
      <w:r w:rsidR="00E33C8F">
        <w:rPr>
          <w:rFonts w:eastAsia="Times New Roman"/>
          <w:b/>
          <w:szCs w:val="22"/>
          <w:lang w:eastAsia="en-US"/>
        </w:rPr>
        <w:t>S</w:t>
      </w:r>
    </w:p>
    <w:p w14:paraId="5AAED2FE" w14:textId="0739D149" w:rsidR="00A649DF" w:rsidRPr="00336839" w:rsidRDefault="003B2E34" w:rsidP="00174DC0">
      <w:pPr>
        <w:pStyle w:val="ScheduleLevel1"/>
        <w:numPr>
          <w:ilvl w:val="0"/>
          <w:numId w:val="0"/>
        </w:numPr>
        <w:spacing w:after="120"/>
        <w:jc w:val="center"/>
        <w:rPr>
          <w:rFonts w:cs="Arial"/>
          <w:b/>
          <w:szCs w:val="22"/>
        </w:rPr>
      </w:pPr>
      <w:r w:rsidRPr="003B2E34">
        <w:rPr>
          <w:rFonts w:cs="Arial"/>
          <w:b/>
          <w:szCs w:val="22"/>
        </w:rPr>
        <w:t>TBC AT CONTRACT AWARD</w:t>
      </w:r>
    </w:p>
    <w:p w14:paraId="7FE12DAB" w14:textId="77777777" w:rsidR="00A649DF" w:rsidRDefault="00A649DF">
      <w:pPr>
        <w:rPr>
          <w:rFonts w:eastAsia="Times New Roman" w:cs="Arial"/>
          <w:b/>
          <w:szCs w:val="22"/>
          <w:lang w:eastAsia="en-US"/>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44688624"/>
      <w:r w:rsidRPr="001167A3">
        <w:rPr>
          <w:rFonts w:eastAsia="Times New Roman"/>
          <w:b/>
          <w:szCs w:val="22"/>
          <w:lang w:eastAsia="en-US"/>
        </w:rPr>
        <w:lastRenderedPageBreak/>
        <w:t>ANNEX 4 – SUPPLIERS RESPONSE</w:t>
      </w:r>
      <w:bookmarkEnd w:id="108"/>
    </w:p>
    <w:p w14:paraId="4D5AF130" w14:textId="497280C8" w:rsidR="005F10EE" w:rsidRDefault="00D25599" w:rsidP="005F10EE">
      <w:pPr>
        <w:widowControl w:val="0"/>
        <w:tabs>
          <w:tab w:val="num" w:pos="540"/>
        </w:tabs>
        <w:spacing w:after="100" w:afterAutospacing="1"/>
        <w:ind w:left="851" w:hanging="851"/>
        <w:jc w:val="center"/>
        <w:outlineLvl w:val="0"/>
        <w:rPr>
          <w:rFonts w:eastAsia="Times New Roman"/>
          <w:b/>
          <w:szCs w:val="22"/>
          <w:lang w:eastAsia="en-US"/>
        </w:rPr>
      </w:pPr>
      <w:r w:rsidRPr="00336839">
        <w:rPr>
          <w:rFonts w:eastAsia="Times New Roman"/>
          <w:szCs w:val="22"/>
          <w:lang w:eastAsia="en-US"/>
        </w:rPr>
        <w:t xml:space="preserve">(From the Supplier’s Bid of  </w:t>
      </w:r>
      <w:r w:rsidRPr="003B2E34">
        <w:rPr>
          <w:rFonts w:eastAsia="Times New Roman"/>
          <w:szCs w:val="22"/>
          <w:lang w:eastAsia="en-US"/>
        </w:rPr>
        <w:t>--/--/----</w:t>
      </w:r>
      <w:r w:rsidRPr="003B2E34">
        <w:rPr>
          <w:rFonts w:eastAsia="Times New Roman"/>
          <w:b/>
          <w:szCs w:val="22"/>
          <w:lang w:eastAsia="en-US"/>
        </w:rPr>
        <w:t xml:space="preserve"> (insert date of bid)</w:t>
      </w:r>
      <w:r>
        <w:rPr>
          <w:rFonts w:eastAsia="Times New Roman"/>
          <w:b/>
          <w:szCs w:val="22"/>
          <w:lang w:eastAsia="en-US"/>
        </w:rPr>
        <w:t xml:space="preserve"> </w:t>
      </w:r>
      <w:r w:rsidR="005F10EE" w:rsidRPr="00336839">
        <w:rPr>
          <w:rFonts w:eastAsia="Times New Roman"/>
          <w:szCs w:val="22"/>
          <w:lang w:eastAsia="en-US"/>
        </w:rPr>
        <w:t>)</w:t>
      </w:r>
    </w:p>
    <w:p w14:paraId="329363C1" w14:textId="77777777" w:rsidR="003B2E34" w:rsidRDefault="003B2E34" w:rsidP="003B2E34">
      <w:pPr>
        <w:pBdr>
          <w:top w:val="nil"/>
          <w:left w:val="nil"/>
          <w:bottom w:val="nil"/>
          <w:right w:val="nil"/>
          <w:between w:val="nil"/>
        </w:pBdr>
        <w:spacing w:after="120"/>
        <w:ind w:left="432" w:hanging="432"/>
        <w:jc w:val="center"/>
        <w:rPr>
          <w:b/>
          <w:color w:val="000000"/>
        </w:rPr>
      </w:pPr>
      <w:r w:rsidRPr="003B2E34">
        <w:rPr>
          <w:b/>
          <w:color w:val="000000"/>
        </w:rPr>
        <w:t>TBC AT CONTRACT AWARD</w:t>
      </w:r>
    </w:p>
    <w:p w14:paraId="6B8DC66A" w14:textId="4D03209D" w:rsidR="00174DC0" w:rsidRPr="00336839" w:rsidRDefault="00174DC0" w:rsidP="00174DC0">
      <w:pPr>
        <w:pStyle w:val="ScheduleLevel1"/>
        <w:numPr>
          <w:ilvl w:val="0"/>
          <w:numId w:val="0"/>
        </w:numPr>
        <w:spacing w:after="120"/>
        <w:jc w:val="center"/>
        <w:rPr>
          <w:rFonts w:cs="Arial"/>
          <w:b/>
          <w:szCs w:val="22"/>
          <w:highlight w:val="yellow"/>
        </w:rPr>
      </w:pPr>
    </w:p>
    <w:p w14:paraId="3901D31C" w14:textId="77777777" w:rsidR="00174DC0" w:rsidRDefault="00174DC0">
      <w:pPr>
        <w:rPr>
          <w:rFonts w:eastAsia="Times New Roman"/>
          <w:b/>
          <w:szCs w:val="22"/>
          <w:lang w:eastAsia="en-US"/>
        </w:rPr>
      </w:pPr>
      <w:bookmarkStart w:id="109" w:name="_Toc437243999"/>
      <w:r>
        <w:rPr>
          <w:rFonts w:eastAsia="Times New Roman"/>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0" w:name="_Toc444688625"/>
      <w:r w:rsidRPr="00506046">
        <w:rPr>
          <w:rFonts w:eastAsia="Times New Roman"/>
          <w:b/>
          <w:szCs w:val="22"/>
          <w:lang w:eastAsia="en-US"/>
        </w:rPr>
        <w:t>ANNEX 5 – CLARIFICATIONS</w:t>
      </w:r>
      <w:bookmarkEnd w:id="109"/>
      <w:bookmarkEnd w:id="110"/>
    </w:p>
    <w:p w14:paraId="4416EF89" w14:textId="4E888EFF" w:rsidR="00174DC0" w:rsidRPr="00913679" w:rsidRDefault="003B2E34" w:rsidP="00174DC0">
      <w:pPr>
        <w:pStyle w:val="ScheduleLevel1"/>
        <w:numPr>
          <w:ilvl w:val="0"/>
          <w:numId w:val="0"/>
        </w:numPr>
        <w:spacing w:after="120"/>
        <w:jc w:val="center"/>
        <w:rPr>
          <w:rFonts w:cs="Arial"/>
          <w:b/>
          <w:szCs w:val="22"/>
        </w:rPr>
      </w:pPr>
      <w:r w:rsidRPr="003B2E34">
        <w:rPr>
          <w:rFonts w:cs="Arial"/>
          <w:b/>
          <w:szCs w:val="22"/>
        </w:rPr>
        <w:t>TBC AT CONTRACT AWARD</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69AAD0A4" w14:textId="2FC255FC" w:rsidR="00865B8F" w:rsidRPr="003B2E34" w:rsidRDefault="004B1AF8" w:rsidP="003B2E34">
      <w:pPr>
        <w:widowControl w:val="0"/>
        <w:tabs>
          <w:tab w:val="num" w:pos="540"/>
        </w:tabs>
        <w:spacing w:after="100" w:afterAutospacing="1"/>
        <w:ind w:left="851" w:hanging="851"/>
        <w:jc w:val="center"/>
        <w:outlineLvl w:val="0"/>
        <w:rPr>
          <w:rFonts w:eastAsia="Times New Roman"/>
          <w:b/>
          <w:szCs w:val="22"/>
          <w:lang w:eastAsia="en-US"/>
        </w:rPr>
      </w:pPr>
      <w:bookmarkStart w:id="111" w:name="_Toc439318929"/>
      <w:bookmarkStart w:id="112" w:name="_Toc444688626"/>
      <w:r w:rsidRPr="000F5FE2">
        <w:rPr>
          <w:rFonts w:eastAsia="Times New Roman"/>
          <w:b/>
          <w:szCs w:val="22"/>
          <w:lang w:eastAsia="en-US"/>
        </w:rPr>
        <w:lastRenderedPageBreak/>
        <w:t>ANNEX 6 – ADDITIONAL TERMS &amp; CONDITIONS</w:t>
      </w:r>
      <w:bookmarkEnd w:id="111"/>
      <w:bookmarkEnd w:id="112"/>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C86C03">
      <w:pPr>
        <w:pStyle w:val="ListParagraph"/>
        <w:numPr>
          <w:ilvl w:val="1"/>
          <w:numId w:val="40"/>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3" w:name="2et92p0" w:colFirst="0" w:colLast="0"/>
      <w:bookmarkEnd w:id="113"/>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4" w:name="tyjcwt" w:colFirst="0" w:colLast="0"/>
      <w:bookmarkEnd w:id="114"/>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5" w:name="3dy6vkm" w:colFirst="0" w:colLast="0"/>
      <w:bookmarkEnd w:id="115"/>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6" w:name="1t3h5sf" w:colFirst="0" w:colLast="0"/>
      <w:bookmarkEnd w:id="116"/>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4d34og8" w:colFirst="0" w:colLast="0"/>
      <w:bookmarkEnd w:id="117"/>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lastRenderedPageBreak/>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8" w:name="2s8eyo1" w:colFirst="0" w:colLast="0"/>
      <w:bookmarkEnd w:id="118"/>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19" w:name="17dp8vu" w:colFirst="0" w:colLast="0"/>
      <w:bookmarkEnd w:id="119"/>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3rdcrjn" w:colFirst="0" w:colLast="0"/>
      <w:bookmarkEnd w:id="120"/>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26in1rg" w:colFirst="0" w:colLast="0"/>
      <w:bookmarkEnd w:id="121"/>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2" w:name="lnxbz9" w:colFirst="0" w:colLast="0"/>
      <w:bookmarkEnd w:id="122"/>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3" w:name="35nkun2" w:colFirst="0" w:colLast="0"/>
      <w:bookmarkEnd w:id="123"/>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4" w:name="1ksv4uv" w:colFirst="0" w:colLast="0"/>
      <w:bookmarkEnd w:id="124"/>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lastRenderedPageBreak/>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5" w:name="44sinio" w:colFirst="0" w:colLast="0"/>
      <w:bookmarkEnd w:id="125"/>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lastRenderedPageBreak/>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6" w:name="2jxsxqh" w:colFirst="0" w:colLast="0"/>
      <w:bookmarkEnd w:id="126"/>
      <w:r>
        <w:rPr>
          <w:rFonts w:cs="Arial"/>
        </w:rPr>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C86C03">
      <w:pPr>
        <w:pStyle w:val="ListParagraph"/>
        <w:numPr>
          <w:ilvl w:val="1"/>
          <w:numId w:val="41"/>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lastRenderedPageBreak/>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lastRenderedPageBreak/>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15AC4418" w14:textId="77777777" w:rsidR="00865B8F" w:rsidRPr="005631E9" w:rsidRDefault="00865B8F" w:rsidP="00C86C03">
      <w:pPr>
        <w:numPr>
          <w:ilvl w:val="2"/>
          <w:numId w:val="42"/>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 xml:space="preserve">The contact details of the </w:t>
      </w:r>
      <w:r w:rsidR="000C212E" w:rsidRPr="00C86C03">
        <w:rPr>
          <w:rFonts w:eastAsia="Calibri"/>
          <w:lang w:val="en-US" w:eastAsia="en-US"/>
        </w:rPr>
        <w:t>Customer</w:t>
      </w:r>
      <w:r w:rsidR="00C86C03" w:rsidRPr="00C86C03">
        <w:rPr>
          <w:rFonts w:eastAsia="Calibri"/>
          <w:lang w:val="en-US" w:eastAsia="en-US"/>
        </w:rPr>
        <w:t>’s</w:t>
      </w:r>
      <w:r w:rsidRPr="007A4AB1">
        <w:rPr>
          <w:rFonts w:eastAsia="Calibri"/>
          <w:lang w:val="en-US" w:eastAsia="en-US"/>
        </w:rPr>
        <w:t xml:space="preserve"> Data Protection Officer is:</w:t>
      </w:r>
    </w:p>
    <w:p w14:paraId="24F77F4C" w14:textId="77777777" w:rsidR="009A04BB" w:rsidRPr="009A04BB" w:rsidRDefault="009A04BB"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Pr>
          <w:rFonts w:eastAsia="Calibri" w:cs="Arial"/>
          <w:sz w:val="24"/>
          <w:lang w:eastAsia="en-US"/>
        </w:rPr>
        <w:t>REDACTED TEXT</w:t>
      </w:r>
    </w:p>
    <w:p w14:paraId="07FBCD84" w14:textId="71E979ED"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contract details of the Supplier Data Protection Officer is:</w:t>
      </w:r>
    </w:p>
    <w:p w14:paraId="62080356" w14:textId="19200C39" w:rsidR="00865B8F" w:rsidRPr="00D25599" w:rsidRDefault="003B2E34" w:rsidP="00865B8F">
      <w:pPr>
        <w:keepNext/>
        <w:spacing w:before="240" w:after="240" w:line="240" w:lineRule="exact"/>
        <w:ind w:left="1440" w:hanging="731"/>
        <w:rPr>
          <w:rFonts w:eastAsia="Calibri"/>
          <w:b/>
          <w:lang w:val="en-US" w:eastAsia="en-US"/>
        </w:rPr>
      </w:pPr>
      <w:r w:rsidRPr="003B2E34">
        <w:rPr>
          <w:rFonts w:eastAsia="Calibri"/>
          <w:b/>
          <w:lang w:val="en-US" w:eastAsia="en-US"/>
        </w:rPr>
        <w:t>TBC AT CONTRACT AWARD</w:t>
      </w:r>
    </w:p>
    <w:p w14:paraId="6874F7E5"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The Processor shall comply with any further written instructions with respect to processing by the Controller.</w:t>
      </w:r>
    </w:p>
    <w:p w14:paraId="6A56FD7B" w14:textId="77777777" w:rsidR="00865B8F" w:rsidRPr="007A4AB1" w:rsidRDefault="00865B8F" w:rsidP="00C86C03">
      <w:pPr>
        <w:keepNext/>
        <w:numPr>
          <w:ilvl w:val="2"/>
          <w:numId w:val="39"/>
        </w:numPr>
        <w:pBdr>
          <w:top w:val="nil"/>
          <w:left w:val="nil"/>
          <w:bottom w:val="nil"/>
          <w:right w:val="nil"/>
          <w:between w:val="nil"/>
        </w:pBdr>
        <w:spacing w:before="240" w:after="240" w:line="240" w:lineRule="exact"/>
        <w:rPr>
          <w:rFonts w:eastAsia="Calibri"/>
          <w:lang w:val="en-US" w:eastAsia="en-US"/>
        </w:rPr>
      </w:pPr>
      <w:r w:rsidRPr="007A4AB1">
        <w:rPr>
          <w:rFonts w:eastAsia="Calibri"/>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1"/>
        <w:gridCol w:w="5968"/>
      </w:tblGrid>
      <w:tr w:rsidR="003B2E34" w14:paraId="1577FF0C" w14:textId="77777777" w:rsidTr="00EE6018">
        <w:trPr>
          <w:trHeight w:val="716"/>
        </w:trPr>
        <w:tc>
          <w:tcPr>
            <w:tcW w:w="3051" w:type="dxa"/>
            <w:shd w:val="clear" w:color="auto" w:fill="BFBFBF"/>
            <w:vAlign w:val="center"/>
          </w:tcPr>
          <w:p w14:paraId="475E6A6C" w14:textId="77777777" w:rsidR="003B2E34" w:rsidRDefault="003B2E34" w:rsidP="00EE6018">
            <w:pPr>
              <w:rPr>
                <w:b/>
              </w:rPr>
            </w:pPr>
            <w:r>
              <w:rPr>
                <w:b/>
              </w:rPr>
              <w:t>Contract Reference:</w:t>
            </w:r>
          </w:p>
        </w:tc>
        <w:tc>
          <w:tcPr>
            <w:tcW w:w="5968" w:type="dxa"/>
            <w:shd w:val="clear" w:color="auto" w:fill="BFBFBF"/>
            <w:vAlign w:val="center"/>
          </w:tcPr>
          <w:p w14:paraId="0C257EA4" w14:textId="77777777" w:rsidR="003B2E34" w:rsidRPr="003E2171" w:rsidRDefault="003B2E34" w:rsidP="00EE6018">
            <w:pPr>
              <w:jc w:val="center"/>
            </w:pPr>
            <w:r w:rsidRPr="003E2171">
              <w:rPr>
                <w:b/>
              </w:rPr>
              <w:t>CCHR20A06</w:t>
            </w:r>
          </w:p>
        </w:tc>
      </w:tr>
      <w:tr w:rsidR="003B2E34" w14:paraId="0D83D6F6" w14:textId="77777777" w:rsidTr="00EE6018">
        <w:trPr>
          <w:trHeight w:val="716"/>
        </w:trPr>
        <w:tc>
          <w:tcPr>
            <w:tcW w:w="3051" w:type="dxa"/>
            <w:shd w:val="clear" w:color="auto" w:fill="BFBFBF"/>
            <w:vAlign w:val="center"/>
          </w:tcPr>
          <w:p w14:paraId="37801BF1" w14:textId="77777777" w:rsidR="003B2E34" w:rsidRDefault="003B2E34" w:rsidP="00EE6018">
            <w:pPr>
              <w:rPr>
                <w:b/>
              </w:rPr>
            </w:pPr>
            <w:r>
              <w:rPr>
                <w:b/>
              </w:rPr>
              <w:t xml:space="preserve">Date: </w:t>
            </w:r>
          </w:p>
        </w:tc>
        <w:tc>
          <w:tcPr>
            <w:tcW w:w="5968" w:type="dxa"/>
            <w:shd w:val="clear" w:color="auto" w:fill="BFBFBF"/>
            <w:vAlign w:val="center"/>
          </w:tcPr>
          <w:p w14:paraId="48BCC950" w14:textId="77777777" w:rsidR="003B2E34" w:rsidRPr="003E2171" w:rsidRDefault="003B2E34" w:rsidP="00EE6018">
            <w:pPr>
              <w:jc w:val="center"/>
              <w:rPr>
                <w:b/>
              </w:rPr>
            </w:pPr>
            <w:r w:rsidRPr="003E2171">
              <w:rPr>
                <w:b/>
              </w:rPr>
              <w:t>26</w:t>
            </w:r>
            <w:r w:rsidRPr="003E2171">
              <w:rPr>
                <w:b/>
                <w:vertAlign w:val="superscript"/>
              </w:rPr>
              <w:t>th</w:t>
            </w:r>
            <w:r w:rsidRPr="003E2171">
              <w:rPr>
                <w:b/>
              </w:rPr>
              <w:t xml:space="preserve"> February 2020</w:t>
            </w:r>
          </w:p>
        </w:tc>
      </w:tr>
      <w:tr w:rsidR="003B2E34" w14:paraId="574551BA" w14:textId="77777777" w:rsidTr="00EE6018">
        <w:trPr>
          <w:trHeight w:val="716"/>
        </w:trPr>
        <w:tc>
          <w:tcPr>
            <w:tcW w:w="3051" w:type="dxa"/>
            <w:shd w:val="clear" w:color="auto" w:fill="BFBFBF"/>
            <w:vAlign w:val="center"/>
          </w:tcPr>
          <w:p w14:paraId="15DA4721" w14:textId="77777777" w:rsidR="003B2E34" w:rsidRDefault="003B2E34" w:rsidP="00EE6018">
            <w:pPr>
              <w:rPr>
                <w:b/>
              </w:rPr>
            </w:pPr>
            <w:r>
              <w:rPr>
                <w:b/>
              </w:rPr>
              <w:t>Description Of Authorised Processing</w:t>
            </w:r>
          </w:p>
        </w:tc>
        <w:tc>
          <w:tcPr>
            <w:tcW w:w="5968" w:type="dxa"/>
            <w:shd w:val="clear" w:color="auto" w:fill="BFBFBF"/>
            <w:vAlign w:val="center"/>
          </w:tcPr>
          <w:p w14:paraId="71E77375" w14:textId="77777777" w:rsidR="003B2E34" w:rsidRDefault="003B2E34" w:rsidP="00EE6018">
            <w:pPr>
              <w:jc w:val="center"/>
              <w:rPr>
                <w:b/>
              </w:rPr>
            </w:pPr>
            <w:r>
              <w:rPr>
                <w:b/>
              </w:rPr>
              <w:t>Details</w:t>
            </w:r>
          </w:p>
        </w:tc>
      </w:tr>
      <w:tr w:rsidR="003B2E34" w14:paraId="612068C8" w14:textId="77777777" w:rsidTr="00EE6018">
        <w:trPr>
          <w:trHeight w:val="1630"/>
        </w:trPr>
        <w:tc>
          <w:tcPr>
            <w:tcW w:w="3051" w:type="dxa"/>
            <w:shd w:val="clear" w:color="auto" w:fill="auto"/>
          </w:tcPr>
          <w:p w14:paraId="195D4116" w14:textId="77777777" w:rsidR="003B2E34" w:rsidRDefault="003B2E34" w:rsidP="00EE6018">
            <w:r>
              <w:t>Identity of the Controller and Processor</w:t>
            </w:r>
          </w:p>
        </w:tc>
        <w:tc>
          <w:tcPr>
            <w:tcW w:w="5968" w:type="dxa"/>
            <w:shd w:val="clear" w:color="auto" w:fill="auto"/>
          </w:tcPr>
          <w:p w14:paraId="2996ADC7" w14:textId="77777777" w:rsidR="003B2E34" w:rsidRDefault="003B2E34" w:rsidP="00EE6018">
            <w:pPr>
              <w:spacing w:before="280" w:after="120"/>
            </w:pPr>
            <w:r>
              <w:t>The Parties acknowledge that for the purposes of the Data Protection Legislation, the Customer is the Controller and the Supplier is the Processor in accordance with Clause 1.1.</w:t>
            </w:r>
          </w:p>
          <w:p w14:paraId="14957B65" w14:textId="77777777" w:rsidR="003B2E34" w:rsidRDefault="003B2E34" w:rsidP="00EE6018">
            <w:pPr>
              <w:spacing w:after="120"/>
            </w:pPr>
          </w:p>
          <w:p w14:paraId="45AB8BD6" w14:textId="77777777" w:rsidR="003B2E34" w:rsidRDefault="003B2E34" w:rsidP="00EE6018"/>
        </w:tc>
      </w:tr>
      <w:tr w:rsidR="003B2E34" w14:paraId="6CB9147C" w14:textId="77777777" w:rsidTr="00EE6018">
        <w:trPr>
          <w:trHeight w:val="1630"/>
        </w:trPr>
        <w:tc>
          <w:tcPr>
            <w:tcW w:w="3051" w:type="dxa"/>
            <w:shd w:val="clear" w:color="auto" w:fill="auto"/>
          </w:tcPr>
          <w:p w14:paraId="3360AAE8" w14:textId="77777777" w:rsidR="003B2E34" w:rsidRDefault="003B2E34" w:rsidP="00EE6018">
            <w:r>
              <w:t>Subject matter of the processing</w:t>
            </w:r>
          </w:p>
        </w:tc>
        <w:tc>
          <w:tcPr>
            <w:tcW w:w="5968" w:type="dxa"/>
            <w:shd w:val="clear" w:color="auto" w:fill="auto"/>
          </w:tcPr>
          <w:p w14:paraId="1E894F7D" w14:textId="77777777" w:rsidR="003B2E34" w:rsidRDefault="003B2E34" w:rsidP="00EE6018">
            <w:pPr>
              <w:rPr>
                <w:highlight w:val="yellow"/>
              </w:rPr>
            </w:pPr>
          </w:p>
          <w:p w14:paraId="14BB33A6" w14:textId="77777777" w:rsidR="003B2E34" w:rsidRDefault="003B2E34" w:rsidP="00EE6018">
            <w:r>
              <w:t>The subject matter of the processing is a leadership programme for public service leaders hosted by the NLC.</w:t>
            </w:r>
          </w:p>
        </w:tc>
      </w:tr>
      <w:tr w:rsidR="003B2E34" w14:paraId="708A7036" w14:textId="77777777" w:rsidTr="00EE6018">
        <w:trPr>
          <w:trHeight w:val="1462"/>
        </w:trPr>
        <w:tc>
          <w:tcPr>
            <w:tcW w:w="3051" w:type="dxa"/>
            <w:shd w:val="clear" w:color="auto" w:fill="auto"/>
          </w:tcPr>
          <w:p w14:paraId="1353C732" w14:textId="77777777" w:rsidR="003B2E34" w:rsidRDefault="003B2E34" w:rsidP="00EE6018">
            <w:r>
              <w:t>Duration of the processing</w:t>
            </w:r>
          </w:p>
        </w:tc>
        <w:tc>
          <w:tcPr>
            <w:tcW w:w="5968" w:type="dxa"/>
            <w:shd w:val="clear" w:color="auto" w:fill="auto"/>
          </w:tcPr>
          <w:p w14:paraId="100D7D3E" w14:textId="77777777" w:rsidR="003B2E34" w:rsidRDefault="003B2E34" w:rsidP="00EE6018">
            <w:r>
              <w:t>For the lifetime of the contract</w:t>
            </w:r>
          </w:p>
        </w:tc>
      </w:tr>
      <w:tr w:rsidR="003B2E34" w14:paraId="49A0419D" w14:textId="77777777" w:rsidTr="00EE6018">
        <w:trPr>
          <w:trHeight w:val="1536"/>
        </w:trPr>
        <w:tc>
          <w:tcPr>
            <w:tcW w:w="3051" w:type="dxa"/>
            <w:shd w:val="clear" w:color="auto" w:fill="auto"/>
          </w:tcPr>
          <w:p w14:paraId="09FFCCC5" w14:textId="77777777" w:rsidR="003B2E34" w:rsidRDefault="003B2E34" w:rsidP="00EE6018">
            <w:r>
              <w:lastRenderedPageBreak/>
              <w:t>Nature and purposes of the processing</w:t>
            </w:r>
          </w:p>
        </w:tc>
        <w:tc>
          <w:tcPr>
            <w:tcW w:w="5968" w:type="dxa"/>
            <w:shd w:val="clear" w:color="auto" w:fill="auto"/>
          </w:tcPr>
          <w:p w14:paraId="355F4C80" w14:textId="77777777" w:rsidR="003B2E34" w:rsidRDefault="003B2E34" w:rsidP="00EE6018"/>
          <w:p w14:paraId="2406A76A" w14:textId="77777777" w:rsidR="003B2E34" w:rsidRDefault="003B2E34" w:rsidP="00EE6018">
            <w:pPr>
              <w:spacing w:after="200"/>
            </w:pPr>
            <w:r>
              <w:t xml:space="preserve">Collection, recording, structuring, storage, alignment, retrieval of the names, descriptive details, gender race, ethnicity and email addresses of public service leaders and NLC network members. This is for the purpose of identifying and contacting the potential and selected programme participants. </w:t>
            </w:r>
          </w:p>
          <w:p w14:paraId="2E5149FA" w14:textId="77777777" w:rsidR="003B2E34" w:rsidRDefault="003B2E34" w:rsidP="00EE6018">
            <w:pPr>
              <w:spacing w:after="200"/>
            </w:pPr>
            <w:r>
              <w:t>They may also process data on the participants’ performance during the course and their career experiences before the course in order to provide an impactful and bespoke programme as well as during the feedback for the delegates.</w:t>
            </w:r>
            <w:r>
              <w:rPr>
                <w:sz w:val="24"/>
              </w:rPr>
              <w:t xml:space="preserve"> </w:t>
            </w:r>
          </w:p>
          <w:p w14:paraId="7F8FC5B2" w14:textId="77777777" w:rsidR="003B2E34" w:rsidRDefault="003B2E34" w:rsidP="00EE6018"/>
        </w:tc>
      </w:tr>
      <w:tr w:rsidR="003B2E34" w14:paraId="49A50C2A" w14:textId="77777777" w:rsidTr="00EE6018">
        <w:trPr>
          <w:trHeight w:val="1412"/>
        </w:trPr>
        <w:tc>
          <w:tcPr>
            <w:tcW w:w="3051" w:type="dxa"/>
            <w:shd w:val="clear" w:color="auto" w:fill="auto"/>
          </w:tcPr>
          <w:p w14:paraId="2401F8EE" w14:textId="77777777" w:rsidR="003B2E34" w:rsidRDefault="003B2E34" w:rsidP="00EE6018">
            <w:r>
              <w:t>Type of Personal Data</w:t>
            </w:r>
          </w:p>
        </w:tc>
        <w:tc>
          <w:tcPr>
            <w:tcW w:w="5968" w:type="dxa"/>
            <w:shd w:val="clear" w:color="auto" w:fill="auto"/>
          </w:tcPr>
          <w:p w14:paraId="7AB79494" w14:textId="77777777" w:rsidR="003B2E34" w:rsidRDefault="003B2E34" w:rsidP="00EE6018">
            <w:r>
              <w:t xml:space="preserve">Name, addresses, date of birth, gender, race, ethnicity, dietary requirements, accessibility requirements, career experience. </w:t>
            </w:r>
          </w:p>
          <w:p w14:paraId="6FCBF4F6" w14:textId="77777777" w:rsidR="003B2E34" w:rsidRDefault="003B2E34" w:rsidP="00EE6018"/>
          <w:p w14:paraId="7E8183AA" w14:textId="77777777" w:rsidR="003B2E34" w:rsidRDefault="003B2E34" w:rsidP="00EE6018">
            <w:pPr>
              <w:spacing w:after="200"/>
            </w:pPr>
            <w:r>
              <w:t>Other data may include contact details, reasonable adjustments, promotional images, audio and video, advertising profiles.</w:t>
            </w:r>
          </w:p>
        </w:tc>
      </w:tr>
      <w:tr w:rsidR="003B2E34" w14:paraId="2EC09A1F" w14:textId="77777777" w:rsidTr="00EE6018">
        <w:trPr>
          <w:trHeight w:val="1560"/>
        </w:trPr>
        <w:tc>
          <w:tcPr>
            <w:tcW w:w="3051" w:type="dxa"/>
            <w:shd w:val="clear" w:color="auto" w:fill="auto"/>
          </w:tcPr>
          <w:p w14:paraId="5BD08764" w14:textId="77777777" w:rsidR="003B2E34" w:rsidRDefault="003B2E34" w:rsidP="00EE6018">
            <w:r>
              <w:t>Categories of Data Subject</w:t>
            </w:r>
          </w:p>
        </w:tc>
        <w:tc>
          <w:tcPr>
            <w:tcW w:w="5968" w:type="dxa"/>
            <w:shd w:val="clear" w:color="auto" w:fill="auto"/>
          </w:tcPr>
          <w:p w14:paraId="69E6E2E3" w14:textId="77777777" w:rsidR="003B2E34" w:rsidRDefault="003B2E34" w:rsidP="00EE6018">
            <w:pPr>
              <w:rPr>
                <w:highlight w:val="yellow"/>
              </w:rPr>
            </w:pPr>
          </w:p>
          <w:p w14:paraId="599B1D51" w14:textId="77777777" w:rsidR="003B2E34" w:rsidRDefault="003B2E34" w:rsidP="00EE6018">
            <w:r>
              <w:t xml:space="preserve">NLC network members, staff, public service leaders/members of the public. </w:t>
            </w:r>
          </w:p>
        </w:tc>
      </w:tr>
      <w:tr w:rsidR="003B2E34" w14:paraId="0045742B" w14:textId="77777777" w:rsidTr="00EE6018">
        <w:trPr>
          <w:trHeight w:val="1560"/>
        </w:trPr>
        <w:tc>
          <w:tcPr>
            <w:tcW w:w="3051" w:type="dxa"/>
            <w:shd w:val="clear" w:color="auto" w:fill="auto"/>
          </w:tcPr>
          <w:p w14:paraId="2DE56E1B" w14:textId="77777777" w:rsidR="003B2E34" w:rsidRDefault="003B2E34" w:rsidP="00EE6018">
            <w:r>
              <w:t>Plan for retention or deletion</w:t>
            </w:r>
          </w:p>
        </w:tc>
        <w:tc>
          <w:tcPr>
            <w:tcW w:w="5968" w:type="dxa"/>
            <w:shd w:val="clear" w:color="auto" w:fill="auto"/>
          </w:tcPr>
          <w:p w14:paraId="55BDC94A" w14:textId="77777777" w:rsidR="003B2E34" w:rsidRDefault="003B2E34" w:rsidP="00EE6018">
            <w:pPr>
              <w:rPr>
                <w:highlight w:val="yellow"/>
              </w:rPr>
            </w:pPr>
          </w:p>
          <w:p w14:paraId="6CE000A9" w14:textId="77777777" w:rsidR="003B2E34" w:rsidRDefault="003B2E34" w:rsidP="00EE6018">
            <w:pPr>
              <w:spacing w:after="200"/>
            </w:pPr>
            <w:r>
              <w:t>Data to be destroyed by the end of the NLC pilot phase, September 2022.</w:t>
            </w:r>
          </w:p>
          <w:p w14:paraId="688638FF" w14:textId="77777777" w:rsidR="003B2E34" w:rsidRDefault="003B2E34" w:rsidP="00EE6018"/>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7" w:name="_Toc440457130"/>
      <w:bookmarkStart w:id="128" w:name="_Toc444688627"/>
      <w:r w:rsidRPr="00D66848">
        <w:rPr>
          <w:rFonts w:eastAsia="Times New Roman"/>
          <w:b/>
          <w:szCs w:val="22"/>
          <w:lang w:eastAsia="en-US"/>
        </w:rPr>
        <w:lastRenderedPageBreak/>
        <w:t>ANNEX 7 – CHANGE CONTROL FORMS</w:t>
      </w:r>
      <w:bookmarkEnd w:id="127"/>
      <w:bookmarkEnd w:id="128"/>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3B2E34" w:rsidRDefault="00B40533" w:rsidP="00B40533">
            <w:pPr>
              <w:rPr>
                <w:color w:val="FF0000"/>
              </w:rPr>
            </w:pPr>
            <w:r w:rsidRPr="003B2E34">
              <w:t xml:space="preserve">Contract for the Provision of </w:t>
            </w:r>
            <w:r w:rsidRPr="003B2E34">
              <w:rPr>
                <w:b/>
                <w:szCs w:val="22"/>
              </w:rPr>
              <w:t>Insert title of requirement</w:t>
            </w:r>
            <w:r w:rsidRPr="003B2E34">
              <w:t xml:space="preserve"> (The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3B2E34" w:rsidRDefault="00D25599" w:rsidP="00D25599">
            <w:pPr>
              <w:jc w:val="left"/>
              <w:rPr>
                <w:b/>
              </w:rPr>
            </w:pPr>
            <w:r w:rsidRPr="003B2E34">
              <w:rPr>
                <w:b/>
              </w:rPr>
              <w:t xml:space="preserve">Contract </w:t>
            </w:r>
            <w:r w:rsidR="00B40533" w:rsidRPr="003B2E34">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B2E34" w:rsidRDefault="00D25599" w:rsidP="00D25599">
            <w:pPr>
              <w:jc w:val="left"/>
              <w:rPr>
                <w:b/>
                <w:iCs/>
              </w:rPr>
            </w:pPr>
            <w:r w:rsidRPr="003B2E34">
              <w:rPr>
                <w:b/>
                <w:iCs/>
              </w:rPr>
              <w:t xml:space="preserve">Date </w:t>
            </w:r>
            <w:r w:rsidR="00B40533" w:rsidRPr="003B2E34">
              <w:rPr>
                <w:b/>
                <w:iCs/>
              </w:rPr>
              <w:t>Change 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Pr="003B2E34" w:rsidRDefault="00B40533" w:rsidP="00B40533">
            <w:pPr>
              <w:rPr>
                <w:rFonts w:ascii="Calibri" w:hAnsi="Calibri" w:cs="Arial"/>
                <w:b/>
                <w:iCs/>
              </w:rPr>
            </w:pPr>
          </w:p>
          <w:p w14:paraId="6B6A07A2" w14:textId="7E613136" w:rsidR="00B40533" w:rsidRPr="003B2E34" w:rsidRDefault="00B40533" w:rsidP="00B40533">
            <w:pPr>
              <w:rPr>
                <w:rFonts w:ascii="Calibri" w:hAnsi="Calibri" w:cs="Arial"/>
                <w:iCs/>
              </w:rPr>
            </w:pPr>
            <w:r w:rsidRPr="003B2E34">
              <w:rPr>
                <w:rFonts w:ascii="Calibri" w:hAnsi="Calibri" w:cs="Arial"/>
                <w:b/>
                <w:iCs/>
              </w:rPr>
              <w:t>Between</w:t>
            </w:r>
            <w:r w:rsidRPr="003B2E34">
              <w:rPr>
                <w:rFonts w:ascii="Calibri" w:hAnsi="Calibri" w:cs="Arial"/>
                <w:iCs/>
              </w:rPr>
              <w:t>:</w:t>
            </w:r>
            <w:r w:rsidRPr="003B2E34">
              <w:rPr>
                <w:rFonts w:ascii="Calibri" w:hAnsi="Calibri" w:cs="Arial"/>
                <w:iCs/>
                <w:color w:val="FF0000"/>
              </w:rPr>
              <w:t xml:space="preserve"> </w:t>
            </w:r>
            <w:r w:rsidRPr="003B2E34">
              <w:rPr>
                <w:rFonts w:ascii="Calibri" w:hAnsi="Calibri" w:cs="Arial"/>
                <w:iCs/>
              </w:rPr>
              <w:t>The</w:t>
            </w:r>
            <w:r w:rsidRPr="003B2E34">
              <w:rPr>
                <w:rFonts w:ascii="Calibri" w:hAnsi="Calibri" w:cs="Arial"/>
                <w:iCs/>
                <w:color w:val="FF0000"/>
              </w:rPr>
              <w:t xml:space="preserve"> </w:t>
            </w:r>
            <w:r w:rsidRPr="003B2E34">
              <w:rPr>
                <w:rFonts w:ascii="Calibri" w:hAnsi="Calibri" w:cs="Arial"/>
                <w:b/>
                <w:iCs/>
              </w:rPr>
              <w:t>Inser</w:t>
            </w:r>
            <w:r w:rsidR="00383309" w:rsidRPr="003B2E34">
              <w:rPr>
                <w:rFonts w:ascii="Calibri" w:hAnsi="Calibri" w:cs="Arial"/>
                <w:b/>
                <w:iCs/>
              </w:rPr>
              <w:t xml:space="preserve">t Name of Contracting </w:t>
            </w:r>
            <w:r w:rsidR="00336839" w:rsidRPr="003B2E34">
              <w:rPr>
                <w:rFonts w:ascii="Calibri" w:hAnsi="Calibri" w:cs="Arial"/>
                <w:b/>
                <w:iCs/>
              </w:rPr>
              <w:t>Authority</w:t>
            </w:r>
            <w:r w:rsidRPr="003B2E34">
              <w:rPr>
                <w:rFonts w:ascii="Calibri" w:hAnsi="Calibri" w:cs="Arial"/>
                <w:iCs/>
              </w:rPr>
              <w:t xml:space="preserve"> </w:t>
            </w:r>
            <w:r w:rsidR="00383309" w:rsidRPr="003B2E34">
              <w:rPr>
                <w:rFonts w:ascii="Calibri" w:hAnsi="Calibri" w:cs="Arial"/>
                <w:iCs/>
              </w:rPr>
              <w:t>(The Customer</w:t>
            </w:r>
            <w:r w:rsidRPr="003B2E34">
              <w:rPr>
                <w:rFonts w:ascii="Calibri" w:hAnsi="Calibri" w:cs="Arial"/>
                <w:iCs/>
              </w:rPr>
              <w:t xml:space="preserve">) and </w:t>
            </w:r>
            <w:r w:rsidRPr="003B2E34">
              <w:rPr>
                <w:rFonts w:ascii="Calibri" w:hAnsi="Calibri" w:cs="Arial"/>
                <w:b/>
                <w:iCs/>
              </w:rPr>
              <w:t xml:space="preserve">Insert </w:t>
            </w:r>
            <w:r w:rsidR="00C86C03" w:rsidRPr="003B2E34">
              <w:rPr>
                <w:rFonts w:ascii="Calibri" w:hAnsi="Calibri" w:cs="Arial"/>
                <w:b/>
                <w:iCs/>
              </w:rPr>
              <w:t>name of Suppl</w:t>
            </w:r>
            <w:r w:rsidR="00336839" w:rsidRPr="003B2E34">
              <w:rPr>
                <w:rFonts w:ascii="Calibri" w:hAnsi="Calibri" w:cs="Arial"/>
                <w:b/>
                <w:iCs/>
              </w:rPr>
              <w:t>i</w:t>
            </w:r>
            <w:r w:rsidR="00C86C03" w:rsidRPr="003B2E34">
              <w:rPr>
                <w:rFonts w:ascii="Calibri" w:hAnsi="Calibri" w:cs="Arial"/>
                <w:b/>
                <w:iCs/>
              </w:rPr>
              <w:t>er</w:t>
            </w:r>
            <w:r w:rsidRPr="003B2E34">
              <w:rPr>
                <w:rFonts w:ascii="Calibri" w:hAnsi="Calibri" w:cs="Arial"/>
                <w:iCs/>
              </w:rPr>
              <w:t xml:space="preserve"> (The Supplier)</w:t>
            </w:r>
          </w:p>
          <w:p w14:paraId="5DB3B8E0" w14:textId="77777777" w:rsidR="00B40533" w:rsidRPr="003B2E34" w:rsidRDefault="00B40533" w:rsidP="00B40533">
            <w:pPr>
              <w:rPr>
                <w:rFonts w:ascii="Calibri" w:hAnsi="Calibri" w:cs="Arial"/>
                <w:iCs/>
              </w:rPr>
            </w:pPr>
          </w:p>
          <w:p w14:paraId="1E337F67" w14:textId="77777777" w:rsidR="00B40533" w:rsidRPr="003B2E34" w:rsidRDefault="00B40533" w:rsidP="00C86C03">
            <w:pPr>
              <w:pStyle w:val="ListParagraph"/>
              <w:numPr>
                <w:ilvl w:val="0"/>
                <w:numId w:val="26"/>
              </w:numPr>
              <w:adjustRightInd/>
              <w:ind w:left="360" w:hanging="360"/>
              <w:contextualSpacing/>
              <w:jc w:val="left"/>
              <w:rPr>
                <w:rFonts w:ascii="Calibri" w:hAnsi="Calibri" w:cs="Arial"/>
                <w:iCs/>
              </w:rPr>
            </w:pPr>
            <w:r w:rsidRPr="003B2E34">
              <w:rPr>
                <w:rFonts w:ascii="Calibri" w:hAnsi="Calibri" w:cs="Arial"/>
                <w:iCs/>
              </w:rPr>
              <w:t>The Contract is varied as follows:</w:t>
            </w:r>
          </w:p>
          <w:p w14:paraId="0F0A7432" w14:textId="77777777" w:rsidR="00B40533" w:rsidRPr="003B2E34" w:rsidRDefault="00B40533" w:rsidP="00B40533">
            <w:pPr>
              <w:pStyle w:val="ListParagraph"/>
              <w:adjustRightInd/>
              <w:ind w:left="360"/>
              <w:contextualSpacing/>
              <w:jc w:val="left"/>
              <w:rPr>
                <w:rFonts w:ascii="Calibri" w:hAnsi="Calibri" w:cs="Arial"/>
                <w:iCs/>
              </w:rPr>
            </w:pPr>
          </w:p>
          <w:p w14:paraId="65D76656" w14:textId="566BA1BC" w:rsidR="00B40533" w:rsidRPr="003B2E34" w:rsidRDefault="00383309" w:rsidP="00B40533">
            <w:pPr>
              <w:pStyle w:val="ListParagraph"/>
              <w:adjustRightInd/>
              <w:ind w:left="360"/>
              <w:contextualSpacing/>
              <w:jc w:val="left"/>
              <w:rPr>
                <w:rFonts w:ascii="Calibri" w:hAnsi="Calibri" w:cs="Arial"/>
                <w:iCs/>
              </w:rPr>
            </w:pPr>
            <w:r w:rsidRPr="003B2E34">
              <w:rPr>
                <w:rFonts w:ascii="Calibri" w:hAnsi="Calibri" w:cs="Arial"/>
                <w:iCs/>
              </w:rPr>
              <w:t xml:space="preserve">1.1. </w:t>
            </w:r>
            <w:r w:rsidRPr="003B2E34">
              <w:rPr>
                <w:rFonts w:ascii="Calibri" w:hAnsi="Calibri" w:cs="Arial"/>
                <w:b/>
                <w:iCs/>
              </w:rPr>
              <w:t>Insert</w:t>
            </w:r>
            <w:r w:rsidR="00B40533" w:rsidRPr="003B2E34">
              <w:rPr>
                <w:rFonts w:ascii="Calibri" w:hAnsi="Calibri" w:cs="Arial"/>
                <w:b/>
                <w:iCs/>
              </w:rPr>
              <w:t xml:space="preserve"> details of changes</w:t>
            </w:r>
            <w:r w:rsidRPr="003B2E34">
              <w:rPr>
                <w:rFonts w:ascii="Calibri" w:hAnsi="Calibri" w:cs="Arial"/>
                <w:b/>
                <w:iCs/>
              </w:rPr>
              <w:t xml:space="preserve"> to the </w:t>
            </w:r>
            <w:r w:rsidR="00B40533" w:rsidRPr="003B2E34">
              <w:rPr>
                <w:rFonts w:ascii="Calibri" w:hAnsi="Calibri" w:cs="Arial"/>
                <w:b/>
                <w:iCs/>
              </w:rPr>
              <w:t>original contract</w:t>
            </w:r>
            <w:r w:rsidR="00336839" w:rsidRPr="003B2E34">
              <w:rPr>
                <w:rFonts w:ascii="Calibri" w:hAnsi="Calibri" w:cs="Arial"/>
                <w:b/>
                <w:iCs/>
              </w:rPr>
              <w:t>.</w:t>
            </w:r>
          </w:p>
          <w:p w14:paraId="0A726BA3" w14:textId="77777777" w:rsidR="00B40533" w:rsidRPr="003B2E34" w:rsidRDefault="00B40533" w:rsidP="00C86C03">
            <w:pPr>
              <w:pStyle w:val="MarginText"/>
              <w:keepNext/>
              <w:numPr>
                <w:ilvl w:val="0"/>
                <w:numId w:val="26"/>
              </w:numPr>
              <w:spacing w:before="240" w:after="120"/>
              <w:ind w:left="360" w:hanging="360"/>
              <w:rPr>
                <w:rFonts w:ascii="Calibri" w:hAnsi="Calibri" w:cs="Arial"/>
                <w:szCs w:val="22"/>
              </w:rPr>
            </w:pPr>
            <w:r w:rsidRPr="003B2E34">
              <w:rPr>
                <w:rFonts w:ascii="Calibri" w:hAnsi="Calibri" w:cs="Arial"/>
                <w:szCs w:val="22"/>
              </w:rPr>
              <w:t>Words and expressions in this Change Control Notice shall have the meanings given to them in the Contract.</w:t>
            </w:r>
          </w:p>
          <w:p w14:paraId="6298126C" w14:textId="77777777" w:rsidR="00B40533" w:rsidRPr="003B2E34" w:rsidRDefault="00B40533" w:rsidP="00C86C03">
            <w:pPr>
              <w:pStyle w:val="MarginText"/>
              <w:keepNext/>
              <w:numPr>
                <w:ilvl w:val="0"/>
                <w:numId w:val="26"/>
              </w:numPr>
              <w:spacing w:before="240" w:after="120"/>
              <w:ind w:left="360" w:hanging="360"/>
              <w:rPr>
                <w:rFonts w:asciiTheme="minorHAnsi" w:hAnsiTheme="minorHAnsi" w:cs="Arial"/>
                <w:szCs w:val="22"/>
              </w:rPr>
            </w:pPr>
            <w:r w:rsidRPr="003B2E34">
              <w:rPr>
                <w:rFonts w:asciiTheme="minorHAnsi" w:hAnsiTheme="minorHAnsi"/>
                <w:szCs w:val="22"/>
              </w:rPr>
              <w:t xml:space="preserve">The Contract, including any previous Contract changes, authorised in writing by both Parties, shall remain effective and unaltered </w:t>
            </w:r>
            <w:r w:rsidRPr="003B2E34">
              <w:rPr>
                <w:rFonts w:asciiTheme="minorHAnsi" w:hAnsiTheme="minorHAnsi" w:cs="Arial"/>
                <w:szCs w:val="22"/>
              </w:rPr>
              <w:t>except as amended by this Change Control Notice.</w:t>
            </w:r>
          </w:p>
          <w:p w14:paraId="7F079AA3" w14:textId="77777777" w:rsidR="00B40533" w:rsidRPr="003B2E34" w:rsidRDefault="00B40533" w:rsidP="00B40533">
            <w:pPr>
              <w:rPr>
                <w:rFonts w:ascii="Calibri" w:hAnsi="Calibri" w:cs="Arial"/>
                <w:iCs/>
              </w:rPr>
            </w:pPr>
          </w:p>
          <w:p w14:paraId="61C46483" w14:textId="77777777" w:rsidR="00B40533" w:rsidRPr="003B2E3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">
                      <v:textbox>
                        <w:txbxContent>
                          <w:p w14:paraId="73BBD3E8" w14:textId="77777777" w:rsidR="003B39B1" w:rsidRDefault="003B39B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">
                      <v:textbox>
                        <w:txbxContent>
                          <w:p w14:paraId="07BD5BAD" w14:textId="77777777" w:rsidR="003B39B1" w:rsidRDefault="003B39B1"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">
                      <v:textbox>
                        <w:txbxContent>
                          <w:p w14:paraId="0672C103" w14:textId="77777777" w:rsidR="003B39B1" w:rsidRDefault="003B39B1"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7DA387"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77777777" w:rsidR="003B39B1" w:rsidRDefault="003B39B1"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77777777" w:rsidR="003B39B1" w:rsidRDefault="003B39B1" w:rsidP="00B40533"/>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77777777" w:rsidR="003B39B1" w:rsidRDefault="003B39B1" w:rsidP="00B40533"/>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77777777" w:rsidR="003B39B1" w:rsidRDefault="003B39B1" w:rsidP="00B40533"/>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77777777" w:rsidR="003B39B1" w:rsidRDefault="003B39B1"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77777777" w:rsidR="003B39B1" w:rsidRDefault="003B39B1"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77777777" w:rsidR="003B39B1" w:rsidRDefault="003B39B1" w:rsidP="00B40533"/>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BD167" w14:textId="77777777" w:rsidR="003B39B1" w:rsidRDefault="003B39B1">
      <w:pPr>
        <w:spacing w:line="20" w:lineRule="exact"/>
      </w:pPr>
    </w:p>
  </w:endnote>
  <w:endnote w:type="continuationSeparator" w:id="0">
    <w:p w14:paraId="0DA0E19E" w14:textId="77777777" w:rsidR="003B39B1" w:rsidRDefault="003B39B1">
      <w:pPr>
        <w:spacing w:line="20" w:lineRule="exact"/>
      </w:pPr>
      <w:r>
        <w:t xml:space="preserve"> </w:t>
      </w:r>
    </w:p>
  </w:endnote>
  <w:endnote w:type="continuationNotice" w:id="1">
    <w:p w14:paraId="397CC4BC" w14:textId="77777777" w:rsidR="003B39B1" w:rsidRDefault="003B39B1">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4E"/>
    <w:family w:val="auto"/>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3B39B1" w:rsidRDefault="003B39B1"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3B39B1" w:rsidRDefault="003B39B1"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3B39B1" w:rsidRDefault="003B39B1"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3B39B1" w:rsidRPr="00C34E12" w:rsidRDefault="003B39B1"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3B39B1" w:rsidRDefault="003B39B1"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3B39B1" w:rsidRPr="00A65391" w:rsidRDefault="003B39B1"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3B39B1" w:rsidRPr="00CE50FE" w:rsidRDefault="003B39B1" w:rsidP="00F70073">
        <w:pPr>
          <w:pStyle w:val="Footer"/>
          <w:pBdr>
            <w:top w:val="single" w:sz="4" w:space="1" w:color="auto"/>
          </w:pBdr>
          <w:jc w:val="center"/>
          <w:rPr>
            <w:sz w:val="20"/>
            <w:szCs w:val="20"/>
          </w:rPr>
        </w:pPr>
        <w:r w:rsidRPr="00CE50FE">
          <w:rPr>
            <w:sz w:val="20"/>
            <w:szCs w:val="20"/>
          </w:rPr>
          <w:t>OFFICIAL</w:t>
        </w:r>
      </w:p>
      <w:p w14:paraId="6369C02F" w14:textId="77777777" w:rsidR="003B39B1" w:rsidRPr="00CE50FE" w:rsidRDefault="003B39B1"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154B4BBE" w:rsidR="003B39B1" w:rsidRDefault="003B39B1" w:rsidP="00F70073">
        <w:pPr>
          <w:pStyle w:val="Footer"/>
          <w:pBdr>
            <w:top w:val="single" w:sz="4" w:space="1" w:color="auto"/>
          </w:pBdr>
          <w:rPr>
            <w:sz w:val="20"/>
            <w:szCs w:val="20"/>
          </w:rPr>
        </w:pPr>
      </w:p>
      <w:p w14:paraId="59D982FD" w14:textId="66B56BBB" w:rsidR="003B39B1" w:rsidRPr="00CE50FE" w:rsidRDefault="003B39B1"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0DF41B9A" w:rsidR="003B39B1" w:rsidRPr="00CE50FE" w:rsidRDefault="003B39B1" w:rsidP="00F70073">
        <w:pPr>
          <w:pStyle w:val="Footer"/>
          <w:pBdr>
            <w:top w:val="single" w:sz="4" w:space="1" w:color="auto"/>
          </w:pBdr>
          <w:jc w:val="right"/>
          <w:rPr>
            <w:sz w:val="20"/>
            <w:szCs w:val="20"/>
          </w:rPr>
        </w:pPr>
        <w:r>
          <w:rPr>
            <w:sz w:val="20"/>
            <w:szCs w:val="20"/>
          </w:rPr>
          <w:t xml:space="preserve">V2.0 </w:t>
        </w:r>
        <w:r w:rsidR="003B2E34" w:rsidRPr="003B2E34">
          <w:rPr>
            <w:sz w:val="20"/>
            <w:szCs w:val="20"/>
          </w:rPr>
          <w:t>2</w:t>
        </w:r>
        <w:r w:rsidR="009A04BB">
          <w:rPr>
            <w:sz w:val="20"/>
            <w:szCs w:val="20"/>
          </w:rPr>
          <w:t>7</w:t>
        </w:r>
        <w:r w:rsidR="003B2E34" w:rsidRPr="003B2E34">
          <w:rPr>
            <w:sz w:val="20"/>
            <w:szCs w:val="20"/>
            <w:vertAlign w:val="superscript"/>
          </w:rPr>
          <w:t>th</w:t>
        </w:r>
        <w:r w:rsidR="003B2E34" w:rsidRPr="003B2E34">
          <w:rPr>
            <w:sz w:val="20"/>
            <w:szCs w:val="20"/>
          </w:rPr>
          <w:t xml:space="preserve"> February</w:t>
        </w:r>
        <w:r w:rsidR="003B2E34">
          <w:rPr>
            <w:sz w:val="20"/>
            <w:szCs w:val="20"/>
          </w:rPr>
          <w:t xml:space="preserve"> 2020</w:t>
        </w:r>
      </w:p>
      <w:p w14:paraId="3085C604" w14:textId="04827E4B" w:rsidR="003B39B1" w:rsidRDefault="003B39B1"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D90B42">
          <w:rPr>
            <w:noProof/>
            <w:sz w:val="20"/>
            <w:szCs w:val="20"/>
          </w:rPr>
          <w:t>6</w:t>
        </w:r>
        <w:r w:rsidRPr="00CE50FE">
          <w:rPr>
            <w:noProof/>
            <w:sz w:val="20"/>
            <w:szCs w:val="20"/>
          </w:rPr>
          <w:fldChar w:fldCharType="end"/>
        </w:r>
      </w:p>
    </w:sdtContent>
  </w:sdt>
  <w:p w14:paraId="170A480B" w14:textId="77777777" w:rsidR="003B39B1" w:rsidRPr="00360755" w:rsidRDefault="003B39B1"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255348" w14:textId="77777777" w:rsidR="003B39B1" w:rsidRDefault="003B39B1">
      <w:r>
        <w:separator/>
      </w:r>
    </w:p>
  </w:footnote>
  <w:footnote w:type="continuationSeparator" w:id="0">
    <w:p w14:paraId="29CDF82A" w14:textId="77777777" w:rsidR="003B39B1" w:rsidRDefault="003B39B1">
      <w:r>
        <w:continuationSeparator/>
      </w:r>
    </w:p>
  </w:footnote>
  <w:footnote w:type="continuationNotice" w:id="1">
    <w:p w14:paraId="3158D084" w14:textId="77777777" w:rsidR="003B39B1" w:rsidRDefault="003B39B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3B39B1" w:rsidRDefault="003B39B1"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3B39B1" w:rsidRDefault="003B39B1" w:rsidP="00F3190B">
    <w:pPr>
      <w:pStyle w:val="Header"/>
      <w:jc w:val="center"/>
      <w:rPr>
        <w:b/>
      </w:rPr>
    </w:pPr>
  </w:p>
  <w:p w14:paraId="64559850" w14:textId="77777777" w:rsidR="003B39B1" w:rsidRDefault="003B39B1"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3B39B1" w:rsidRDefault="003B39B1"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21BDA9AC">
          <wp:simplePos x="0" y="0"/>
          <wp:positionH relativeFrom="leftMargin">
            <wp:align>right</wp:align>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3B39B1" w:rsidRDefault="003B39B1"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0A5FBC83" w14:textId="2FCE1D45" w:rsidR="003B39B1" w:rsidRDefault="003B39B1" w:rsidP="003B39B1">
    <w:pPr>
      <w:pStyle w:val="Header"/>
      <w:pBdr>
        <w:bottom w:val="single" w:sz="4" w:space="1" w:color="auto"/>
      </w:pBdr>
      <w:jc w:val="center"/>
    </w:pPr>
    <w:r>
      <w:t>The Provision of Design</w:t>
    </w:r>
    <w:r w:rsidR="009A04BB">
      <w:t>,</w:t>
    </w:r>
    <w:r>
      <w:t xml:space="preserve"> Development and Delivery of a Diversity Leadership Course for the National Leadership Centre (NLC)</w:t>
    </w:r>
  </w:p>
  <w:p w14:paraId="41FED4DA" w14:textId="15CF9B86" w:rsidR="003B39B1" w:rsidRDefault="003B39B1" w:rsidP="003B39B1">
    <w:pPr>
      <w:pStyle w:val="Header"/>
      <w:pBdr>
        <w:bottom w:val="single" w:sz="4" w:space="1" w:color="auto"/>
      </w:pBdr>
      <w:jc w:val="center"/>
    </w:pPr>
    <w:r>
      <w:t>CCHR20A06</w:t>
    </w:r>
  </w:p>
  <w:p w14:paraId="68388EBA" w14:textId="77777777" w:rsidR="003B39B1" w:rsidRDefault="003B39B1"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8"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9"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3"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43F71CA4"/>
    <w:multiLevelType w:val="multilevel"/>
    <w:tmpl w:val="1332CCD4"/>
    <w:numStyleLink w:val="111111"/>
  </w:abstractNum>
  <w:abstractNum w:abstractNumId="26"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5"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1"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3"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0"/>
  </w:num>
  <w:num w:numId="3">
    <w:abstractNumId w:val="17"/>
  </w:num>
  <w:num w:numId="4">
    <w:abstractNumId w:val="18"/>
  </w:num>
  <w:num w:numId="5">
    <w:abstractNumId w:val="5"/>
  </w:num>
  <w:num w:numId="6">
    <w:abstractNumId w:val="28"/>
  </w:num>
  <w:num w:numId="7">
    <w:abstractNumId w:val="21"/>
  </w:num>
  <w:num w:numId="8">
    <w:abstractNumId w:val="14"/>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3"/>
  </w:num>
  <w:num w:numId="19">
    <w:abstractNumId w:val="20"/>
  </w:num>
  <w:num w:numId="20">
    <w:abstractNumId w:val="33"/>
  </w:num>
  <w:num w:numId="21">
    <w:abstractNumId w:val="13"/>
  </w:num>
  <w:num w:numId="22">
    <w:abstractNumId w:val="40"/>
  </w:num>
  <w:num w:numId="23">
    <w:abstractNumId w:val="15"/>
  </w:num>
  <w:num w:numId="24">
    <w:abstractNumId w:val="32"/>
  </w:num>
  <w:num w:numId="25">
    <w:abstractNumId w:val="22"/>
  </w:num>
  <w:num w:numId="26">
    <w:abstractNumId w:val="25"/>
  </w:num>
  <w:num w:numId="27">
    <w:abstractNumId w:val="39"/>
  </w:num>
  <w:num w:numId="28">
    <w:abstractNumId w:val="44"/>
  </w:num>
  <w:num w:numId="29">
    <w:abstractNumId w:val="19"/>
  </w:num>
  <w:num w:numId="30">
    <w:abstractNumId w:val="26"/>
  </w:num>
  <w:num w:numId="31">
    <w:abstractNumId w:val="35"/>
  </w:num>
  <w:num w:numId="32">
    <w:abstractNumId w:val="34"/>
  </w:num>
  <w:num w:numId="33">
    <w:abstractNumId w:val="43"/>
  </w:num>
  <w:num w:numId="34">
    <w:abstractNumId w:val="16"/>
  </w:num>
  <w:num w:numId="35">
    <w:abstractNumId w:val="31"/>
  </w:num>
  <w:num w:numId="36">
    <w:abstractNumId w:val="24"/>
  </w:num>
  <w:num w:numId="37">
    <w:abstractNumId w:val="8"/>
  </w:num>
  <w:num w:numId="38">
    <w:abstractNumId w:val="27"/>
  </w:num>
  <w:num w:numId="39">
    <w:abstractNumId w:val="36"/>
  </w:num>
  <w:num w:numId="40">
    <w:abstractNumId w:val="12"/>
  </w:num>
  <w:num w:numId="41">
    <w:abstractNumId w:val="38"/>
  </w:num>
  <w:num w:numId="42">
    <w:abstractNumId w:val="41"/>
  </w:num>
  <w:num w:numId="43">
    <w:abstractNumId w:val="10"/>
  </w:num>
  <w:num w:numId="44">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26A8"/>
    <w:rsid w:val="0002409B"/>
    <w:rsid w:val="00024B2F"/>
    <w:rsid w:val="00026CBD"/>
    <w:rsid w:val="00026E28"/>
    <w:rsid w:val="00027C05"/>
    <w:rsid w:val="000318CA"/>
    <w:rsid w:val="00031F13"/>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3683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2E34"/>
    <w:rsid w:val="003B39B1"/>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084"/>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157"/>
    <w:rsid w:val="00983AEF"/>
    <w:rsid w:val="00985750"/>
    <w:rsid w:val="00986DDB"/>
    <w:rsid w:val="00990BD5"/>
    <w:rsid w:val="00993043"/>
    <w:rsid w:val="00993750"/>
    <w:rsid w:val="00995389"/>
    <w:rsid w:val="00995864"/>
    <w:rsid w:val="00996944"/>
    <w:rsid w:val="00997A9A"/>
    <w:rsid w:val="009A041A"/>
    <w:rsid w:val="009A04BB"/>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272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0533"/>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1D8E"/>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69A4"/>
    <w:rsid w:val="00C1747F"/>
    <w:rsid w:val="00C25BEE"/>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0B42"/>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92BA191"/>
  <w15:docId w15:val="{B3A164A2-00C2-41E1-8E7A-B616ABB3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3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3ED8B950-5FD5-4E2A-926D-1BA35AE71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14</TotalTime>
  <Pages>30</Pages>
  <Words>9245</Words>
  <Characters>50685</Characters>
  <Application>Microsoft Office Word</Application>
  <DocSecurity>0</DocSecurity>
  <Lines>422</Lines>
  <Paragraphs>119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59811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Jack Lewis</cp:lastModifiedBy>
  <cp:revision>7</cp:revision>
  <cp:lastPrinted>2012-12-10T12:26:00Z</cp:lastPrinted>
  <dcterms:created xsi:type="dcterms:W3CDTF">2020-02-25T14:40:00Z</dcterms:created>
  <dcterms:modified xsi:type="dcterms:W3CDTF">2020-02-27T12:26:00Z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