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81B" w:rsidRPr="00CC54E5" w:rsidRDefault="00CF481B" w:rsidP="00CF481B">
      <w:pPr>
        <w:spacing w:before="0" w:line="240" w:lineRule="auto"/>
        <w:rPr>
          <w:rFonts w:ascii="Calibri" w:hAnsi="Calibri"/>
          <w:b/>
          <w:szCs w:val="22"/>
        </w:rPr>
      </w:pPr>
      <w:r w:rsidRPr="00CC54E5">
        <w:rPr>
          <w:rFonts w:ascii="Calibri" w:hAnsi="Calibri"/>
          <w:b/>
          <w:szCs w:val="22"/>
        </w:rPr>
        <w:t>SECTION TWO: SPECIFICATION</w:t>
      </w:r>
    </w:p>
    <w:p w:rsidR="00CF481B" w:rsidRPr="00CC54E5" w:rsidRDefault="00CF481B" w:rsidP="00CF481B">
      <w:pPr>
        <w:spacing w:before="0" w:line="240" w:lineRule="auto"/>
        <w:rPr>
          <w:rFonts w:ascii="Calibri" w:hAnsi="Calibri"/>
          <w:b/>
          <w:color w:val="FF0000"/>
          <w:szCs w:val="22"/>
        </w:rPr>
      </w:pPr>
    </w:p>
    <w:p w:rsidR="00CF481B" w:rsidRPr="00CC54E5" w:rsidRDefault="00CF481B" w:rsidP="00CF481B">
      <w:pPr>
        <w:pStyle w:val="Default"/>
        <w:rPr>
          <w:rFonts w:ascii="Calibri" w:hAnsi="Calibri"/>
          <w:color w:val="auto"/>
          <w:sz w:val="22"/>
          <w:szCs w:val="22"/>
        </w:rPr>
      </w:pPr>
      <w:r w:rsidRPr="00CC54E5">
        <w:rPr>
          <w:rFonts w:ascii="Calibri" w:hAnsi="Calibri"/>
          <w:color w:val="auto"/>
          <w:sz w:val="22"/>
          <w:szCs w:val="22"/>
        </w:rPr>
        <w:t xml:space="preserve">Section two of this ITT sets out the requirement for which the Customer invites Bidders to submit a Tender Response. </w:t>
      </w:r>
    </w:p>
    <w:p w:rsidR="00CF481B" w:rsidRPr="00CC54E5" w:rsidRDefault="00CF481B" w:rsidP="00CF481B">
      <w:pPr>
        <w:spacing w:before="0" w:line="240" w:lineRule="auto"/>
        <w:rPr>
          <w:rFonts w:ascii="Calibri" w:hAnsi="Calibri"/>
          <w:b/>
          <w:color w:val="FF0000"/>
          <w:szCs w:val="22"/>
        </w:rPr>
      </w:pPr>
    </w:p>
    <w:p w:rsidR="00CF481B" w:rsidRPr="00CC54E5" w:rsidRDefault="00CF481B" w:rsidP="00CF481B">
      <w:pPr>
        <w:pStyle w:val="Kew1"/>
        <w:numPr>
          <w:ilvl w:val="0"/>
          <w:numId w:val="2"/>
        </w:numPr>
        <w:rPr>
          <w:rFonts w:ascii="Calibri" w:hAnsi="Calibri"/>
          <w:b/>
          <w:sz w:val="22"/>
          <w:szCs w:val="22"/>
        </w:rPr>
      </w:pPr>
      <w:r w:rsidRPr="00CC54E5">
        <w:rPr>
          <w:rFonts w:ascii="Calibri" w:hAnsi="Calibri"/>
          <w:b/>
          <w:sz w:val="22"/>
          <w:szCs w:val="22"/>
          <w:lang w:val="en-GB"/>
        </w:rPr>
        <w:t>S</w:t>
      </w:r>
      <w:r w:rsidRPr="00CC54E5">
        <w:rPr>
          <w:rFonts w:ascii="Calibri" w:hAnsi="Calibri"/>
          <w:b/>
          <w:sz w:val="22"/>
          <w:szCs w:val="22"/>
        </w:rPr>
        <w:t>UMMARY</w:t>
      </w:r>
    </w:p>
    <w:p w:rsidR="00CF481B" w:rsidRPr="00CC54E5" w:rsidRDefault="00CF481B" w:rsidP="00CF481B">
      <w:pPr>
        <w:pStyle w:val="Kew1"/>
        <w:numPr>
          <w:ilvl w:val="0"/>
          <w:numId w:val="0"/>
        </w:numPr>
        <w:ind w:left="567"/>
        <w:rPr>
          <w:rFonts w:ascii="Calibri" w:hAnsi="Calibri"/>
          <w:b/>
          <w:sz w:val="22"/>
          <w:szCs w:val="22"/>
        </w:rPr>
      </w:pPr>
    </w:p>
    <w:p w:rsidR="00CF481B" w:rsidRPr="00CC54E5" w:rsidRDefault="00CF481B" w:rsidP="00CF481B">
      <w:pPr>
        <w:pStyle w:val="Default"/>
        <w:rPr>
          <w:rFonts w:ascii="Calibri" w:hAnsi="Calibri"/>
          <w:color w:val="auto"/>
          <w:sz w:val="22"/>
          <w:szCs w:val="22"/>
        </w:rPr>
      </w:pPr>
      <w:r w:rsidRPr="00CC54E5">
        <w:rPr>
          <w:rFonts w:ascii="Calibri" w:hAnsi="Calibri"/>
          <w:color w:val="auto"/>
          <w:sz w:val="22"/>
          <w:szCs w:val="22"/>
        </w:rPr>
        <w:t>A bench-top Digital X-Ray machine capable of X-raying seed and botanical specimens with PC/ monitor and software (Windows 7/10 compatible) capable of image capture and analysis.</w:t>
      </w:r>
    </w:p>
    <w:p w:rsidR="00CF481B" w:rsidRPr="00CC54E5" w:rsidRDefault="00CF481B" w:rsidP="00CF481B">
      <w:pPr>
        <w:pStyle w:val="Default"/>
        <w:rPr>
          <w:rFonts w:ascii="Calibri" w:hAnsi="Calibri"/>
          <w:color w:val="auto"/>
          <w:sz w:val="22"/>
          <w:szCs w:val="22"/>
        </w:rPr>
      </w:pPr>
    </w:p>
    <w:p w:rsidR="00CF481B" w:rsidRPr="00CC54E5" w:rsidRDefault="00CF481B" w:rsidP="00CF481B">
      <w:pPr>
        <w:pStyle w:val="Kew1"/>
        <w:numPr>
          <w:ilvl w:val="0"/>
          <w:numId w:val="2"/>
        </w:numPr>
        <w:rPr>
          <w:rFonts w:ascii="Calibri" w:hAnsi="Calibri"/>
          <w:b/>
          <w:sz w:val="22"/>
          <w:szCs w:val="22"/>
        </w:rPr>
      </w:pPr>
      <w:r w:rsidRPr="00CC54E5">
        <w:rPr>
          <w:rFonts w:ascii="Calibri" w:hAnsi="Calibri"/>
          <w:b/>
          <w:sz w:val="22"/>
          <w:szCs w:val="22"/>
        </w:rPr>
        <w:t xml:space="preserve"> ESSENTIAL REQUIREMENTS</w:t>
      </w:r>
    </w:p>
    <w:p w:rsidR="00CF481B" w:rsidRPr="00CC54E5" w:rsidRDefault="00CF481B" w:rsidP="00CF481B">
      <w:pPr>
        <w:pStyle w:val="Kew1"/>
        <w:numPr>
          <w:ilvl w:val="0"/>
          <w:numId w:val="0"/>
        </w:numPr>
        <w:ind w:left="567"/>
        <w:rPr>
          <w:rFonts w:ascii="Calibri" w:hAnsi="Calibri"/>
          <w:b/>
          <w:sz w:val="22"/>
          <w:szCs w:val="22"/>
        </w:rPr>
      </w:pPr>
    </w:p>
    <w:p w:rsidR="00CF481B" w:rsidRPr="00CC54E5" w:rsidRDefault="00CF481B" w:rsidP="00CF481B">
      <w:pPr>
        <w:pStyle w:val="Default"/>
        <w:rPr>
          <w:rFonts w:ascii="Calibri" w:hAnsi="Calibri"/>
          <w:color w:val="auto"/>
          <w:sz w:val="22"/>
          <w:szCs w:val="22"/>
        </w:rPr>
      </w:pPr>
      <w:r w:rsidRPr="00CC54E5">
        <w:rPr>
          <w:rFonts w:ascii="Calibri" w:hAnsi="Calibri"/>
          <w:color w:val="auto"/>
          <w:sz w:val="22"/>
          <w:szCs w:val="22"/>
        </w:rPr>
        <w:t>The Digital X-Ray machine must provide the following features:</w:t>
      </w:r>
    </w:p>
    <w:p w:rsidR="00CF481B" w:rsidRPr="00CC54E5" w:rsidRDefault="00CF481B" w:rsidP="00CF481B">
      <w:pPr>
        <w:pStyle w:val="Default"/>
        <w:rPr>
          <w:rFonts w:ascii="Calibri" w:hAnsi="Calibri"/>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354"/>
        <w:gridCol w:w="1165"/>
      </w:tblGrid>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shd w:val="clear" w:color="auto" w:fill="C9C9C9"/>
            <w:hideMark/>
          </w:tcPr>
          <w:p w:rsidR="00CF481B" w:rsidRPr="00CC54E5" w:rsidRDefault="00CF481B" w:rsidP="00857ED2">
            <w:pPr>
              <w:jc w:val="center"/>
              <w:rPr>
                <w:rFonts w:ascii="Calibri" w:hAnsi="Calibri"/>
                <w:b/>
                <w:szCs w:val="22"/>
              </w:rPr>
            </w:pPr>
            <w:r w:rsidRPr="00CC54E5">
              <w:rPr>
                <w:rFonts w:ascii="Calibri" w:hAnsi="Calibri"/>
                <w:b/>
                <w:szCs w:val="22"/>
              </w:rPr>
              <w:t>Requirement reference</w:t>
            </w:r>
          </w:p>
        </w:tc>
        <w:tc>
          <w:tcPr>
            <w:tcW w:w="6470" w:type="dxa"/>
            <w:tcBorders>
              <w:top w:val="single" w:sz="4" w:space="0" w:color="auto"/>
              <w:left w:val="single" w:sz="4" w:space="0" w:color="auto"/>
              <w:bottom w:val="single" w:sz="4" w:space="0" w:color="auto"/>
              <w:right w:val="single" w:sz="4" w:space="0" w:color="auto"/>
            </w:tcBorders>
            <w:shd w:val="clear" w:color="auto" w:fill="C9C9C9"/>
            <w:hideMark/>
          </w:tcPr>
          <w:p w:rsidR="00CF481B" w:rsidRPr="00CC54E5" w:rsidRDefault="00CF481B" w:rsidP="00857ED2">
            <w:pPr>
              <w:rPr>
                <w:rFonts w:ascii="Calibri" w:hAnsi="Calibri"/>
                <w:b/>
                <w:szCs w:val="22"/>
              </w:rPr>
            </w:pPr>
            <w:r w:rsidRPr="00CC54E5">
              <w:rPr>
                <w:rFonts w:ascii="Calibri" w:hAnsi="Calibri"/>
                <w:b/>
                <w:szCs w:val="22"/>
              </w:rPr>
              <w:t>Criteria</w:t>
            </w:r>
          </w:p>
        </w:tc>
        <w:tc>
          <w:tcPr>
            <w:tcW w:w="1165" w:type="dxa"/>
            <w:tcBorders>
              <w:top w:val="single" w:sz="4" w:space="0" w:color="auto"/>
              <w:left w:val="single" w:sz="4" w:space="0" w:color="auto"/>
              <w:bottom w:val="single" w:sz="4" w:space="0" w:color="auto"/>
              <w:right w:val="single" w:sz="4" w:space="0" w:color="auto"/>
            </w:tcBorders>
            <w:shd w:val="clear" w:color="auto" w:fill="C9C9C9"/>
            <w:vAlign w:val="center"/>
            <w:hideMark/>
          </w:tcPr>
          <w:p w:rsidR="00CF481B" w:rsidRPr="00CC54E5" w:rsidRDefault="00CF481B" w:rsidP="00857ED2">
            <w:pPr>
              <w:rPr>
                <w:rFonts w:ascii="Calibri" w:hAnsi="Calibri"/>
                <w:b/>
                <w:szCs w:val="22"/>
              </w:rPr>
            </w:pPr>
            <w:r w:rsidRPr="00CC54E5">
              <w:rPr>
                <w:rFonts w:ascii="Calibri" w:hAnsi="Calibri"/>
                <w:b/>
                <w:szCs w:val="22"/>
              </w:rPr>
              <w:t>Weighting</w:t>
            </w:r>
          </w:p>
        </w:tc>
      </w:tr>
      <w:tr w:rsidR="00CF481B" w:rsidRPr="00CC54E5" w:rsidTr="00857ED2">
        <w:trPr>
          <w:jc w:val="center"/>
        </w:trPr>
        <w:tc>
          <w:tcPr>
            <w:tcW w:w="9137" w:type="dxa"/>
            <w:gridSpan w:val="3"/>
            <w:tcBorders>
              <w:top w:val="single" w:sz="4" w:space="0" w:color="auto"/>
              <w:left w:val="single" w:sz="4" w:space="0" w:color="auto"/>
              <w:bottom w:val="single" w:sz="4" w:space="0" w:color="auto"/>
              <w:right w:val="single" w:sz="4" w:space="0" w:color="auto"/>
            </w:tcBorders>
            <w:shd w:val="clear" w:color="auto" w:fill="EDEDED"/>
            <w:hideMark/>
          </w:tcPr>
          <w:p w:rsidR="00CF481B" w:rsidRPr="00CC54E5" w:rsidRDefault="00CF481B" w:rsidP="00857ED2">
            <w:pPr>
              <w:jc w:val="center"/>
              <w:rPr>
                <w:rFonts w:ascii="Calibri" w:hAnsi="Calibri"/>
                <w:b/>
                <w:szCs w:val="22"/>
              </w:rPr>
            </w:pPr>
            <w:r w:rsidRPr="00CC54E5">
              <w:rPr>
                <w:rFonts w:ascii="Calibri" w:hAnsi="Calibri"/>
                <w:b/>
                <w:szCs w:val="22"/>
              </w:rPr>
              <w:t>Technical Performance</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jc w:val="center"/>
              <w:rPr>
                <w:rFonts w:ascii="Calibri" w:hAnsi="Calibri"/>
                <w:szCs w:val="22"/>
              </w:rPr>
            </w:pPr>
            <w:r w:rsidRPr="00CC54E5">
              <w:rPr>
                <w:rFonts w:ascii="Calibri" w:hAnsi="Calibri"/>
                <w:szCs w:val="22"/>
              </w:rPr>
              <w:t>1</w:t>
            </w:r>
          </w:p>
        </w:tc>
        <w:tc>
          <w:tcPr>
            <w:tcW w:w="6470"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Bench-top model</w:t>
            </w:r>
          </w:p>
        </w:tc>
        <w:tc>
          <w:tcPr>
            <w:tcW w:w="1165"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jc w:val="center"/>
              <w:rPr>
                <w:rFonts w:ascii="Calibri" w:hAnsi="Calibri"/>
                <w:szCs w:val="22"/>
              </w:rPr>
            </w:pPr>
            <w:r>
              <w:rPr>
                <w:rFonts w:ascii="Calibri" w:hAnsi="Calibri"/>
                <w:szCs w:val="22"/>
              </w:rPr>
              <w:t>5</w:t>
            </w:r>
            <w:r w:rsidRPr="00CC54E5">
              <w:rPr>
                <w:rFonts w:ascii="Calibri" w:hAnsi="Calibri"/>
                <w:szCs w:val="22"/>
              </w:rPr>
              <w:t>%</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2</w:t>
            </w:r>
          </w:p>
        </w:tc>
        <w:tc>
          <w:tcPr>
            <w:tcW w:w="6470" w:type="dxa"/>
            <w:tcBorders>
              <w:top w:val="single" w:sz="4" w:space="0" w:color="auto"/>
              <w:left w:val="single" w:sz="4" w:space="0" w:color="auto"/>
              <w:bottom w:val="single" w:sz="4" w:space="0" w:color="auto"/>
              <w:right w:val="single" w:sz="4" w:space="0" w:color="auto"/>
            </w:tcBorders>
            <w:vAlign w:val="center"/>
          </w:tcPr>
          <w:p w:rsidR="00CF481B" w:rsidRPr="008C4BAE"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Shielded cabinet</w:t>
            </w:r>
          </w:p>
        </w:tc>
        <w:tc>
          <w:tcPr>
            <w:tcW w:w="1165"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5</w:t>
            </w:r>
            <w:r w:rsidRPr="00CC54E5">
              <w:rPr>
                <w:rFonts w:ascii="Calibri" w:hAnsi="Calibri"/>
                <w:szCs w:val="22"/>
              </w:rPr>
              <w:t>%</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3</w:t>
            </w:r>
          </w:p>
        </w:tc>
        <w:tc>
          <w:tcPr>
            <w:tcW w:w="6470" w:type="dxa"/>
            <w:tcBorders>
              <w:top w:val="single" w:sz="4" w:space="0" w:color="auto"/>
              <w:left w:val="single" w:sz="4" w:space="0" w:color="auto"/>
              <w:bottom w:val="single" w:sz="4" w:space="0" w:color="auto"/>
              <w:right w:val="single" w:sz="4" w:space="0" w:color="auto"/>
            </w:tcBorders>
            <w:vAlign w:val="center"/>
          </w:tcPr>
          <w:p w:rsidR="00CF481B" w:rsidRPr="008C4BAE"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220-230v with UK 13amp plug</w:t>
            </w:r>
          </w:p>
        </w:tc>
        <w:tc>
          <w:tcPr>
            <w:tcW w:w="1165"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5</w:t>
            </w:r>
            <w:r w:rsidRPr="00CC54E5">
              <w:rPr>
                <w:rFonts w:ascii="Calibri" w:hAnsi="Calibri"/>
                <w:szCs w:val="22"/>
              </w:rPr>
              <w:t>%</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4</w:t>
            </w:r>
          </w:p>
        </w:tc>
        <w:tc>
          <w:tcPr>
            <w:tcW w:w="6470"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Includes PC, monitor and keyboard with Windows 7/10 compatible software capable of image capture and analysis.</w:t>
            </w:r>
          </w:p>
        </w:tc>
        <w:tc>
          <w:tcPr>
            <w:tcW w:w="1165"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5</w:t>
            </w:r>
            <w:r w:rsidRPr="00CC54E5">
              <w:rPr>
                <w:rFonts w:ascii="Calibri" w:hAnsi="Calibri"/>
                <w:szCs w:val="22"/>
              </w:rPr>
              <w:t>%</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jc w:val="center"/>
              <w:rPr>
                <w:rFonts w:ascii="Calibri" w:hAnsi="Calibri"/>
                <w:szCs w:val="22"/>
              </w:rPr>
            </w:pPr>
            <w:r>
              <w:rPr>
                <w:rFonts w:ascii="Calibri" w:hAnsi="Calibri"/>
                <w:szCs w:val="22"/>
              </w:rPr>
              <w:t>5</w:t>
            </w:r>
          </w:p>
        </w:tc>
        <w:tc>
          <w:tcPr>
            <w:tcW w:w="6470" w:type="dxa"/>
            <w:tcBorders>
              <w:top w:val="single" w:sz="4" w:space="0" w:color="auto"/>
              <w:left w:val="single" w:sz="4" w:space="0" w:color="auto"/>
              <w:bottom w:val="single" w:sz="4" w:space="0" w:color="auto"/>
              <w:right w:val="single" w:sz="4" w:space="0" w:color="auto"/>
            </w:tcBorders>
            <w:vAlign w:val="center"/>
            <w:hideMark/>
          </w:tcPr>
          <w:p w:rsidR="00CF481B" w:rsidRPr="008C4BAE"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Energy range of at le</w:t>
            </w:r>
            <w:bookmarkStart w:id="0" w:name="_GoBack"/>
            <w:bookmarkEnd w:id="0"/>
            <w:r w:rsidRPr="00CC54E5">
              <w:rPr>
                <w:rFonts w:ascii="Calibri" w:hAnsi="Calibri"/>
                <w:color w:val="auto"/>
                <w:sz w:val="22"/>
                <w:szCs w:val="22"/>
              </w:rPr>
              <w:t>ast 10-50Kv</w:t>
            </w:r>
          </w:p>
        </w:tc>
        <w:tc>
          <w:tcPr>
            <w:tcW w:w="1165"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jc w:val="center"/>
              <w:rPr>
                <w:rFonts w:ascii="Calibri" w:hAnsi="Calibri"/>
                <w:szCs w:val="22"/>
              </w:rPr>
            </w:pPr>
            <w:r>
              <w:rPr>
                <w:rFonts w:ascii="Calibri" w:hAnsi="Calibri"/>
                <w:szCs w:val="22"/>
              </w:rPr>
              <w:t>6</w:t>
            </w:r>
            <w:r w:rsidRPr="00CC54E5">
              <w:rPr>
                <w:rFonts w:ascii="Calibri" w:hAnsi="Calibri"/>
                <w:szCs w:val="22"/>
              </w:rPr>
              <w:t>%</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6</w:t>
            </w:r>
          </w:p>
        </w:tc>
        <w:tc>
          <w:tcPr>
            <w:tcW w:w="6470" w:type="dxa"/>
            <w:tcBorders>
              <w:top w:val="single" w:sz="4" w:space="0" w:color="auto"/>
              <w:left w:val="single" w:sz="4" w:space="0" w:color="auto"/>
              <w:bottom w:val="single" w:sz="4" w:space="0" w:color="auto"/>
              <w:right w:val="single" w:sz="4" w:space="0" w:color="auto"/>
            </w:tcBorders>
            <w:vAlign w:val="center"/>
          </w:tcPr>
          <w:p w:rsidR="00CF481B" w:rsidRPr="008C4BAE"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Image sensor of at least 15cm x 10cm</w:t>
            </w:r>
          </w:p>
        </w:tc>
        <w:tc>
          <w:tcPr>
            <w:tcW w:w="1165"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7%</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7</w:t>
            </w:r>
          </w:p>
        </w:tc>
        <w:tc>
          <w:tcPr>
            <w:tcW w:w="6470"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Magnification to at least x5</w:t>
            </w:r>
          </w:p>
        </w:tc>
        <w:tc>
          <w:tcPr>
            <w:tcW w:w="1165"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7%</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jc w:val="center"/>
              <w:rPr>
                <w:rFonts w:ascii="Calibri" w:hAnsi="Calibri"/>
                <w:szCs w:val="22"/>
              </w:rPr>
            </w:pPr>
            <w:r>
              <w:rPr>
                <w:rFonts w:ascii="Calibri" w:hAnsi="Calibri"/>
                <w:szCs w:val="22"/>
              </w:rPr>
              <w:t>8</w:t>
            </w:r>
          </w:p>
        </w:tc>
        <w:tc>
          <w:tcPr>
            <w:tcW w:w="6470"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Automatic calibration</w:t>
            </w:r>
          </w:p>
        </w:tc>
        <w:tc>
          <w:tcPr>
            <w:tcW w:w="1165"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jc w:val="center"/>
              <w:rPr>
                <w:rFonts w:ascii="Calibri" w:hAnsi="Calibri"/>
                <w:szCs w:val="22"/>
              </w:rPr>
            </w:pPr>
            <w:r>
              <w:rPr>
                <w:rFonts w:ascii="Calibri" w:hAnsi="Calibri"/>
                <w:szCs w:val="22"/>
              </w:rPr>
              <w:t>1</w:t>
            </w:r>
            <w:r w:rsidRPr="00CC54E5">
              <w:rPr>
                <w:rFonts w:ascii="Calibri" w:hAnsi="Calibri"/>
                <w:szCs w:val="22"/>
              </w:rPr>
              <w:t>0%</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9</w:t>
            </w:r>
          </w:p>
        </w:tc>
        <w:tc>
          <w:tcPr>
            <w:tcW w:w="6470"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Automatic / manual exposure options</w:t>
            </w:r>
          </w:p>
        </w:tc>
        <w:tc>
          <w:tcPr>
            <w:tcW w:w="1165"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1</w:t>
            </w:r>
            <w:r w:rsidRPr="00CC54E5">
              <w:rPr>
                <w:rFonts w:ascii="Calibri" w:hAnsi="Calibri"/>
                <w:szCs w:val="22"/>
              </w:rPr>
              <w:t>0%</w:t>
            </w:r>
          </w:p>
        </w:tc>
      </w:tr>
      <w:tr w:rsidR="00CF481B" w:rsidRPr="00CC54E5" w:rsidTr="00857ED2">
        <w:trPr>
          <w:jc w:val="center"/>
        </w:trPr>
        <w:tc>
          <w:tcPr>
            <w:tcW w:w="9137" w:type="dxa"/>
            <w:gridSpan w:val="3"/>
            <w:tcBorders>
              <w:top w:val="single" w:sz="4" w:space="0" w:color="auto"/>
              <w:left w:val="single" w:sz="4" w:space="0" w:color="auto"/>
              <w:bottom w:val="single" w:sz="4" w:space="0" w:color="auto"/>
              <w:right w:val="single" w:sz="4" w:space="0" w:color="auto"/>
            </w:tcBorders>
            <w:shd w:val="clear" w:color="auto" w:fill="EDEDED"/>
            <w:hideMark/>
          </w:tcPr>
          <w:p w:rsidR="00CF481B" w:rsidRPr="00CC54E5" w:rsidRDefault="00CF481B" w:rsidP="00857ED2">
            <w:pPr>
              <w:jc w:val="center"/>
              <w:rPr>
                <w:rFonts w:ascii="Calibri" w:hAnsi="Calibri"/>
                <w:b/>
                <w:szCs w:val="22"/>
                <w:highlight w:val="yellow"/>
              </w:rPr>
            </w:pPr>
            <w:r w:rsidRPr="00CC54E5">
              <w:rPr>
                <w:rFonts w:ascii="Calibri" w:hAnsi="Calibri"/>
                <w:b/>
                <w:szCs w:val="22"/>
              </w:rPr>
              <w:t>Service Requirements</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hideMark/>
          </w:tcPr>
          <w:p w:rsidR="00CF481B" w:rsidRPr="00CC54E5" w:rsidRDefault="00CF481B" w:rsidP="00857ED2">
            <w:pPr>
              <w:jc w:val="center"/>
              <w:rPr>
                <w:rFonts w:ascii="Calibri" w:hAnsi="Calibri"/>
                <w:szCs w:val="22"/>
              </w:rPr>
            </w:pPr>
            <w:r>
              <w:rPr>
                <w:rFonts w:ascii="Calibri" w:hAnsi="Calibri"/>
                <w:szCs w:val="22"/>
              </w:rPr>
              <w:t>10</w:t>
            </w:r>
          </w:p>
        </w:tc>
        <w:tc>
          <w:tcPr>
            <w:tcW w:w="6470" w:type="dxa"/>
            <w:tcBorders>
              <w:top w:val="single" w:sz="4" w:space="0" w:color="auto"/>
              <w:left w:val="single" w:sz="4" w:space="0" w:color="auto"/>
              <w:bottom w:val="single" w:sz="4" w:space="0" w:color="auto"/>
              <w:right w:val="single" w:sz="4" w:space="0" w:color="auto"/>
            </w:tcBorders>
            <w:hideMark/>
          </w:tcPr>
          <w:p w:rsidR="00CF481B" w:rsidRPr="003F45AC"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 xml:space="preserve">Parts and labour warranty provided for at least 1 year </w:t>
            </w:r>
          </w:p>
        </w:tc>
        <w:tc>
          <w:tcPr>
            <w:tcW w:w="1165"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jc w:val="center"/>
              <w:rPr>
                <w:rFonts w:ascii="Calibri" w:hAnsi="Calibri"/>
                <w:szCs w:val="22"/>
              </w:rPr>
            </w:pPr>
            <w:r>
              <w:rPr>
                <w:rFonts w:ascii="Calibri" w:hAnsi="Calibri"/>
                <w:szCs w:val="22"/>
              </w:rPr>
              <w:t>4</w:t>
            </w:r>
            <w:r w:rsidRPr="00CC54E5">
              <w:rPr>
                <w:rFonts w:ascii="Calibri" w:hAnsi="Calibri"/>
                <w:szCs w:val="22"/>
              </w:rPr>
              <w:t>%</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tcPr>
          <w:p w:rsidR="00CF481B" w:rsidRPr="00CC54E5" w:rsidRDefault="00CF481B" w:rsidP="00857ED2">
            <w:pPr>
              <w:jc w:val="center"/>
              <w:rPr>
                <w:rFonts w:ascii="Calibri" w:hAnsi="Calibri"/>
                <w:szCs w:val="22"/>
              </w:rPr>
            </w:pPr>
            <w:r>
              <w:rPr>
                <w:rFonts w:ascii="Calibri" w:hAnsi="Calibri"/>
                <w:szCs w:val="22"/>
              </w:rPr>
              <w:t>11</w:t>
            </w:r>
          </w:p>
        </w:tc>
        <w:tc>
          <w:tcPr>
            <w:tcW w:w="6470" w:type="dxa"/>
            <w:tcBorders>
              <w:top w:val="single" w:sz="4" w:space="0" w:color="auto"/>
              <w:left w:val="single" w:sz="4" w:space="0" w:color="auto"/>
              <w:bottom w:val="single" w:sz="4" w:space="0" w:color="auto"/>
              <w:right w:val="single" w:sz="4" w:space="0" w:color="auto"/>
            </w:tcBorders>
          </w:tcPr>
          <w:p w:rsidR="00CF481B" w:rsidRPr="00CC54E5" w:rsidRDefault="00CF481B" w:rsidP="00857ED2">
            <w:pPr>
              <w:pStyle w:val="Default"/>
              <w:spacing w:after="240"/>
              <w:rPr>
                <w:rFonts w:ascii="Calibri" w:hAnsi="Calibri"/>
                <w:color w:val="auto"/>
                <w:sz w:val="22"/>
                <w:szCs w:val="22"/>
              </w:rPr>
            </w:pPr>
            <w:r w:rsidRPr="00CC54E5">
              <w:rPr>
                <w:rFonts w:ascii="Calibri" w:hAnsi="Calibri"/>
                <w:color w:val="auto"/>
                <w:sz w:val="22"/>
                <w:szCs w:val="22"/>
              </w:rPr>
              <w:t xml:space="preserve">The supplier or manufacturer of the X-Ray machine must be able to acknowledge and respond to calls to repair the equipment, whilst </w:t>
            </w:r>
            <w:r w:rsidRPr="00CC54E5">
              <w:rPr>
                <w:rFonts w:ascii="Calibri" w:hAnsi="Calibri"/>
                <w:color w:val="auto"/>
                <w:sz w:val="22"/>
                <w:szCs w:val="22"/>
              </w:rPr>
              <w:lastRenderedPageBreak/>
              <w:t xml:space="preserve">under warranty, within a reasonable amount of time after the Customer has contacted the supplier </w:t>
            </w:r>
          </w:p>
        </w:tc>
        <w:tc>
          <w:tcPr>
            <w:tcW w:w="1165"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lastRenderedPageBreak/>
              <w:t>3%</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tcPr>
          <w:p w:rsidR="00CF481B" w:rsidRPr="00CC54E5" w:rsidRDefault="00CF481B" w:rsidP="00857ED2">
            <w:pPr>
              <w:jc w:val="center"/>
              <w:rPr>
                <w:rFonts w:ascii="Calibri" w:hAnsi="Calibri"/>
                <w:szCs w:val="22"/>
              </w:rPr>
            </w:pPr>
            <w:r>
              <w:rPr>
                <w:rFonts w:ascii="Calibri" w:hAnsi="Calibri"/>
                <w:szCs w:val="22"/>
              </w:rPr>
              <w:t>12</w:t>
            </w:r>
          </w:p>
        </w:tc>
        <w:tc>
          <w:tcPr>
            <w:tcW w:w="6470" w:type="dxa"/>
            <w:tcBorders>
              <w:top w:val="single" w:sz="4" w:space="0" w:color="auto"/>
              <w:left w:val="single" w:sz="4" w:space="0" w:color="auto"/>
              <w:bottom w:val="single" w:sz="4" w:space="0" w:color="auto"/>
              <w:right w:val="single" w:sz="4" w:space="0" w:color="auto"/>
            </w:tcBorders>
          </w:tcPr>
          <w:p w:rsidR="00CF481B" w:rsidRPr="00CC54E5" w:rsidRDefault="00CF481B" w:rsidP="00857ED2">
            <w:pPr>
              <w:pStyle w:val="Default"/>
              <w:spacing w:after="240"/>
              <w:rPr>
                <w:rFonts w:ascii="Calibri" w:hAnsi="Calibri"/>
                <w:color w:val="auto"/>
                <w:sz w:val="22"/>
                <w:szCs w:val="22"/>
              </w:rPr>
            </w:pPr>
            <w:r w:rsidRPr="003F45AC">
              <w:rPr>
                <w:rFonts w:ascii="Calibri" w:hAnsi="Calibri"/>
                <w:color w:val="auto"/>
                <w:sz w:val="22"/>
                <w:szCs w:val="22"/>
              </w:rPr>
              <w:t>Software upgrades and patches are provided for the life of the machine at minimal cost to the Authority</w:t>
            </w:r>
          </w:p>
        </w:tc>
        <w:tc>
          <w:tcPr>
            <w:tcW w:w="1165" w:type="dxa"/>
            <w:tcBorders>
              <w:top w:val="single" w:sz="4" w:space="0" w:color="auto"/>
              <w:left w:val="single" w:sz="4" w:space="0" w:color="auto"/>
              <w:bottom w:val="single" w:sz="4" w:space="0" w:color="auto"/>
              <w:right w:val="single" w:sz="4" w:space="0" w:color="auto"/>
            </w:tcBorders>
            <w:vAlign w:val="center"/>
          </w:tcPr>
          <w:p w:rsidR="00CF481B" w:rsidRPr="00CC54E5" w:rsidRDefault="00CF481B" w:rsidP="00857ED2">
            <w:pPr>
              <w:jc w:val="center"/>
              <w:rPr>
                <w:rFonts w:ascii="Calibri" w:hAnsi="Calibri"/>
                <w:szCs w:val="22"/>
              </w:rPr>
            </w:pPr>
            <w:r>
              <w:rPr>
                <w:rFonts w:ascii="Calibri" w:hAnsi="Calibri"/>
                <w:szCs w:val="22"/>
              </w:rPr>
              <w:t>3%</w:t>
            </w:r>
          </w:p>
        </w:tc>
      </w:tr>
      <w:tr w:rsidR="00CF481B" w:rsidRPr="00CC54E5" w:rsidTr="00857ED2">
        <w:trPr>
          <w:jc w:val="center"/>
        </w:trPr>
        <w:tc>
          <w:tcPr>
            <w:tcW w:w="9137" w:type="dxa"/>
            <w:gridSpan w:val="3"/>
            <w:tcBorders>
              <w:top w:val="single" w:sz="4" w:space="0" w:color="auto"/>
              <w:left w:val="single" w:sz="4" w:space="0" w:color="auto"/>
              <w:bottom w:val="single" w:sz="4" w:space="0" w:color="auto"/>
              <w:right w:val="single" w:sz="4" w:space="0" w:color="auto"/>
            </w:tcBorders>
            <w:shd w:val="clear" w:color="auto" w:fill="EDEDED"/>
            <w:hideMark/>
          </w:tcPr>
          <w:p w:rsidR="00CF481B" w:rsidRPr="00CC54E5" w:rsidRDefault="00CF481B" w:rsidP="00857ED2">
            <w:pPr>
              <w:jc w:val="center"/>
              <w:rPr>
                <w:rFonts w:ascii="Calibri" w:hAnsi="Calibri"/>
                <w:b/>
                <w:szCs w:val="22"/>
                <w:highlight w:val="yellow"/>
              </w:rPr>
            </w:pPr>
            <w:r w:rsidRPr="00CC54E5">
              <w:rPr>
                <w:rFonts w:ascii="Calibri" w:hAnsi="Calibri"/>
                <w:b/>
                <w:szCs w:val="22"/>
              </w:rPr>
              <w:t>Commercial</w:t>
            </w:r>
          </w:p>
        </w:tc>
      </w:tr>
      <w:tr w:rsidR="00CF481B" w:rsidRPr="00CC54E5" w:rsidTr="00857ED2">
        <w:trPr>
          <w:jc w:val="center"/>
        </w:trPr>
        <w:tc>
          <w:tcPr>
            <w:tcW w:w="1502" w:type="dxa"/>
            <w:tcBorders>
              <w:top w:val="single" w:sz="4" w:space="0" w:color="auto"/>
              <w:left w:val="single" w:sz="4" w:space="0" w:color="auto"/>
              <w:bottom w:val="single" w:sz="4" w:space="0" w:color="auto"/>
              <w:right w:val="single" w:sz="4" w:space="0" w:color="auto"/>
            </w:tcBorders>
            <w:hideMark/>
          </w:tcPr>
          <w:p w:rsidR="00CF481B" w:rsidRPr="00CC54E5" w:rsidRDefault="00CF481B" w:rsidP="00857ED2">
            <w:pPr>
              <w:jc w:val="center"/>
              <w:rPr>
                <w:rFonts w:ascii="Calibri" w:hAnsi="Calibri"/>
                <w:szCs w:val="22"/>
              </w:rPr>
            </w:pPr>
            <w:r w:rsidRPr="00CC54E5">
              <w:rPr>
                <w:rFonts w:ascii="Calibri" w:hAnsi="Calibri"/>
                <w:szCs w:val="22"/>
              </w:rPr>
              <w:t>5</w:t>
            </w:r>
          </w:p>
        </w:tc>
        <w:tc>
          <w:tcPr>
            <w:tcW w:w="6470" w:type="dxa"/>
            <w:tcBorders>
              <w:top w:val="single" w:sz="4" w:space="0" w:color="auto"/>
              <w:left w:val="single" w:sz="4" w:space="0" w:color="auto"/>
              <w:bottom w:val="single" w:sz="4" w:space="0" w:color="auto"/>
              <w:right w:val="single" w:sz="4" w:space="0" w:color="auto"/>
            </w:tcBorders>
            <w:hideMark/>
          </w:tcPr>
          <w:p w:rsidR="00CF481B" w:rsidRPr="00CC54E5" w:rsidRDefault="00CF481B" w:rsidP="00857ED2">
            <w:pPr>
              <w:rPr>
                <w:rFonts w:ascii="Calibri" w:hAnsi="Calibri"/>
                <w:szCs w:val="22"/>
              </w:rPr>
            </w:pPr>
            <w:r w:rsidRPr="00CC54E5">
              <w:rPr>
                <w:rFonts w:ascii="Calibri" w:hAnsi="Calibri"/>
                <w:szCs w:val="22"/>
              </w:rPr>
              <w:t xml:space="preserve">Total Cost </w:t>
            </w:r>
          </w:p>
        </w:tc>
        <w:tc>
          <w:tcPr>
            <w:tcW w:w="1165" w:type="dxa"/>
            <w:tcBorders>
              <w:top w:val="single" w:sz="4" w:space="0" w:color="auto"/>
              <w:left w:val="single" w:sz="4" w:space="0" w:color="auto"/>
              <w:bottom w:val="single" w:sz="4" w:space="0" w:color="auto"/>
              <w:right w:val="single" w:sz="4" w:space="0" w:color="auto"/>
            </w:tcBorders>
            <w:vAlign w:val="center"/>
            <w:hideMark/>
          </w:tcPr>
          <w:p w:rsidR="00CF481B" w:rsidRPr="00CC54E5" w:rsidRDefault="00CF481B" w:rsidP="00857ED2">
            <w:pPr>
              <w:jc w:val="center"/>
              <w:rPr>
                <w:rFonts w:ascii="Calibri" w:hAnsi="Calibri"/>
                <w:szCs w:val="22"/>
              </w:rPr>
            </w:pPr>
            <w:r w:rsidRPr="00CC54E5">
              <w:rPr>
                <w:rFonts w:ascii="Calibri" w:hAnsi="Calibri"/>
                <w:szCs w:val="22"/>
              </w:rPr>
              <w:t>30%</w:t>
            </w:r>
          </w:p>
        </w:tc>
      </w:tr>
      <w:tr w:rsidR="00CF481B" w:rsidRPr="00CC54E5" w:rsidTr="00857ED2">
        <w:trPr>
          <w:jc w:val="center"/>
        </w:trPr>
        <w:tc>
          <w:tcPr>
            <w:tcW w:w="7972" w:type="dxa"/>
            <w:gridSpan w:val="2"/>
            <w:tcBorders>
              <w:top w:val="single" w:sz="4" w:space="0" w:color="auto"/>
              <w:left w:val="single" w:sz="4" w:space="0" w:color="auto"/>
              <w:bottom w:val="single" w:sz="4" w:space="0" w:color="auto"/>
              <w:right w:val="single" w:sz="4" w:space="0" w:color="auto"/>
            </w:tcBorders>
            <w:shd w:val="clear" w:color="auto" w:fill="C9C9C9"/>
            <w:hideMark/>
          </w:tcPr>
          <w:p w:rsidR="00CF481B" w:rsidRPr="00CC54E5" w:rsidRDefault="00CF481B" w:rsidP="00857ED2">
            <w:pPr>
              <w:jc w:val="center"/>
              <w:rPr>
                <w:rFonts w:ascii="Calibri" w:hAnsi="Calibri"/>
                <w:b/>
                <w:szCs w:val="22"/>
              </w:rPr>
            </w:pPr>
            <w:r w:rsidRPr="00CC54E5">
              <w:rPr>
                <w:rFonts w:ascii="Calibri" w:hAnsi="Calibri"/>
                <w:b/>
                <w:szCs w:val="22"/>
              </w:rPr>
              <w:t>Total</w:t>
            </w:r>
          </w:p>
        </w:tc>
        <w:tc>
          <w:tcPr>
            <w:tcW w:w="1165" w:type="dxa"/>
            <w:tcBorders>
              <w:top w:val="single" w:sz="4" w:space="0" w:color="auto"/>
              <w:left w:val="single" w:sz="4" w:space="0" w:color="auto"/>
              <w:bottom w:val="single" w:sz="4" w:space="0" w:color="auto"/>
              <w:right w:val="single" w:sz="4" w:space="0" w:color="auto"/>
            </w:tcBorders>
            <w:shd w:val="clear" w:color="auto" w:fill="C9C9C9"/>
            <w:vAlign w:val="center"/>
            <w:hideMark/>
          </w:tcPr>
          <w:p w:rsidR="00CF481B" w:rsidRPr="00CC54E5" w:rsidRDefault="00CF481B" w:rsidP="00857ED2">
            <w:pPr>
              <w:jc w:val="center"/>
              <w:rPr>
                <w:rFonts w:ascii="Calibri" w:hAnsi="Calibri"/>
                <w:b/>
                <w:szCs w:val="22"/>
              </w:rPr>
            </w:pPr>
            <w:r w:rsidRPr="00CC54E5">
              <w:rPr>
                <w:rFonts w:ascii="Calibri" w:hAnsi="Calibri"/>
                <w:b/>
                <w:szCs w:val="22"/>
              </w:rPr>
              <w:t>100%</w:t>
            </w:r>
          </w:p>
        </w:tc>
      </w:tr>
    </w:tbl>
    <w:p w:rsidR="00CF481B" w:rsidRPr="00CC54E5" w:rsidRDefault="00CF481B" w:rsidP="00CF481B">
      <w:pPr>
        <w:spacing w:line="240" w:lineRule="auto"/>
        <w:rPr>
          <w:rFonts w:ascii="Calibri" w:hAnsi="Calibri"/>
          <w:color w:val="FF0000"/>
          <w:szCs w:val="22"/>
        </w:rPr>
      </w:pPr>
    </w:p>
    <w:p w:rsidR="00CF481B" w:rsidRPr="00CC54E5" w:rsidRDefault="00CF481B" w:rsidP="00CF481B">
      <w:pPr>
        <w:pStyle w:val="Kew1"/>
        <w:numPr>
          <w:ilvl w:val="0"/>
          <w:numId w:val="2"/>
        </w:numPr>
        <w:rPr>
          <w:rFonts w:ascii="Calibri" w:hAnsi="Calibri"/>
          <w:b/>
          <w:sz w:val="22"/>
          <w:szCs w:val="22"/>
        </w:rPr>
      </w:pPr>
      <w:r w:rsidRPr="00CC54E5">
        <w:rPr>
          <w:rFonts w:ascii="Calibri" w:hAnsi="Calibri"/>
          <w:sz w:val="22"/>
          <w:szCs w:val="22"/>
        </w:rPr>
        <w:t xml:space="preserve"> </w:t>
      </w:r>
      <w:r w:rsidRPr="00CC54E5">
        <w:rPr>
          <w:rFonts w:ascii="Calibri" w:hAnsi="Calibri"/>
          <w:sz w:val="22"/>
          <w:szCs w:val="22"/>
        </w:rPr>
        <w:tab/>
      </w:r>
      <w:r w:rsidRPr="00CC54E5">
        <w:rPr>
          <w:rFonts w:ascii="Calibri" w:hAnsi="Calibri"/>
          <w:b/>
          <w:sz w:val="22"/>
          <w:szCs w:val="22"/>
        </w:rPr>
        <w:t>DELIVERY DATES</w:t>
      </w:r>
    </w:p>
    <w:p w:rsidR="00CF481B" w:rsidRPr="00CC54E5" w:rsidRDefault="00CF481B" w:rsidP="00CF481B">
      <w:pPr>
        <w:pStyle w:val="Kew1"/>
        <w:numPr>
          <w:ilvl w:val="0"/>
          <w:numId w:val="0"/>
        </w:numPr>
        <w:ind w:left="720"/>
        <w:rPr>
          <w:rFonts w:ascii="Calibri" w:hAnsi="Calibri"/>
          <w:b/>
          <w:sz w:val="22"/>
          <w:szCs w:val="22"/>
        </w:rPr>
      </w:pPr>
    </w:p>
    <w:p w:rsidR="00CF481B" w:rsidRPr="00CC54E5" w:rsidRDefault="00CF481B" w:rsidP="00CF481B">
      <w:pPr>
        <w:pStyle w:val="Default"/>
        <w:rPr>
          <w:rFonts w:ascii="Calibri" w:hAnsi="Calibri"/>
          <w:color w:val="auto"/>
          <w:sz w:val="22"/>
          <w:szCs w:val="22"/>
        </w:rPr>
      </w:pPr>
      <w:r w:rsidRPr="00CC54E5">
        <w:rPr>
          <w:rFonts w:ascii="Calibri" w:hAnsi="Calibri"/>
          <w:color w:val="auto"/>
          <w:sz w:val="22"/>
          <w:szCs w:val="22"/>
        </w:rPr>
        <w:t xml:space="preserve">Delivery to the Millennium Seed Bank, </w:t>
      </w:r>
      <w:proofErr w:type="spellStart"/>
      <w:r w:rsidRPr="00CC54E5">
        <w:rPr>
          <w:rFonts w:ascii="Calibri" w:hAnsi="Calibri"/>
          <w:color w:val="auto"/>
          <w:sz w:val="22"/>
          <w:szCs w:val="22"/>
        </w:rPr>
        <w:t>Wakehurst</w:t>
      </w:r>
      <w:proofErr w:type="spellEnd"/>
      <w:r w:rsidRPr="00CC54E5">
        <w:rPr>
          <w:rFonts w:ascii="Calibri" w:hAnsi="Calibri"/>
          <w:color w:val="auto"/>
          <w:sz w:val="22"/>
          <w:szCs w:val="22"/>
        </w:rPr>
        <w:t>, </w:t>
      </w:r>
      <w:proofErr w:type="spellStart"/>
      <w:r w:rsidRPr="00CC54E5">
        <w:rPr>
          <w:rFonts w:ascii="Calibri" w:hAnsi="Calibri"/>
          <w:color w:val="auto"/>
          <w:sz w:val="22"/>
          <w:szCs w:val="22"/>
        </w:rPr>
        <w:t>Ardingly</w:t>
      </w:r>
      <w:proofErr w:type="spellEnd"/>
      <w:r w:rsidRPr="00CC54E5">
        <w:rPr>
          <w:rFonts w:ascii="Calibri" w:hAnsi="Calibri"/>
          <w:color w:val="auto"/>
          <w:sz w:val="22"/>
          <w:szCs w:val="22"/>
        </w:rPr>
        <w:t>, Haywards Heath, Sussex, RH17 6TN.  Set-up, a brief demonstration of equipment and removal of waste packaging must be completed by 31</w:t>
      </w:r>
      <w:r w:rsidRPr="00CC54E5">
        <w:rPr>
          <w:rFonts w:ascii="Calibri" w:hAnsi="Calibri"/>
          <w:color w:val="auto"/>
          <w:sz w:val="22"/>
          <w:szCs w:val="22"/>
          <w:vertAlign w:val="superscript"/>
        </w:rPr>
        <w:t>st</w:t>
      </w:r>
      <w:r w:rsidRPr="00CC54E5">
        <w:rPr>
          <w:rFonts w:ascii="Calibri" w:hAnsi="Calibri"/>
          <w:color w:val="auto"/>
          <w:sz w:val="22"/>
          <w:szCs w:val="22"/>
        </w:rPr>
        <w:t xml:space="preserve"> March 2017.</w:t>
      </w:r>
    </w:p>
    <w:p w:rsidR="00CF481B" w:rsidRPr="00CC54E5" w:rsidRDefault="00CF481B" w:rsidP="00CF481B">
      <w:pPr>
        <w:pStyle w:val="Default"/>
        <w:rPr>
          <w:rFonts w:ascii="Calibri" w:hAnsi="Calibri"/>
          <w:color w:val="auto"/>
          <w:sz w:val="22"/>
          <w:szCs w:val="22"/>
        </w:rPr>
      </w:pPr>
    </w:p>
    <w:p w:rsidR="00CF481B" w:rsidRPr="00CC54E5" w:rsidRDefault="00CF481B" w:rsidP="00CF481B">
      <w:pPr>
        <w:pStyle w:val="Kew1"/>
        <w:numPr>
          <w:ilvl w:val="0"/>
          <w:numId w:val="2"/>
        </w:numPr>
        <w:rPr>
          <w:rFonts w:ascii="Calibri" w:hAnsi="Calibri"/>
          <w:b/>
          <w:sz w:val="22"/>
          <w:szCs w:val="22"/>
        </w:rPr>
      </w:pPr>
      <w:r w:rsidRPr="00CC54E5">
        <w:rPr>
          <w:rFonts w:ascii="Calibri" w:hAnsi="Calibri"/>
          <w:b/>
          <w:sz w:val="22"/>
          <w:szCs w:val="22"/>
        </w:rPr>
        <w:tab/>
        <w:t>TRAINING</w:t>
      </w:r>
    </w:p>
    <w:p w:rsidR="00CF481B" w:rsidRPr="00CC54E5" w:rsidRDefault="00CF481B" w:rsidP="00CF481B">
      <w:pPr>
        <w:pStyle w:val="Default"/>
        <w:rPr>
          <w:rFonts w:ascii="Calibri" w:hAnsi="Calibri"/>
          <w:b/>
          <w:sz w:val="22"/>
          <w:szCs w:val="22"/>
        </w:rPr>
      </w:pPr>
    </w:p>
    <w:p w:rsidR="00CF481B" w:rsidRPr="00CC54E5" w:rsidRDefault="00CF481B" w:rsidP="00CF481B">
      <w:pPr>
        <w:pStyle w:val="Default"/>
        <w:rPr>
          <w:rFonts w:ascii="Calibri" w:hAnsi="Calibri"/>
          <w:color w:val="auto"/>
          <w:sz w:val="22"/>
          <w:szCs w:val="22"/>
        </w:rPr>
      </w:pPr>
      <w:r w:rsidRPr="00CC54E5">
        <w:rPr>
          <w:rFonts w:ascii="Calibri" w:hAnsi="Calibri"/>
          <w:color w:val="auto"/>
          <w:sz w:val="22"/>
          <w:szCs w:val="22"/>
        </w:rPr>
        <w:t xml:space="preserve">The successful supplier is to provide training for relevant Kew staff to ensure that they are familiar with the full functionality of the instruments and software.  Additional support materials such as software tutorials are also desirable. </w:t>
      </w:r>
    </w:p>
    <w:p w:rsidR="00CF481B" w:rsidRPr="00CC54E5" w:rsidRDefault="00CF481B" w:rsidP="00CF481B">
      <w:pPr>
        <w:pStyle w:val="Default"/>
        <w:rPr>
          <w:rFonts w:ascii="Calibri" w:hAnsi="Calibri"/>
          <w:color w:val="auto"/>
          <w:sz w:val="22"/>
          <w:szCs w:val="22"/>
        </w:rPr>
      </w:pPr>
    </w:p>
    <w:p w:rsidR="00CF481B" w:rsidRPr="00CC54E5" w:rsidRDefault="00CF481B" w:rsidP="00CF481B">
      <w:pPr>
        <w:pStyle w:val="Kew1"/>
        <w:numPr>
          <w:ilvl w:val="0"/>
          <w:numId w:val="2"/>
        </w:numPr>
        <w:rPr>
          <w:rFonts w:ascii="Calibri" w:hAnsi="Calibri"/>
          <w:b/>
          <w:sz w:val="22"/>
          <w:szCs w:val="22"/>
        </w:rPr>
      </w:pPr>
      <w:r w:rsidRPr="00CC54E5">
        <w:rPr>
          <w:rFonts w:ascii="Calibri" w:hAnsi="Calibri"/>
          <w:b/>
          <w:sz w:val="22"/>
          <w:szCs w:val="22"/>
        </w:rPr>
        <w:tab/>
        <w:t>PAYMENT PROFILE</w:t>
      </w:r>
    </w:p>
    <w:p w:rsidR="00CF481B" w:rsidRPr="00CC54E5" w:rsidRDefault="00CF481B" w:rsidP="00CF481B">
      <w:pPr>
        <w:pStyle w:val="Kew1"/>
        <w:numPr>
          <w:ilvl w:val="0"/>
          <w:numId w:val="0"/>
        </w:numPr>
        <w:ind w:left="567"/>
        <w:rPr>
          <w:rFonts w:ascii="Calibri" w:hAnsi="Calibri"/>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8"/>
        <w:gridCol w:w="2971"/>
      </w:tblGrid>
      <w:tr w:rsidR="00CF481B" w:rsidRPr="00CC54E5" w:rsidTr="00857ED2">
        <w:tc>
          <w:tcPr>
            <w:tcW w:w="5812" w:type="dxa"/>
            <w:tcBorders>
              <w:top w:val="single" w:sz="4" w:space="0" w:color="auto"/>
              <w:left w:val="single" w:sz="4" w:space="0" w:color="auto"/>
              <w:bottom w:val="single" w:sz="4" w:space="0" w:color="auto"/>
              <w:right w:val="single" w:sz="4" w:space="0" w:color="auto"/>
            </w:tcBorders>
            <w:hideMark/>
          </w:tcPr>
          <w:p w:rsidR="00CF481B" w:rsidRPr="00CC54E5" w:rsidRDefault="00CF481B" w:rsidP="00857ED2">
            <w:pPr>
              <w:rPr>
                <w:rFonts w:ascii="Calibri" w:hAnsi="Calibri"/>
                <w:b/>
                <w:szCs w:val="22"/>
              </w:rPr>
            </w:pPr>
            <w:r w:rsidRPr="00CC54E5">
              <w:rPr>
                <w:rFonts w:ascii="Calibri" w:hAnsi="Calibri"/>
                <w:b/>
                <w:szCs w:val="22"/>
              </w:rPr>
              <w:t xml:space="preserve">Deliverable  </w:t>
            </w:r>
          </w:p>
        </w:tc>
        <w:tc>
          <w:tcPr>
            <w:tcW w:w="2977" w:type="dxa"/>
            <w:tcBorders>
              <w:top w:val="single" w:sz="4" w:space="0" w:color="auto"/>
              <w:left w:val="single" w:sz="4" w:space="0" w:color="auto"/>
              <w:bottom w:val="single" w:sz="4" w:space="0" w:color="auto"/>
              <w:right w:val="single" w:sz="4" w:space="0" w:color="auto"/>
            </w:tcBorders>
            <w:hideMark/>
          </w:tcPr>
          <w:p w:rsidR="00CF481B" w:rsidRPr="00CC54E5" w:rsidRDefault="00CF481B" w:rsidP="00857ED2">
            <w:pPr>
              <w:rPr>
                <w:rFonts w:ascii="Calibri" w:hAnsi="Calibri"/>
                <w:b/>
                <w:szCs w:val="22"/>
              </w:rPr>
            </w:pPr>
            <w:r w:rsidRPr="00CC54E5">
              <w:rPr>
                <w:rFonts w:ascii="Calibri" w:hAnsi="Calibri"/>
                <w:b/>
                <w:szCs w:val="22"/>
              </w:rPr>
              <w:t>Amount due (%)</w:t>
            </w:r>
          </w:p>
        </w:tc>
      </w:tr>
      <w:tr w:rsidR="00CF481B" w:rsidRPr="00CC54E5" w:rsidTr="00857ED2">
        <w:tc>
          <w:tcPr>
            <w:tcW w:w="5812" w:type="dxa"/>
            <w:tcBorders>
              <w:top w:val="single" w:sz="4" w:space="0" w:color="auto"/>
              <w:left w:val="single" w:sz="4" w:space="0" w:color="auto"/>
              <w:bottom w:val="single" w:sz="4" w:space="0" w:color="auto"/>
              <w:right w:val="single" w:sz="4" w:space="0" w:color="auto"/>
            </w:tcBorders>
            <w:hideMark/>
          </w:tcPr>
          <w:p w:rsidR="00CF481B" w:rsidRPr="00CC54E5" w:rsidRDefault="00CF481B" w:rsidP="00857ED2">
            <w:pPr>
              <w:rPr>
                <w:rFonts w:ascii="Calibri" w:hAnsi="Calibri"/>
                <w:szCs w:val="22"/>
              </w:rPr>
            </w:pPr>
            <w:r w:rsidRPr="00CC54E5">
              <w:rPr>
                <w:rFonts w:ascii="Calibri" w:hAnsi="Calibri"/>
                <w:szCs w:val="22"/>
              </w:rPr>
              <w:t>Delivery, set-up and demonstration of all instrumentation</w:t>
            </w:r>
          </w:p>
        </w:tc>
        <w:tc>
          <w:tcPr>
            <w:tcW w:w="2977" w:type="dxa"/>
            <w:tcBorders>
              <w:top w:val="single" w:sz="4" w:space="0" w:color="auto"/>
              <w:left w:val="single" w:sz="4" w:space="0" w:color="auto"/>
              <w:bottom w:val="single" w:sz="4" w:space="0" w:color="auto"/>
              <w:right w:val="single" w:sz="4" w:space="0" w:color="auto"/>
            </w:tcBorders>
            <w:hideMark/>
          </w:tcPr>
          <w:p w:rsidR="00CF481B" w:rsidRPr="00CC54E5" w:rsidRDefault="00CF481B" w:rsidP="00857ED2">
            <w:pPr>
              <w:rPr>
                <w:rFonts w:ascii="Calibri" w:hAnsi="Calibri"/>
                <w:szCs w:val="22"/>
              </w:rPr>
            </w:pPr>
            <w:r w:rsidRPr="00CC54E5">
              <w:rPr>
                <w:rFonts w:ascii="Calibri" w:hAnsi="Calibri"/>
                <w:szCs w:val="22"/>
              </w:rPr>
              <w:t>100% of Equipment cost</w:t>
            </w:r>
          </w:p>
        </w:tc>
      </w:tr>
    </w:tbl>
    <w:p w:rsidR="00CF481B" w:rsidRPr="00CC54E5" w:rsidRDefault="00CF481B" w:rsidP="00CF481B">
      <w:pPr>
        <w:pStyle w:val="NoSpacing"/>
        <w:rPr>
          <w:rFonts w:ascii="Calibri" w:eastAsia="Calibri" w:hAnsi="Calibri"/>
          <w:color w:val="FF0000"/>
          <w:szCs w:val="22"/>
        </w:rPr>
      </w:pPr>
    </w:p>
    <w:p w:rsidR="00CF481B" w:rsidRPr="00CC54E5" w:rsidRDefault="00CF481B" w:rsidP="00CF481B">
      <w:pPr>
        <w:spacing w:before="0" w:line="240" w:lineRule="auto"/>
        <w:rPr>
          <w:rFonts w:ascii="Calibri" w:eastAsia="Calibri" w:hAnsi="Calibri"/>
          <w:color w:val="FF0000"/>
          <w:szCs w:val="22"/>
        </w:rPr>
      </w:pPr>
    </w:p>
    <w:p w:rsidR="0061190F" w:rsidRDefault="0061190F"/>
    <w:sectPr w:rsidR="0061190F" w:rsidSect="00DD442B">
      <w:footerReference w:type="even" r:id="rId5"/>
      <w:footerReference w:type="default" r:id="rId6"/>
      <w:pgSz w:w="11909" w:h="16834" w:code="9"/>
      <w:pgMar w:top="1440" w:right="1440" w:bottom="1440" w:left="1440" w:header="720" w:footer="720" w:gutter="0"/>
      <w:paperSrc w:first="262" w:other="262"/>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0B1" w:rsidRDefault="00CF481B" w:rsidP="00DD4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70B1" w:rsidRDefault="00CF481B" w:rsidP="00DD44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6" w:type="dxa"/>
      <w:tblLayout w:type="fixed"/>
      <w:tblLook w:val="0000" w:firstRow="0" w:lastRow="0" w:firstColumn="0" w:lastColumn="0" w:noHBand="0" w:noVBand="0"/>
    </w:tblPr>
    <w:tblGrid>
      <w:gridCol w:w="3192"/>
      <w:gridCol w:w="3192"/>
      <w:gridCol w:w="3192"/>
    </w:tblGrid>
    <w:tr w:rsidR="00DC70B1">
      <w:tblPrEx>
        <w:tblCellMar>
          <w:top w:w="0" w:type="dxa"/>
          <w:bottom w:w="0" w:type="dxa"/>
        </w:tblCellMar>
      </w:tblPrEx>
      <w:trPr>
        <w:trHeight w:val="140"/>
      </w:trPr>
      <w:tc>
        <w:tcPr>
          <w:tcW w:w="3192" w:type="dxa"/>
        </w:tcPr>
        <w:p w:rsidR="00DC70B1" w:rsidRDefault="00CF481B" w:rsidP="00DD442B">
          <w:pPr>
            <w:pStyle w:val="Footer"/>
            <w:ind w:right="360"/>
            <w:rPr>
              <w:sz w:val="16"/>
            </w:rPr>
          </w:pPr>
        </w:p>
      </w:tc>
      <w:tc>
        <w:tcPr>
          <w:tcW w:w="3192" w:type="dxa"/>
        </w:tcPr>
        <w:p w:rsidR="00DC70B1" w:rsidRDefault="00CF481B">
          <w:pPr>
            <w:pStyle w:val="Footer"/>
            <w:jc w:val="center"/>
          </w:pPr>
        </w:p>
      </w:tc>
      <w:tc>
        <w:tcPr>
          <w:tcW w:w="3192" w:type="dxa"/>
        </w:tcPr>
        <w:p w:rsidR="00DC70B1" w:rsidRDefault="00CF481B">
          <w:pPr>
            <w:pStyle w:val="Footer"/>
            <w:rPr>
              <w:sz w:val="16"/>
            </w:rPr>
          </w:pPr>
        </w:p>
      </w:tc>
    </w:tr>
  </w:tbl>
  <w:p w:rsidR="00DC70B1" w:rsidRDefault="00CF481B">
    <w:pPr>
      <w:pStyle w:val="Footer"/>
      <w:rPr>
        <w:sz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ED727F"/>
    <w:multiLevelType w:val="hybridMultilevel"/>
    <w:tmpl w:val="1EFABFA4"/>
    <w:lvl w:ilvl="0" w:tplc="875C5560">
      <w:start w:val="1"/>
      <w:numFmt w:val="decimal"/>
      <w:pStyle w:val="Kew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1B"/>
    <w:rsid w:val="0061190F"/>
    <w:rsid w:val="00CF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8CBA8-239E-4EA1-BC70-27A8A681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1B"/>
    <w:pPr>
      <w:spacing w:before="240" w:after="0" w:line="360" w:lineRule="auto"/>
      <w:jc w:val="both"/>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
    <w:basedOn w:val="Normal"/>
    <w:link w:val="FooterChar"/>
    <w:uiPriority w:val="99"/>
    <w:rsid w:val="00CF481B"/>
    <w:pPr>
      <w:tabs>
        <w:tab w:val="center" w:pos="4153"/>
        <w:tab w:val="right" w:pos="8306"/>
      </w:tabs>
    </w:pPr>
  </w:style>
  <w:style w:type="character" w:customStyle="1" w:styleId="FooterChar">
    <w:name w:val="Footer Char"/>
    <w:aliases w:val="fo Char"/>
    <w:basedOn w:val="DefaultParagraphFont"/>
    <w:link w:val="Footer"/>
    <w:uiPriority w:val="99"/>
    <w:rsid w:val="00CF481B"/>
    <w:rPr>
      <w:rFonts w:ascii="Arial" w:eastAsia="Times New Roman" w:hAnsi="Arial" w:cs="Times New Roman"/>
      <w:szCs w:val="20"/>
      <w:lang w:eastAsia="en-GB"/>
    </w:rPr>
  </w:style>
  <w:style w:type="character" w:styleId="PageNumber">
    <w:name w:val="page number"/>
    <w:basedOn w:val="DefaultParagraphFont"/>
    <w:rsid w:val="00CF481B"/>
  </w:style>
  <w:style w:type="paragraph" w:styleId="NoSpacing">
    <w:name w:val="No Spacing"/>
    <w:uiPriority w:val="1"/>
    <w:qFormat/>
    <w:rsid w:val="00CF481B"/>
    <w:pPr>
      <w:suppressAutoHyphens/>
      <w:spacing w:after="0" w:line="240" w:lineRule="auto"/>
      <w:jc w:val="both"/>
    </w:pPr>
    <w:rPr>
      <w:rFonts w:ascii="Arial" w:eastAsia="Times New Roman" w:hAnsi="Arial" w:cs="Times New Roman"/>
      <w:szCs w:val="20"/>
      <w:lang w:eastAsia="en-GB"/>
    </w:rPr>
  </w:style>
  <w:style w:type="paragraph" w:customStyle="1" w:styleId="Default">
    <w:name w:val="Default"/>
    <w:qFormat/>
    <w:rsid w:val="00CF481B"/>
    <w:pPr>
      <w:suppressAutoHyphens/>
      <w:spacing w:after="0" w:line="240" w:lineRule="auto"/>
    </w:pPr>
    <w:rPr>
      <w:rFonts w:ascii="Arial" w:eastAsia="Times New Roman" w:hAnsi="Arial" w:cs="Arial"/>
      <w:color w:val="000000"/>
      <w:sz w:val="24"/>
      <w:szCs w:val="24"/>
      <w:lang w:eastAsia="en-GB"/>
    </w:rPr>
  </w:style>
  <w:style w:type="paragraph" w:customStyle="1" w:styleId="Kew1">
    <w:name w:val="Kew1"/>
    <w:basedOn w:val="Normal"/>
    <w:link w:val="Kew1Char"/>
    <w:qFormat/>
    <w:rsid w:val="00CF481B"/>
    <w:pPr>
      <w:numPr>
        <w:numId w:val="1"/>
      </w:numPr>
      <w:spacing w:before="0" w:line="240" w:lineRule="auto"/>
    </w:pPr>
    <w:rPr>
      <w:rFonts w:ascii="Verdana" w:hAnsi="Verdana"/>
      <w:sz w:val="20"/>
      <w:szCs w:val="24"/>
      <w:lang w:val="x-none" w:eastAsia="x-none"/>
    </w:rPr>
  </w:style>
  <w:style w:type="character" w:customStyle="1" w:styleId="Kew1Char">
    <w:name w:val="Kew1 Char"/>
    <w:link w:val="Kew1"/>
    <w:rsid w:val="00CF481B"/>
    <w:rPr>
      <w:rFonts w:ascii="Verdana" w:eastAsia="Times New Roman" w:hAnsi="Verdana"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Powell</dc:creator>
  <cp:keywords/>
  <dc:description/>
  <cp:lastModifiedBy>Tracey Powell</cp:lastModifiedBy>
  <cp:revision>1</cp:revision>
  <dcterms:created xsi:type="dcterms:W3CDTF">2016-12-01T15:58:00Z</dcterms:created>
  <dcterms:modified xsi:type="dcterms:W3CDTF">2016-12-01T15:59:00Z</dcterms:modified>
</cp:coreProperties>
</file>