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7387DB67" w:rsidR="008A3138" w:rsidRPr="00814B61" w:rsidRDefault="00814B61" w:rsidP="00B813BD">
      <w:pPr>
        <w:tabs>
          <w:tab w:val="left" w:pos="1134"/>
        </w:tabs>
        <w:rPr>
          <w:noProof/>
          <w:sz w:val="22"/>
          <w:szCs w:val="22"/>
          <w:lang w:eastAsia="en-GB"/>
        </w:rPr>
      </w:pPr>
      <w:r w:rsidRPr="01BA3D49">
        <w:rPr>
          <w:noProof/>
          <w:sz w:val="22"/>
          <w:szCs w:val="22"/>
          <w:lang w:eastAsia="en-GB"/>
        </w:rPr>
        <w:t xml:space="preserve">WFD is looking for a </w:t>
      </w:r>
      <w:r w:rsidR="0040363B">
        <w:rPr>
          <w:noProof/>
          <w:sz w:val="22"/>
          <w:szCs w:val="22"/>
          <w:lang w:eastAsia="en-GB"/>
        </w:rPr>
        <w:t>supplier</w:t>
      </w:r>
      <w:r w:rsidRPr="01BA3D49">
        <w:rPr>
          <w:noProof/>
          <w:sz w:val="22"/>
          <w:szCs w:val="22"/>
          <w:lang w:eastAsia="en-GB"/>
        </w:rPr>
        <w:t xml:space="preserve"> to </w:t>
      </w:r>
      <w:r w:rsidR="00A30E62">
        <w:rPr>
          <w:noProof/>
          <w:sz w:val="22"/>
          <w:szCs w:val="22"/>
          <w:lang w:eastAsia="en-GB"/>
        </w:rPr>
        <w:t>prepare</w:t>
      </w:r>
      <w:r w:rsidR="0084618B">
        <w:rPr>
          <w:noProof/>
          <w:sz w:val="22"/>
          <w:szCs w:val="22"/>
          <w:lang w:eastAsia="en-GB"/>
        </w:rPr>
        <w:t xml:space="preserve"> </w:t>
      </w:r>
      <w:r w:rsidR="00A30E62">
        <w:rPr>
          <w:noProof/>
          <w:sz w:val="22"/>
          <w:szCs w:val="22"/>
          <w:lang w:eastAsia="en-GB"/>
        </w:rPr>
        <w:t>an in-depth</w:t>
      </w:r>
      <w:r w:rsidR="00B332F8">
        <w:rPr>
          <w:noProof/>
          <w:sz w:val="22"/>
          <w:szCs w:val="22"/>
          <w:lang w:eastAsia="en-GB"/>
        </w:rPr>
        <w:t xml:space="preserve"> Ex-Ante</w:t>
      </w:r>
      <w:r w:rsidR="00A30E62">
        <w:rPr>
          <w:noProof/>
          <w:sz w:val="22"/>
          <w:szCs w:val="22"/>
          <w:lang w:eastAsia="en-GB"/>
        </w:rPr>
        <w:t xml:space="preserve"> </w:t>
      </w:r>
      <w:r w:rsidR="0040363B">
        <w:rPr>
          <w:noProof/>
          <w:sz w:val="22"/>
          <w:szCs w:val="22"/>
          <w:lang w:eastAsia="en-GB"/>
        </w:rPr>
        <w:t>R</w:t>
      </w:r>
      <w:r w:rsidR="00A30E62">
        <w:rPr>
          <w:noProof/>
          <w:sz w:val="22"/>
          <w:szCs w:val="22"/>
          <w:lang w:eastAsia="en-GB"/>
        </w:rPr>
        <w:t xml:space="preserve">egulatory </w:t>
      </w:r>
      <w:r w:rsidR="0040363B">
        <w:rPr>
          <w:noProof/>
          <w:sz w:val="22"/>
          <w:szCs w:val="22"/>
          <w:lang w:eastAsia="en-GB"/>
        </w:rPr>
        <w:t>I</w:t>
      </w:r>
      <w:r w:rsidR="00A30E62">
        <w:rPr>
          <w:noProof/>
          <w:sz w:val="22"/>
          <w:szCs w:val="22"/>
          <w:lang w:eastAsia="en-GB"/>
        </w:rPr>
        <w:t xml:space="preserve">mpact </w:t>
      </w:r>
      <w:r w:rsidR="0040363B">
        <w:rPr>
          <w:noProof/>
          <w:sz w:val="22"/>
          <w:szCs w:val="22"/>
          <w:lang w:eastAsia="en-GB"/>
        </w:rPr>
        <w:t>A</w:t>
      </w:r>
      <w:r w:rsidR="00A30E62">
        <w:rPr>
          <w:noProof/>
          <w:sz w:val="22"/>
          <w:szCs w:val="22"/>
          <w:lang w:eastAsia="en-GB"/>
        </w:rPr>
        <w:t>ssessment (RIA)</w:t>
      </w:r>
      <w:r w:rsidR="0040363B" w:rsidRPr="0040363B">
        <w:rPr>
          <w:noProof/>
          <w:sz w:val="22"/>
          <w:szCs w:val="22"/>
          <w:lang w:eastAsia="en-GB"/>
        </w:rPr>
        <w:t xml:space="preserve"> and </w:t>
      </w:r>
      <w:r w:rsidR="0040363B">
        <w:rPr>
          <w:noProof/>
          <w:sz w:val="22"/>
          <w:szCs w:val="22"/>
          <w:lang w:eastAsia="en-GB"/>
        </w:rPr>
        <w:t>G</w:t>
      </w:r>
      <w:r w:rsidR="0040363B" w:rsidRPr="0040363B">
        <w:rPr>
          <w:noProof/>
          <w:sz w:val="22"/>
          <w:szCs w:val="22"/>
          <w:lang w:eastAsia="en-GB"/>
        </w:rPr>
        <w:t xml:space="preserve">ender </w:t>
      </w:r>
      <w:r w:rsidR="0040363B">
        <w:rPr>
          <w:noProof/>
          <w:sz w:val="22"/>
          <w:szCs w:val="22"/>
          <w:lang w:eastAsia="en-GB"/>
        </w:rPr>
        <w:t>I</w:t>
      </w:r>
      <w:r w:rsidR="0040363B" w:rsidRPr="0040363B">
        <w:rPr>
          <w:noProof/>
          <w:sz w:val="22"/>
          <w:szCs w:val="22"/>
          <w:lang w:eastAsia="en-GB"/>
        </w:rPr>
        <w:t xml:space="preserve">mpact </w:t>
      </w:r>
      <w:r w:rsidR="0040363B">
        <w:rPr>
          <w:noProof/>
          <w:sz w:val="22"/>
          <w:szCs w:val="22"/>
          <w:lang w:eastAsia="en-GB"/>
        </w:rPr>
        <w:t>A</w:t>
      </w:r>
      <w:r w:rsidR="0040363B" w:rsidRPr="0040363B">
        <w:rPr>
          <w:noProof/>
          <w:sz w:val="22"/>
          <w:szCs w:val="22"/>
          <w:lang w:eastAsia="en-GB"/>
        </w:rPr>
        <w:t>ssessment (GIA)</w:t>
      </w:r>
      <w:r w:rsidR="00A30E62">
        <w:rPr>
          <w:noProof/>
          <w:sz w:val="22"/>
          <w:szCs w:val="22"/>
          <w:lang w:eastAsia="en-GB"/>
        </w:rPr>
        <w:t xml:space="preserve"> of draft </w:t>
      </w:r>
      <w:r w:rsidR="00B332F8">
        <w:rPr>
          <w:noProof/>
          <w:sz w:val="22"/>
          <w:szCs w:val="22"/>
          <w:lang w:eastAsia="en-GB"/>
        </w:rPr>
        <w:t>C</w:t>
      </w:r>
      <w:r w:rsidR="00A30E62">
        <w:rPr>
          <w:noProof/>
          <w:sz w:val="22"/>
          <w:szCs w:val="22"/>
          <w:lang w:eastAsia="en-GB"/>
        </w:rPr>
        <w:t xml:space="preserve">limate </w:t>
      </w:r>
      <w:r w:rsidR="00B332F8">
        <w:rPr>
          <w:noProof/>
          <w:sz w:val="22"/>
          <w:szCs w:val="22"/>
          <w:lang w:eastAsia="en-GB"/>
        </w:rPr>
        <w:t>Law of Georgia</w:t>
      </w:r>
      <w:r w:rsidR="00A30E62">
        <w:rPr>
          <w:noProof/>
          <w:sz w:val="22"/>
          <w:szCs w:val="22"/>
          <w:lang w:eastAsia="en-GB"/>
        </w:rPr>
        <w:t>.</w:t>
      </w:r>
    </w:p>
    <w:p w14:paraId="4B87C53D" w14:textId="743FE354" w:rsidR="00843D18" w:rsidRPr="00944B8E" w:rsidRDefault="00235BA2" w:rsidP="000344E2">
      <w:pPr>
        <w:pStyle w:val="Heading1"/>
      </w:pPr>
      <w:r>
        <w:t>Overview</w:t>
      </w:r>
    </w:p>
    <w:p w14:paraId="676AF398" w14:textId="0EA31705" w:rsidR="00B32E19" w:rsidRDefault="003E2CB6" w:rsidP="00B813BD">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w:t>
      </w:r>
      <w:proofErr w:type="gramStart"/>
      <w:r w:rsidR="00583D7E" w:rsidRPr="00583D7E">
        <w:rPr>
          <w:rStyle w:val="normaltextrun"/>
          <w:color w:val="333333"/>
          <w:sz w:val="22"/>
          <w:szCs w:val="22"/>
          <w:shd w:val="clear" w:color="auto" w:fill="FFFFFF"/>
          <w:lang w:val="en-US"/>
        </w:rPr>
        <w:t>inclusive</w:t>
      </w:r>
      <w:proofErr w:type="gramEnd"/>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054EE2D0" w14:textId="77777777" w:rsidR="00B32E19" w:rsidRPr="00B32E19" w:rsidRDefault="00317E11" w:rsidP="00474FEE">
      <w:pPr>
        <w:pStyle w:val="ListParagraph"/>
        <w:numPr>
          <w:ilvl w:val="0"/>
          <w:numId w:val="1"/>
        </w:numPr>
      </w:pPr>
      <w:r w:rsidRPr="00B32E19">
        <w:rPr>
          <w:color w:val="000000"/>
          <w:sz w:val="22"/>
          <w:szCs w:val="22"/>
          <w:shd w:val="clear" w:color="auto" w:fill="FFFFFF"/>
        </w:rPr>
        <w:t>Specialist analysis, research, and advice to inform policy makers on a range of democratic governance issues;</w:t>
      </w:r>
    </w:p>
    <w:p w14:paraId="799AEDA4" w14:textId="77777777" w:rsidR="00B32E19" w:rsidRPr="00B32E19" w:rsidRDefault="00317E11" w:rsidP="00474FEE">
      <w:pPr>
        <w:pStyle w:val="ListParagraph"/>
        <w:numPr>
          <w:ilvl w:val="0"/>
          <w:numId w:val="1"/>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474FEE">
      <w:pPr>
        <w:pStyle w:val="ListParagraph"/>
        <w:numPr>
          <w:ilvl w:val="0"/>
          <w:numId w:val="1"/>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goods and/or services and would welcome a </w:t>
      </w:r>
      <w:r w:rsidR="006204E5">
        <w:rPr>
          <w:b/>
          <w:bCs w:val="0"/>
          <w:noProof/>
          <w:sz w:val="22"/>
          <w:lang w:eastAsia="en-GB"/>
        </w:rPr>
        <w:t>bid</w:t>
      </w:r>
      <w:r>
        <w:rPr>
          <w:noProof/>
          <w:sz w:val="22"/>
          <w:lang w:eastAsia="en-GB"/>
        </w:rPr>
        <w:t xml:space="preserve"> from your organisation.</w:t>
      </w:r>
    </w:p>
    <w:p w14:paraId="24372C4D" w14:textId="0947B9DE" w:rsidR="00A30E62" w:rsidRPr="00A30E62" w:rsidRDefault="00A30E62" w:rsidP="00A30E62">
      <w:pPr>
        <w:tabs>
          <w:tab w:val="left" w:pos="1134"/>
        </w:tabs>
        <w:jc w:val="both"/>
        <w:rPr>
          <w:noProof/>
          <w:sz w:val="22"/>
          <w:lang w:eastAsia="en-GB"/>
        </w:rPr>
      </w:pPr>
      <w:bookmarkStart w:id="0" w:name="_Hlk149657075"/>
      <w:r w:rsidRPr="00A30E62">
        <w:rPr>
          <w:noProof/>
          <w:sz w:val="22"/>
          <w:lang w:eastAsia="en-GB"/>
        </w:rPr>
        <w:t xml:space="preserve">Since October 2022, as part of the Advancing Environmental Protection, Climate Change and Democratic Resilience in Georgia programme, WFD has been providing extensive technical expertise and participatory support to the Parliament of Georgia, the Government of Georgia and other national stakeholders for drafting and adopting a Climate Law of Georgia. </w:t>
      </w:r>
    </w:p>
    <w:p w14:paraId="234F8AFA" w14:textId="79B73E59" w:rsidR="00B813BD" w:rsidRPr="00B813BD" w:rsidRDefault="00A30E62" w:rsidP="00A30E62">
      <w:pPr>
        <w:tabs>
          <w:tab w:val="left" w:pos="1134"/>
        </w:tabs>
        <w:jc w:val="both"/>
        <w:rPr>
          <w:noProof/>
          <w:sz w:val="22"/>
          <w:lang w:eastAsia="en-GB"/>
        </w:rPr>
      </w:pPr>
      <w:r w:rsidRPr="00A30E62">
        <w:rPr>
          <w:noProof/>
          <w:sz w:val="22"/>
          <w:lang w:eastAsia="en-GB"/>
        </w:rPr>
        <w:t xml:space="preserve">The Parliament of Georgia, through WFD’s support, leads the Climate Law drafting process with a novel approach implying drafting and publishing consultative green and white papers prior to starting legislative drafting. Such approach provides an unprecedented possibility for all interested stakeholders to be involved in the consultation process. </w:t>
      </w:r>
      <w:r w:rsidR="0040363B">
        <w:rPr>
          <w:noProof/>
          <w:sz w:val="22"/>
          <w:lang w:eastAsia="en-GB"/>
        </w:rPr>
        <w:t xml:space="preserve">Now, </w:t>
      </w:r>
      <w:r w:rsidRPr="00A30E62">
        <w:rPr>
          <w:noProof/>
          <w:sz w:val="22"/>
          <w:lang w:eastAsia="en-GB"/>
        </w:rPr>
        <w:t xml:space="preserve">WFD intends to commission Regulatory Impact Assessment (RIA) </w:t>
      </w:r>
      <w:r w:rsidR="0040363B">
        <w:rPr>
          <w:noProof/>
          <w:sz w:val="22"/>
          <w:lang w:eastAsia="en-GB"/>
        </w:rPr>
        <w:t xml:space="preserve">aand </w:t>
      </w:r>
      <w:r w:rsidR="0040363B" w:rsidRPr="00A30E62">
        <w:rPr>
          <w:noProof/>
          <w:sz w:val="22"/>
          <w:lang w:eastAsia="en-GB"/>
        </w:rPr>
        <w:t>Gender Impact Assessment (GIA)</w:t>
      </w:r>
      <w:r w:rsidR="0040363B">
        <w:rPr>
          <w:noProof/>
          <w:sz w:val="22"/>
          <w:lang w:eastAsia="en-GB"/>
        </w:rPr>
        <w:t xml:space="preserve"> </w:t>
      </w:r>
      <w:r w:rsidRPr="00A30E62">
        <w:rPr>
          <w:noProof/>
          <w:sz w:val="22"/>
          <w:lang w:eastAsia="en-GB"/>
        </w:rPr>
        <w:t>of draft climate law.</w:t>
      </w:r>
    </w:p>
    <w:bookmarkEnd w:id="0"/>
    <w:p w14:paraId="1FF08E22" w14:textId="3D9369E5" w:rsidR="00BA02DC" w:rsidRPr="00944B8E" w:rsidRDefault="006204E5" w:rsidP="000344E2">
      <w:pPr>
        <w:pStyle w:val="Heading1"/>
      </w:pPr>
      <w:r>
        <w:t>Bid</w:t>
      </w:r>
      <w:r w:rsidR="00BA02DC">
        <w:t xml:space="preserve"> </w:t>
      </w:r>
      <w:proofErr w:type="gramStart"/>
      <w:r w:rsidR="00BA02DC">
        <w:t>submission</w:t>
      </w:r>
      <w:proofErr w:type="gramEnd"/>
    </w:p>
    <w:p w14:paraId="57CB27A2" w14:textId="431B8FF0" w:rsidR="2D30B174" w:rsidRDefault="2D30B174" w:rsidP="10464009">
      <w:pPr>
        <w:rPr>
          <w:rFonts w:eastAsia="Arial"/>
          <w:sz w:val="22"/>
          <w:szCs w:val="22"/>
        </w:rPr>
      </w:pPr>
      <w:r w:rsidRPr="10464009">
        <w:rPr>
          <w:rFonts w:eastAsia="Arial"/>
          <w:bCs w:val="0"/>
          <w:sz w:val="22"/>
          <w:szCs w:val="22"/>
        </w:rPr>
        <w:t xml:space="preserve">All bids should be submitted by </w:t>
      </w:r>
      <w:r w:rsidR="0ABEC761" w:rsidRPr="25C1393B">
        <w:rPr>
          <w:rFonts w:eastAsia="Arial"/>
          <w:sz w:val="22"/>
          <w:szCs w:val="22"/>
        </w:rPr>
        <w:t xml:space="preserve">December </w:t>
      </w:r>
      <w:r w:rsidR="52A6B5CB" w:rsidRPr="2ACF14E7">
        <w:rPr>
          <w:rFonts w:eastAsia="Arial"/>
          <w:sz w:val="22"/>
          <w:szCs w:val="22"/>
        </w:rPr>
        <w:t>20</w:t>
      </w:r>
      <w:r w:rsidR="0ABEC761" w:rsidRPr="2ACF14E7">
        <w:rPr>
          <w:rFonts w:eastAsia="Arial"/>
          <w:sz w:val="22"/>
          <w:szCs w:val="22"/>
          <w:vertAlign w:val="superscript"/>
        </w:rPr>
        <w:t>h</w:t>
      </w:r>
      <w:r w:rsidRPr="10464009">
        <w:rPr>
          <w:rFonts w:eastAsia="Arial"/>
          <w:bCs w:val="0"/>
          <w:sz w:val="22"/>
          <w:szCs w:val="22"/>
        </w:rPr>
        <w:t xml:space="preserve">, </w:t>
      </w:r>
      <w:r w:rsidR="0040363B" w:rsidRPr="10464009">
        <w:rPr>
          <w:rFonts w:eastAsia="Arial"/>
          <w:bCs w:val="0"/>
          <w:sz w:val="22"/>
          <w:szCs w:val="22"/>
        </w:rPr>
        <w:t>202</w:t>
      </w:r>
      <w:r w:rsidR="0040363B">
        <w:rPr>
          <w:rFonts w:eastAsia="Arial"/>
          <w:bCs w:val="0"/>
          <w:sz w:val="22"/>
          <w:szCs w:val="22"/>
        </w:rPr>
        <w:t>3,</w:t>
      </w:r>
      <w:r w:rsidRPr="10464009">
        <w:rPr>
          <w:rFonts w:eastAsia="Arial"/>
          <w:bCs w:val="0"/>
          <w:sz w:val="22"/>
          <w:szCs w:val="22"/>
        </w:rPr>
        <w:t xml:space="preserve"> in writing, must comply with the requirements of this ITT, and must include the information requested in the Bid Requirements below.  </w:t>
      </w:r>
    </w:p>
    <w:p w14:paraId="377FEA87" w14:textId="3FEB3390" w:rsidR="009C5C59"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 </w:t>
      </w:r>
      <w:r w:rsidR="00E71B9B">
        <w:rPr>
          <w:sz w:val="22"/>
          <w:szCs w:val="22"/>
        </w:rPr>
        <w:t>Ketevan</w:t>
      </w:r>
      <w:r w:rsidR="00407FE7">
        <w:rPr>
          <w:sz w:val="22"/>
          <w:szCs w:val="22"/>
        </w:rPr>
        <w:t xml:space="preserve"> Chaduneli</w:t>
      </w:r>
      <w:r w:rsidR="00E71B9B">
        <w:rPr>
          <w:sz w:val="22"/>
          <w:szCs w:val="22"/>
        </w:rPr>
        <w:t xml:space="preserve"> at </w:t>
      </w:r>
      <w:hyperlink r:id="rId11" w:history="1">
        <w:r w:rsidR="00407FE7" w:rsidRPr="00BF7A9C">
          <w:rPr>
            <w:rStyle w:val="Hyperlink"/>
            <w:sz w:val="22"/>
            <w:szCs w:val="22"/>
          </w:rPr>
          <w:t>Ketevan.Chaduneli@wfd.org</w:t>
        </w:r>
      </w:hyperlink>
      <w:r w:rsidR="00CD33B1">
        <w:rPr>
          <w:sz w:val="22"/>
          <w:szCs w:val="22"/>
        </w:rPr>
        <w:t xml:space="preserve"> </w:t>
      </w:r>
    </w:p>
    <w:p w14:paraId="3693CFC1" w14:textId="036BBA36"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3E6C0CD7" w14:textId="3DEDE33C" w:rsidR="007D4EEA" w:rsidRDefault="004D532A" w:rsidP="00944B8E">
      <w:pPr>
        <w:rPr>
          <w:sz w:val="22"/>
          <w:szCs w:val="22"/>
        </w:rPr>
      </w:pPr>
      <w:r>
        <w:rPr>
          <w:sz w:val="22"/>
          <w:szCs w:val="22"/>
        </w:rPr>
        <w:t xml:space="preserve">WFD’s standard terms and conditions for </w:t>
      </w:r>
      <w:r w:rsidR="0096641F">
        <w:rPr>
          <w:sz w:val="22"/>
          <w:szCs w:val="22"/>
        </w:rPr>
        <w:t>tendering</w:t>
      </w:r>
      <w:r w:rsidR="00D34172">
        <w:rPr>
          <w:sz w:val="22"/>
          <w:szCs w:val="22"/>
        </w:rPr>
        <w:t xml:space="preserve"> </w:t>
      </w:r>
      <w:r w:rsidR="00750539">
        <w:rPr>
          <w:sz w:val="22"/>
          <w:szCs w:val="22"/>
        </w:rPr>
        <w:t xml:space="preserve">and key policies </w:t>
      </w:r>
      <w:r w:rsidR="00D34172">
        <w:rPr>
          <w:sz w:val="22"/>
          <w:szCs w:val="22"/>
        </w:rPr>
        <w:t xml:space="preserve">are found </w:t>
      </w:r>
      <w:r w:rsidR="008A2AC2">
        <w:rPr>
          <w:sz w:val="22"/>
          <w:szCs w:val="22"/>
        </w:rPr>
        <w:t>at</w:t>
      </w:r>
      <w:r w:rsidR="00D34172">
        <w:rPr>
          <w:sz w:val="22"/>
          <w:szCs w:val="22"/>
        </w:rPr>
        <w:t xml:space="preserve"> </w:t>
      </w:r>
      <w:hyperlink r:id="rId12" w:history="1">
        <w:r w:rsidR="00FD42E4" w:rsidRPr="005478F8">
          <w:rPr>
            <w:rStyle w:val="Hyperlink"/>
            <w:sz w:val="22"/>
            <w:szCs w:val="22"/>
          </w:rPr>
          <w:t>https://www.wfd.org/policy/procurement-policy</w:t>
        </w:r>
      </w:hyperlink>
      <w:r w:rsidR="00FD42E4">
        <w:rPr>
          <w:sz w:val="22"/>
          <w:szCs w:val="22"/>
        </w:rPr>
        <w:t xml:space="preserve"> </w:t>
      </w:r>
      <w:r w:rsidR="00D34172">
        <w:rPr>
          <w:sz w:val="22"/>
          <w:szCs w:val="22"/>
        </w:rPr>
        <w:t xml:space="preserve">and you can find </w:t>
      </w:r>
      <w:r w:rsidR="00750539">
        <w:rPr>
          <w:sz w:val="22"/>
          <w:szCs w:val="22"/>
        </w:rPr>
        <w:t>a copy</w:t>
      </w:r>
      <w:r w:rsidR="00D34172">
        <w:rPr>
          <w:sz w:val="22"/>
          <w:szCs w:val="22"/>
        </w:rPr>
        <w:t xml:space="preserve"> of WFD’s Code of Conduct </w:t>
      </w:r>
      <w:r w:rsidR="008A2AC2">
        <w:rPr>
          <w:sz w:val="22"/>
          <w:szCs w:val="22"/>
        </w:rPr>
        <w:t>at</w:t>
      </w:r>
      <w:r w:rsidR="00D34172">
        <w:rPr>
          <w:sz w:val="22"/>
          <w:szCs w:val="22"/>
        </w:rPr>
        <w:t xml:space="preserve"> </w:t>
      </w:r>
      <w:hyperlink r:id="rId13" w:history="1">
        <w:r w:rsidR="007D4EEA" w:rsidRPr="005478F8">
          <w:rPr>
            <w:rStyle w:val="Hyperlink"/>
            <w:sz w:val="22"/>
            <w:szCs w:val="22"/>
          </w:rPr>
          <w:t>https://www.wfd.org/policy/code-conduct</w:t>
        </w:r>
      </w:hyperlink>
      <w:r w:rsidR="007D4EEA">
        <w:rPr>
          <w:sz w:val="22"/>
          <w:szCs w:val="22"/>
        </w:rPr>
        <w:t xml:space="preserve">   </w:t>
      </w:r>
    </w:p>
    <w:p w14:paraId="05CEE18D" w14:textId="16234160" w:rsidR="10464009" w:rsidRDefault="10464009" w:rsidP="10464009">
      <w:pPr>
        <w:pStyle w:val="Heading1"/>
      </w:pP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5B998E1D" w14:textId="1BF7C72A" w:rsidR="00A30E62" w:rsidRPr="00A30E62" w:rsidRDefault="00A30E62" w:rsidP="00A30E62">
      <w:pPr>
        <w:pStyle w:val="Heading2"/>
        <w:rPr>
          <w:b w:val="0"/>
          <w:bCs/>
          <w:sz w:val="22"/>
          <w:szCs w:val="22"/>
        </w:rPr>
      </w:pPr>
      <w:bookmarkStart w:id="1" w:name="_Hlk149748805"/>
      <w:r w:rsidRPr="00A30E62">
        <w:rPr>
          <w:b w:val="0"/>
          <w:bCs/>
          <w:sz w:val="22"/>
          <w:szCs w:val="22"/>
        </w:rPr>
        <w:t xml:space="preserve">Since October 2022, as part of the Advancing Environmental Protection, Climate Change and Democratic Resilience in Georgia programme, WFD has been providing extensive technical expertise and participatory support to the Parliament of Georgia, the Government of </w:t>
      </w:r>
      <w:proofErr w:type="gramStart"/>
      <w:r w:rsidRPr="00A30E62">
        <w:rPr>
          <w:b w:val="0"/>
          <w:bCs/>
          <w:sz w:val="22"/>
          <w:szCs w:val="22"/>
        </w:rPr>
        <w:t>Georgia</w:t>
      </w:r>
      <w:proofErr w:type="gramEnd"/>
      <w:r w:rsidRPr="00A30E62">
        <w:rPr>
          <w:b w:val="0"/>
          <w:bCs/>
          <w:sz w:val="22"/>
          <w:szCs w:val="22"/>
        </w:rPr>
        <w:t xml:space="preserve"> and other national stakeholders for drafting and adopting a Climate Law of Georgia. </w:t>
      </w:r>
    </w:p>
    <w:p w14:paraId="14DC6FF5" w14:textId="302648FB" w:rsidR="00A30E62" w:rsidRDefault="00A30E62" w:rsidP="00A30E62">
      <w:pPr>
        <w:pStyle w:val="Heading2"/>
        <w:rPr>
          <w:b w:val="0"/>
          <w:bCs/>
          <w:sz w:val="22"/>
          <w:szCs w:val="22"/>
        </w:rPr>
      </w:pPr>
      <w:r w:rsidRPr="00A30E62">
        <w:rPr>
          <w:b w:val="0"/>
          <w:bCs/>
          <w:sz w:val="22"/>
          <w:szCs w:val="22"/>
        </w:rPr>
        <w:t xml:space="preserve">The Parliament of Georgia, through WFD’s support, leads the Climate Law drafting process with a novel approach implying drafting and publishing consultative green and white papers prior to starting legislative drafting. Such approach provides an unprecedented possibility for all interested stakeholders to be involved in the consultation process. </w:t>
      </w:r>
      <w:r w:rsidR="0076146C">
        <w:rPr>
          <w:b w:val="0"/>
          <w:bCs/>
          <w:sz w:val="22"/>
          <w:szCs w:val="22"/>
        </w:rPr>
        <w:t xml:space="preserve">Green Paper on Climate Law was prepared, and public consultations </w:t>
      </w:r>
      <w:r w:rsidR="0040363B">
        <w:rPr>
          <w:b w:val="0"/>
          <w:bCs/>
          <w:sz w:val="22"/>
          <w:szCs w:val="22"/>
        </w:rPr>
        <w:t>carried out</w:t>
      </w:r>
      <w:r w:rsidR="0076146C">
        <w:rPr>
          <w:b w:val="0"/>
          <w:bCs/>
          <w:sz w:val="22"/>
          <w:szCs w:val="22"/>
        </w:rPr>
        <w:t xml:space="preserve"> during March – June 2023. Following rece</w:t>
      </w:r>
      <w:r w:rsidR="0040363B">
        <w:rPr>
          <w:b w:val="0"/>
          <w:bCs/>
          <w:sz w:val="22"/>
          <w:szCs w:val="22"/>
        </w:rPr>
        <w:t>ption of</w:t>
      </w:r>
      <w:r w:rsidR="0076146C">
        <w:rPr>
          <w:b w:val="0"/>
          <w:bCs/>
          <w:sz w:val="22"/>
          <w:szCs w:val="22"/>
        </w:rPr>
        <w:t xml:space="preserve"> comments and suggestions on the Green Paper, </w:t>
      </w:r>
      <w:r w:rsidR="0040363B">
        <w:rPr>
          <w:b w:val="0"/>
          <w:bCs/>
          <w:sz w:val="22"/>
          <w:szCs w:val="22"/>
        </w:rPr>
        <w:t xml:space="preserve">the next consultative document - </w:t>
      </w:r>
      <w:r w:rsidR="0076146C">
        <w:rPr>
          <w:b w:val="0"/>
          <w:bCs/>
          <w:sz w:val="22"/>
          <w:szCs w:val="22"/>
        </w:rPr>
        <w:t>White Paper has been drafted and published</w:t>
      </w:r>
      <w:r w:rsidR="0040363B">
        <w:rPr>
          <w:b w:val="0"/>
          <w:bCs/>
          <w:sz w:val="22"/>
          <w:szCs w:val="22"/>
        </w:rPr>
        <w:t>. P</w:t>
      </w:r>
      <w:r w:rsidR="0076146C">
        <w:rPr>
          <w:b w:val="0"/>
          <w:bCs/>
          <w:sz w:val="22"/>
          <w:szCs w:val="22"/>
        </w:rPr>
        <w:t>ublic consultation process and meetings</w:t>
      </w:r>
      <w:r w:rsidR="0040363B">
        <w:rPr>
          <w:b w:val="0"/>
          <w:bCs/>
          <w:sz w:val="22"/>
          <w:szCs w:val="22"/>
        </w:rPr>
        <w:t xml:space="preserve"> on White Paper will</w:t>
      </w:r>
      <w:r w:rsidR="0076146C">
        <w:rPr>
          <w:b w:val="0"/>
          <w:bCs/>
          <w:sz w:val="22"/>
          <w:szCs w:val="22"/>
        </w:rPr>
        <w:t xml:space="preserve"> last till </w:t>
      </w:r>
      <w:r w:rsidR="0040363B">
        <w:rPr>
          <w:b w:val="0"/>
          <w:bCs/>
          <w:sz w:val="22"/>
          <w:szCs w:val="22"/>
        </w:rPr>
        <w:t xml:space="preserve">the </w:t>
      </w:r>
      <w:r w:rsidR="0076146C">
        <w:rPr>
          <w:b w:val="0"/>
          <w:bCs/>
          <w:sz w:val="22"/>
          <w:szCs w:val="22"/>
        </w:rPr>
        <w:t>end of December 202</w:t>
      </w:r>
      <w:r w:rsidR="0040363B">
        <w:rPr>
          <w:b w:val="0"/>
          <w:bCs/>
          <w:sz w:val="22"/>
          <w:szCs w:val="22"/>
        </w:rPr>
        <w:t>3</w:t>
      </w:r>
      <w:r w:rsidR="0076146C">
        <w:rPr>
          <w:b w:val="0"/>
          <w:bCs/>
          <w:sz w:val="22"/>
          <w:szCs w:val="22"/>
        </w:rPr>
        <w:t xml:space="preserve">. </w:t>
      </w:r>
    </w:p>
    <w:p w14:paraId="482C1362" w14:textId="13CE3B21" w:rsidR="0076146C" w:rsidRPr="0076146C" w:rsidRDefault="0076146C" w:rsidP="0076146C">
      <w:pPr>
        <w:pStyle w:val="Heading2"/>
        <w:rPr>
          <w:b w:val="0"/>
          <w:bCs/>
          <w:sz w:val="22"/>
          <w:szCs w:val="22"/>
        </w:rPr>
      </w:pPr>
      <w:r w:rsidRPr="0076146C">
        <w:rPr>
          <w:b w:val="0"/>
          <w:bCs/>
          <w:sz w:val="22"/>
          <w:szCs w:val="22"/>
        </w:rPr>
        <w:t xml:space="preserve">Following the publication of White Paper, the team of national and international experts have </w:t>
      </w:r>
      <w:r w:rsidR="0040363B">
        <w:rPr>
          <w:b w:val="0"/>
          <w:bCs/>
          <w:sz w:val="22"/>
          <w:szCs w:val="22"/>
        </w:rPr>
        <w:t xml:space="preserve">been </w:t>
      </w:r>
      <w:r w:rsidRPr="0076146C">
        <w:rPr>
          <w:b w:val="0"/>
          <w:bCs/>
          <w:sz w:val="22"/>
          <w:szCs w:val="22"/>
        </w:rPr>
        <w:t xml:space="preserve">engaged for drafting </w:t>
      </w:r>
      <w:r w:rsidR="0040363B">
        <w:rPr>
          <w:b w:val="0"/>
          <w:bCs/>
          <w:sz w:val="22"/>
          <w:szCs w:val="22"/>
        </w:rPr>
        <w:t>C</w:t>
      </w:r>
      <w:r w:rsidRPr="0076146C">
        <w:rPr>
          <w:b w:val="0"/>
          <w:bCs/>
          <w:sz w:val="22"/>
          <w:szCs w:val="22"/>
        </w:rPr>
        <w:t xml:space="preserve">limate </w:t>
      </w:r>
      <w:r w:rsidR="0040363B">
        <w:rPr>
          <w:b w:val="0"/>
          <w:bCs/>
          <w:sz w:val="22"/>
          <w:szCs w:val="22"/>
        </w:rPr>
        <w:t>L</w:t>
      </w:r>
      <w:r w:rsidRPr="0076146C">
        <w:rPr>
          <w:b w:val="0"/>
          <w:bCs/>
          <w:sz w:val="22"/>
          <w:szCs w:val="22"/>
        </w:rPr>
        <w:t xml:space="preserve">aw of Georgia. The first draft to be prepared by the end of December 2023. </w:t>
      </w:r>
    </w:p>
    <w:p w14:paraId="5DDB900B" w14:textId="6D12E47E" w:rsidR="00E15A40" w:rsidRDefault="00E15A40" w:rsidP="00A30E62">
      <w:pPr>
        <w:pStyle w:val="Heading2"/>
        <w:rPr>
          <w:b w:val="0"/>
          <w:bCs/>
          <w:sz w:val="22"/>
          <w:szCs w:val="22"/>
        </w:rPr>
      </w:pPr>
      <w:r w:rsidRPr="00E15A40">
        <w:rPr>
          <w:b w:val="0"/>
          <w:bCs/>
          <w:sz w:val="22"/>
          <w:szCs w:val="22"/>
        </w:rPr>
        <w:t>Therefore, WFD intends to commission a</w:t>
      </w:r>
      <w:r w:rsidR="00A30E62">
        <w:rPr>
          <w:b w:val="0"/>
          <w:bCs/>
          <w:sz w:val="22"/>
          <w:szCs w:val="22"/>
        </w:rPr>
        <w:t xml:space="preserve">n in-depth </w:t>
      </w:r>
      <w:r w:rsidR="00B332F8">
        <w:rPr>
          <w:b w:val="0"/>
          <w:bCs/>
          <w:sz w:val="22"/>
          <w:szCs w:val="22"/>
        </w:rPr>
        <w:t xml:space="preserve">Ex-Ante </w:t>
      </w:r>
      <w:r w:rsidR="00A30E62">
        <w:rPr>
          <w:b w:val="0"/>
          <w:bCs/>
          <w:sz w:val="22"/>
          <w:szCs w:val="22"/>
        </w:rPr>
        <w:t xml:space="preserve">Regulatory Impact Assessment including Gender Impact Assessment of draft </w:t>
      </w:r>
      <w:r w:rsidR="0040363B">
        <w:rPr>
          <w:b w:val="0"/>
          <w:bCs/>
          <w:sz w:val="22"/>
          <w:szCs w:val="22"/>
        </w:rPr>
        <w:t>C</w:t>
      </w:r>
      <w:r w:rsidR="00A30E62">
        <w:rPr>
          <w:b w:val="0"/>
          <w:bCs/>
          <w:sz w:val="22"/>
          <w:szCs w:val="22"/>
        </w:rPr>
        <w:t xml:space="preserve">limate </w:t>
      </w:r>
      <w:r w:rsidR="0040363B">
        <w:rPr>
          <w:b w:val="0"/>
          <w:bCs/>
          <w:sz w:val="22"/>
          <w:szCs w:val="22"/>
        </w:rPr>
        <w:t>L</w:t>
      </w:r>
      <w:r w:rsidR="00A30E62">
        <w:rPr>
          <w:b w:val="0"/>
          <w:bCs/>
          <w:sz w:val="22"/>
          <w:szCs w:val="22"/>
        </w:rPr>
        <w:t>aw of Georgia</w:t>
      </w:r>
      <w:bookmarkEnd w:id="1"/>
      <w:r w:rsidR="00A30E62">
        <w:rPr>
          <w:b w:val="0"/>
          <w:bCs/>
          <w:sz w:val="22"/>
          <w:szCs w:val="22"/>
        </w:rPr>
        <w:t xml:space="preserve">. </w:t>
      </w:r>
    </w:p>
    <w:p w14:paraId="25CDE7CC" w14:textId="34165C33" w:rsidR="009447D7" w:rsidRDefault="009447D7" w:rsidP="00E15A40">
      <w:pPr>
        <w:pStyle w:val="Heading2"/>
      </w:pPr>
      <w:r>
        <w:t>Scope of work</w:t>
      </w:r>
    </w:p>
    <w:p w14:paraId="1C7054B6" w14:textId="6D371544" w:rsidR="00185A8B" w:rsidRDefault="00E15A40" w:rsidP="00E15A40">
      <w:pPr>
        <w:rPr>
          <w:sz w:val="22"/>
          <w:szCs w:val="22"/>
        </w:rPr>
      </w:pPr>
      <w:bookmarkStart w:id="2" w:name="_Hlk149748854"/>
      <w:r w:rsidRPr="00E15A40">
        <w:rPr>
          <w:sz w:val="22"/>
          <w:szCs w:val="22"/>
        </w:rPr>
        <w:t xml:space="preserve">The </w:t>
      </w:r>
      <w:r w:rsidR="00A30E62">
        <w:rPr>
          <w:sz w:val="22"/>
          <w:szCs w:val="22"/>
        </w:rPr>
        <w:t>supplier will prepare in-depth RIA</w:t>
      </w:r>
      <w:r w:rsidR="0040363B">
        <w:rPr>
          <w:sz w:val="22"/>
          <w:szCs w:val="22"/>
        </w:rPr>
        <w:t xml:space="preserve"> and GIA</w:t>
      </w:r>
      <w:r w:rsidR="00A30E62">
        <w:rPr>
          <w:sz w:val="22"/>
          <w:szCs w:val="22"/>
        </w:rPr>
        <w:t xml:space="preserve"> including an economic, financial and gender impact analysis of the draft climate change law of Georgia. The assessment shall include </w:t>
      </w:r>
      <w:r w:rsidR="00A30E62" w:rsidRPr="00A30E62">
        <w:rPr>
          <w:sz w:val="22"/>
          <w:szCs w:val="22"/>
        </w:rPr>
        <w:t xml:space="preserve">several (at least two) scenarios with various policy options, and </w:t>
      </w:r>
      <w:r w:rsidR="0040363B">
        <w:rPr>
          <w:sz w:val="22"/>
          <w:szCs w:val="22"/>
        </w:rPr>
        <w:t>among other assessments shall</w:t>
      </w:r>
      <w:r w:rsidR="00A30E62" w:rsidRPr="00A30E62">
        <w:rPr>
          <w:sz w:val="22"/>
          <w:szCs w:val="22"/>
        </w:rPr>
        <w:t xml:space="preserve"> monetize the benefits</w:t>
      </w:r>
      <w:r w:rsidR="00A30E62">
        <w:rPr>
          <w:sz w:val="22"/>
          <w:szCs w:val="22"/>
        </w:rPr>
        <w:t xml:space="preserve"> and costs</w:t>
      </w:r>
      <w:r w:rsidR="00A30E62" w:rsidRPr="00A30E62">
        <w:rPr>
          <w:sz w:val="22"/>
          <w:szCs w:val="22"/>
        </w:rPr>
        <w:t xml:space="preserve"> of the </w:t>
      </w:r>
      <w:r w:rsidR="00A30E62">
        <w:rPr>
          <w:sz w:val="22"/>
          <w:szCs w:val="22"/>
        </w:rPr>
        <w:t xml:space="preserve">draft climate change law of Georgia. </w:t>
      </w:r>
    </w:p>
    <w:p w14:paraId="6F41796A" w14:textId="54C2F2D4" w:rsidR="001B2CC4" w:rsidRDefault="001B2CC4" w:rsidP="00E15A40">
      <w:pPr>
        <w:rPr>
          <w:sz w:val="22"/>
          <w:szCs w:val="22"/>
        </w:rPr>
      </w:pPr>
      <w:r>
        <w:rPr>
          <w:sz w:val="22"/>
          <w:szCs w:val="22"/>
        </w:rPr>
        <w:t xml:space="preserve">The RIA/GIA shall </w:t>
      </w:r>
      <w:r w:rsidR="00BB6084" w:rsidRPr="00BB6084">
        <w:rPr>
          <w:sz w:val="22"/>
          <w:szCs w:val="22"/>
        </w:rPr>
        <w:t xml:space="preserve">be conducted by intersectionality approach </w:t>
      </w:r>
      <w:r>
        <w:rPr>
          <w:sz w:val="22"/>
          <w:szCs w:val="22"/>
        </w:rPr>
        <w:t>answer the following questions:</w:t>
      </w:r>
    </w:p>
    <w:p w14:paraId="214375DF" w14:textId="77777777" w:rsidR="00BB6084" w:rsidRPr="00BB6084" w:rsidRDefault="73E14D53" w:rsidP="00BB6084">
      <w:pPr>
        <w:numPr>
          <w:ilvl w:val="0"/>
          <w:numId w:val="12"/>
        </w:numPr>
        <w:spacing w:before="0" w:after="0" w:line="259" w:lineRule="auto"/>
        <w:ind w:left="714" w:hanging="357"/>
        <w:contextualSpacing/>
        <w:rPr>
          <w:sz w:val="22"/>
          <w:szCs w:val="22"/>
        </w:rPr>
      </w:pPr>
      <w:r w:rsidRPr="00BB6084">
        <w:rPr>
          <w:sz w:val="22"/>
          <w:szCs w:val="22"/>
        </w:rPr>
        <w:t>What is the essence of the problem and why it is deemed as a problem? What is the gender relevance of the problem?</w:t>
      </w:r>
    </w:p>
    <w:p w14:paraId="637D65BC" w14:textId="2289F331" w:rsidR="73E14D53" w:rsidRPr="00BB6084" w:rsidRDefault="73E14D53" w:rsidP="00BB6084">
      <w:pPr>
        <w:numPr>
          <w:ilvl w:val="0"/>
          <w:numId w:val="12"/>
        </w:numPr>
        <w:spacing w:before="0" w:after="0" w:line="259" w:lineRule="auto"/>
        <w:ind w:left="714" w:hanging="357"/>
        <w:contextualSpacing/>
        <w:rPr>
          <w:sz w:val="22"/>
          <w:szCs w:val="22"/>
        </w:rPr>
      </w:pPr>
      <w:r w:rsidRPr="00BB6084">
        <w:rPr>
          <w:sz w:val="22"/>
          <w:szCs w:val="22"/>
        </w:rPr>
        <w:t>What evidence is there to support the problem statement?</w:t>
      </w:r>
    </w:p>
    <w:p w14:paraId="74022207" w14:textId="48506670" w:rsidR="73E14D53" w:rsidRPr="00BB6084" w:rsidRDefault="73E14D53" w:rsidP="00BB6084">
      <w:pPr>
        <w:pStyle w:val="ListParagraph"/>
        <w:numPr>
          <w:ilvl w:val="0"/>
          <w:numId w:val="12"/>
        </w:numPr>
        <w:spacing w:before="0"/>
        <w:ind w:left="714" w:hanging="357"/>
        <w:rPr>
          <w:sz w:val="22"/>
          <w:szCs w:val="22"/>
        </w:rPr>
      </w:pPr>
      <w:r w:rsidRPr="00BB6084">
        <w:rPr>
          <w:sz w:val="22"/>
          <w:szCs w:val="22"/>
        </w:rPr>
        <w:t>Who are the stakeholders impacted by the problem? What are the policy objectives of the intervention? Is the intervention intended to contribute to gender equality? What gender equality issue or problem is being addressed by this intervention? What are the existing gender equality objectives in this field?</w:t>
      </w:r>
    </w:p>
    <w:p w14:paraId="3BC6EFB4" w14:textId="341F9479" w:rsidR="73E14D53" w:rsidRPr="00BB6084" w:rsidRDefault="73E14D53" w:rsidP="00474FEE">
      <w:pPr>
        <w:pStyle w:val="ListParagraph"/>
        <w:numPr>
          <w:ilvl w:val="0"/>
          <w:numId w:val="12"/>
        </w:numPr>
        <w:rPr>
          <w:sz w:val="22"/>
          <w:szCs w:val="22"/>
        </w:rPr>
      </w:pPr>
      <w:r w:rsidRPr="00BB6084">
        <w:rPr>
          <w:sz w:val="22"/>
          <w:szCs w:val="22"/>
        </w:rPr>
        <w:t>Is it necessary to intervene? What gaps or harms would occur if government doesn’t intervene?</w:t>
      </w:r>
    </w:p>
    <w:p w14:paraId="65142820" w14:textId="79BF7DCF" w:rsidR="73E14D53" w:rsidRPr="00BB6084" w:rsidRDefault="73E14D53" w:rsidP="00474FEE">
      <w:pPr>
        <w:pStyle w:val="ListParagraph"/>
        <w:numPr>
          <w:ilvl w:val="0"/>
          <w:numId w:val="12"/>
        </w:numPr>
        <w:rPr>
          <w:sz w:val="22"/>
          <w:szCs w:val="22"/>
        </w:rPr>
      </w:pPr>
      <w:r w:rsidRPr="00BB6084">
        <w:rPr>
          <w:sz w:val="22"/>
          <w:szCs w:val="22"/>
        </w:rPr>
        <w:t xml:space="preserve">What are the outcomes and intended effects of the intervention? How is the intervention intended to contribute to gender equality? Is the planned intervention addressing the needs of both women and men, considering their different interests, </w:t>
      </w:r>
      <w:proofErr w:type="gramStart"/>
      <w:r w:rsidRPr="00BB6084">
        <w:rPr>
          <w:sz w:val="22"/>
          <w:szCs w:val="22"/>
        </w:rPr>
        <w:t>roles</w:t>
      </w:r>
      <w:proofErr w:type="gramEnd"/>
      <w:r w:rsidRPr="00BB6084">
        <w:rPr>
          <w:sz w:val="22"/>
          <w:szCs w:val="22"/>
        </w:rPr>
        <w:t xml:space="preserve"> and positions?</w:t>
      </w:r>
    </w:p>
    <w:p w14:paraId="35C7DE28" w14:textId="747ACD89" w:rsidR="73E14D53" w:rsidRPr="00BB6084" w:rsidRDefault="73E14D53" w:rsidP="00474FEE">
      <w:pPr>
        <w:pStyle w:val="ListParagraph"/>
        <w:numPr>
          <w:ilvl w:val="0"/>
          <w:numId w:val="12"/>
        </w:numPr>
        <w:rPr>
          <w:sz w:val="22"/>
          <w:szCs w:val="22"/>
        </w:rPr>
      </w:pPr>
      <w:r w:rsidRPr="00BB6084">
        <w:rPr>
          <w:sz w:val="22"/>
          <w:szCs w:val="22"/>
        </w:rPr>
        <w:t xml:space="preserve">Can the intended outcomes of the intervention be described in a specific, measurable, achievable, </w:t>
      </w:r>
      <w:proofErr w:type="gramStart"/>
      <w:r w:rsidRPr="00BB6084">
        <w:rPr>
          <w:sz w:val="22"/>
          <w:szCs w:val="22"/>
        </w:rPr>
        <w:t>realistic</w:t>
      </w:r>
      <w:proofErr w:type="gramEnd"/>
      <w:r w:rsidRPr="00BB6084">
        <w:rPr>
          <w:sz w:val="22"/>
          <w:szCs w:val="22"/>
        </w:rPr>
        <w:t xml:space="preserve"> and time-limited (SMART), or similar, way?</w:t>
      </w:r>
    </w:p>
    <w:p w14:paraId="4619B0F1" w14:textId="5AA72E1A" w:rsidR="73E14D53" w:rsidRPr="00BB6084" w:rsidRDefault="73E14D53" w:rsidP="00474FEE">
      <w:pPr>
        <w:pStyle w:val="ListParagraph"/>
        <w:numPr>
          <w:ilvl w:val="0"/>
          <w:numId w:val="12"/>
        </w:numPr>
        <w:rPr>
          <w:sz w:val="22"/>
          <w:szCs w:val="22"/>
        </w:rPr>
      </w:pPr>
      <w:r w:rsidRPr="00BB6084">
        <w:rPr>
          <w:sz w:val="22"/>
          <w:szCs w:val="22"/>
        </w:rPr>
        <w:t>what are the costs and benefits of policy / intervention alternatives (options)?</w:t>
      </w:r>
    </w:p>
    <w:p w14:paraId="60CCF556" w14:textId="7465F094" w:rsidR="73E14D53" w:rsidRPr="00BB6084" w:rsidRDefault="73E14D53" w:rsidP="00474FEE">
      <w:pPr>
        <w:pStyle w:val="ListParagraph"/>
        <w:numPr>
          <w:ilvl w:val="0"/>
          <w:numId w:val="12"/>
        </w:numPr>
        <w:rPr>
          <w:sz w:val="22"/>
          <w:szCs w:val="22"/>
        </w:rPr>
      </w:pPr>
      <w:r w:rsidRPr="00BB6084">
        <w:rPr>
          <w:sz w:val="22"/>
          <w:szCs w:val="22"/>
        </w:rPr>
        <w:t>What is the best alternative to solve the problem? How can the best alternative contribute to the needs of women and men be strengthened?</w:t>
      </w:r>
    </w:p>
    <w:p w14:paraId="08BC293D" w14:textId="0F7FEA05" w:rsidR="00727654" w:rsidRPr="00BB6084" w:rsidRDefault="00727654" w:rsidP="00474FEE">
      <w:pPr>
        <w:pStyle w:val="ListParagraph"/>
        <w:numPr>
          <w:ilvl w:val="0"/>
          <w:numId w:val="12"/>
        </w:numPr>
        <w:rPr>
          <w:sz w:val="22"/>
          <w:szCs w:val="22"/>
        </w:rPr>
      </w:pPr>
      <w:r w:rsidRPr="00BB6084">
        <w:rPr>
          <w:sz w:val="22"/>
          <w:szCs w:val="22"/>
        </w:rPr>
        <w:t>What is the monitoring and evaluation plan for the best alternative?</w:t>
      </w:r>
    </w:p>
    <w:p w14:paraId="61ADAF00" w14:textId="77777777" w:rsidR="00727654" w:rsidRPr="00727654" w:rsidRDefault="00727654" w:rsidP="00727654">
      <w:pPr>
        <w:ind w:left="720"/>
        <w:contextualSpacing/>
        <w:rPr>
          <w:color w:val="000000"/>
          <w:sz w:val="22"/>
          <w:szCs w:val="22"/>
        </w:rPr>
      </w:pPr>
    </w:p>
    <w:p w14:paraId="5F1F7C7F" w14:textId="77777777" w:rsidR="00727654" w:rsidRPr="00727654" w:rsidRDefault="00727654" w:rsidP="00727654">
      <w:pPr>
        <w:rPr>
          <w:color w:val="000000"/>
          <w:sz w:val="22"/>
          <w:szCs w:val="22"/>
        </w:rPr>
      </w:pPr>
      <w:r w:rsidRPr="00727654">
        <w:rPr>
          <w:color w:val="000000"/>
          <w:sz w:val="22"/>
          <w:szCs w:val="22"/>
        </w:rPr>
        <w:t xml:space="preserve">The RIA and GIA shall be conducted in accordance with the Resolution of the Government of Georgia No35 on the approval of the regulatory impact assessment methodology and the best international practices. </w:t>
      </w:r>
    </w:p>
    <w:p w14:paraId="63AC45AF" w14:textId="7964FA80" w:rsidR="00B332F8" w:rsidRDefault="00B332F8" w:rsidP="00B332F8">
      <w:pPr>
        <w:rPr>
          <w:sz w:val="22"/>
          <w:szCs w:val="22"/>
        </w:rPr>
      </w:pPr>
      <w:r w:rsidRPr="00B332F8">
        <w:rPr>
          <w:sz w:val="22"/>
          <w:szCs w:val="22"/>
        </w:rPr>
        <w:t>The impact assessment process shall further be guided by the implementation principles of the Agenda 2030, namely to: (</w:t>
      </w:r>
      <w:proofErr w:type="spellStart"/>
      <w:r w:rsidRPr="00B332F8">
        <w:rPr>
          <w:sz w:val="22"/>
          <w:szCs w:val="22"/>
        </w:rPr>
        <w:t>i</w:t>
      </w:r>
      <w:proofErr w:type="spellEnd"/>
      <w:r w:rsidRPr="00B332F8">
        <w:rPr>
          <w:sz w:val="22"/>
          <w:szCs w:val="22"/>
        </w:rPr>
        <w:t xml:space="preserve">) foster integrative approaches covering environmental, social and economic impact dimensions (ii) leave no one behind by ensuring greater efforts to address the poorest and most vulnerable groups and reduce inequalities (iii) underline shared responsibility of all stakeholders with multi-stakeholder approaches, which implies the obligation of not only the state to implement sustainable development goals, but also involvement of the society, its groups and citizens to be involved in this process on an equal footing (iv) enable accountability with strong review and monitoring mechanisms.  </w:t>
      </w:r>
    </w:p>
    <w:p w14:paraId="1D14C5BA" w14:textId="19BF69EE" w:rsidR="00B332F8" w:rsidRPr="00B332F8" w:rsidRDefault="00B332F8" w:rsidP="00B332F8">
      <w:pPr>
        <w:rPr>
          <w:sz w:val="22"/>
          <w:szCs w:val="22"/>
        </w:rPr>
      </w:pPr>
      <w:r w:rsidRPr="00B332F8">
        <w:rPr>
          <w:sz w:val="22"/>
          <w:szCs w:val="22"/>
        </w:rPr>
        <w:t>Throughout the conduction, the RIA</w:t>
      </w:r>
      <w:r w:rsidR="5BC25E65" w:rsidRPr="25C1393B">
        <w:rPr>
          <w:sz w:val="22"/>
          <w:szCs w:val="22"/>
        </w:rPr>
        <w:t>/GIA</w:t>
      </w:r>
      <w:r w:rsidRPr="00B332F8">
        <w:rPr>
          <w:sz w:val="22"/>
          <w:szCs w:val="22"/>
        </w:rPr>
        <w:t xml:space="preserve"> shall be well-consulted among different groups of the society, </w:t>
      </w:r>
      <w:proofErr w:type="gramStart"/>
      <w:r w:rsidRPr="00B332F8">
        <w:rPr>
          <w:sz w:val="22"/>
          <w:szCs w:val="22"/>
        </w:rPr>
        <w:t>first of all</w:t>
      </w:r>
      <w:proofErr w:type="gramEnd"/>
      <w:r w:rsidRPr="00B332F8">
        <w:rPr>
          <w:sz w:val="22"/>
          <w:szCs w:val="22"/>
        </w:rPr>
        <w:t xml:space="preserve"> stakeholders of the relevant sector, as well public sector encompassing field ministries, legal entities of public law (LEPLs), field committees of the Parliament, private sector, civil society, scientific or research institutions, business associations.</w:t>
      </w:r>
    </w:p>
    <w:p w14:paraId="77D523F4" w14:textId="43633B52" w:rsidR="00672E52" w:rsidRDefault="00672E52" w:rsidP="00E15A40">
      <w:pPr>
        <w:rPr>
          <w:sz w:val="22"/>
          <w:szCs w:val="22"/>
        </w:rPr>
      </w:pPr>
      <w:r w:rsidRPr="00312A49">
        <w:rPr>
          <w:color w:val="FF0000"/>
          <w:sz w:val="22"/>
          <w:szCs w:val="22"/>
        </w:rPr>
        <w:t xml:space="preserve">Important note: </w:t>
      </w:r>
      <w:r>
        <w:rPr>
          <w:sz w:val="22"/>
          <w:szCs w:val="22"/>
        </w:rPr>
        <w:t xml:space="preserve">the initial draft of climate law is expected to be prepared by </w:t>
      </w:r>
      <w:r w:rsidR="00312A49">
        <w:rPr>
          <w:sz w:val="22"/>
          <w:szCs w:val="22"/>
        </w:rPr>
        <w:t xml:space="preserve">the </w:t>
      </w:r>
      <w:r>
        <w:rPr>
          <w:sz w:val="22"/>
          <w:szCs w:val="22"/>
        </w:rPr>
        <w:t xml:space="preserve">end of December 2023. </w:t>
      </w:r>
      <w:r w:rsidR="00312A49">
        <w:rPr>
          <w:sz w:val="22"/>
          <w:szCs w:val="22"/>
        </w:rPr>
        <w:t>Due to</w:t>
      </w:r>
      <w:r>
        <w:rPr>
          <w:sz w:val="22"/>
          <w:szCs w:val="22"/>
        </w:rPr>
        <w:t xml:space="preserve"> time considerations, the supplier for RIA/GIA will start assessment process based on the initial draft</w:t>
      </w:r>
      <w:r w:rsidR="00312A49">
        <w:rPr>
          <w:sz w:val="22"/>
          <w:szCs w:val="22"/>
        </w:rPr>
        <w:t xml:space="preserve">, not waiting for the final draft, which will take several </w:t>
      </w:r>
      <w:r w:rsidR="00CD726A">
        <w:rPr>
          <w:sz w:val="22"/>
          <w:szCs w:val="22"/>
        </w:rPr>
        <w:t>more months</w:t>
      </w:r>
      <w:r w:rsidR="00312A49">
        <w:rPr>
          <w:sz w:val="22"/>
          <w:szCs w:val="22"/>
        </w:rPr>
        <w:t>.</w:t>
      </w:r>
      <w:r>
        <w:rPr>
          <w:sz w:val="22"/>
          <w:szCs w:val="22"/>
        </w:rPr>
        <w:t xml:space="preserve"> </w:t>
      </w:r>
      <w:r w:rsidR="00312A49">
        <w:rPr>
          <w:sz w:val="22"/>
          <w:szCs w:val="22"/>
        </w:rPr>
        <w:t>Therefore, the supplier is required to work in</w:t>
      </w:r>
      <w:r>
        <w:rPr>
          <w:sz w:val="22"/>
          <w:szCs w:val="22"/>
        </w:rPr>
        <w:t xml:space="preserve"> close collaboration with the consultants drafting the law</w:t>
      </w:r>
      <w:r w:rsidR="00312A49">
        <w:rPr>
          <w:sz w:val="22"/>
          <w:szCs w:val="22"/>
        </w:rPr>
        <w:t>, so that updated drafts of the law and the RIA/GIA process goes in parallel</w:t>
      </w:r>
      <w:r w:rsidR="007E170C">
        <w:rPr>
          <w:sz w:val="22"/>
          <w:szCs w:val="22"/>
        </w:rPr>
        <w:t xml:space="preserve"> and in a well-coordinated manner</w:t>
      </w:r>
      <w:r w:rsidR="00312A49">
        <w:rPr>
          <w:sz w:val="22"/>
          <w:szCs w:val="22"/>
        </w:rPr>
        <w:t xml:space="preserve">. </w:t>
      </w:r>
    </w:p>
    <w:p w14:paraId="072CB939" w14:textId="7F0DE541" w:rsidR="00A30E62" w:rsidRDefault="00F26B05" w:rsidP="00E15A40">
      <w:pPr>
        <w:rPr>
          <w:sz w:val="22"/>
          <w:szCs w:val="22"/>
        </w:rPr>
      </w:pPr>
      <w:r w:rsidRPr="0076146C">
        <w:rPr>
          <w:b/>
          <w:bCs w:val="0"/>
          <w:sz w:val="22"/>
          <w:szCs w:val="22"/>
        </w:rPr>
        <w:t>Specific tasks</w:t>
      </w:r>
      <w:r>
        <w:rPr>
          <w:sz w:val="22"/>
          <w:szCs w:val="22"/>
        </w:rPr>
        <w:t xml:space="preserve"> include but are not limited to:</w:t>
      </w:r>
    </w:p>
    <w:p w14:paraId="1E3EEEE1"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Develop detailed action plan for the implementation of RIA with clear milestones.</w:t>
      </w:r>
    </w:p>
    <w:p w14:paraId="6F5F00AE"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Identify the problem (size and scope) and establish the baseline.</w:t>
      </w:r>
    </w:p>
    <w:p w14:paraId="2AAA1656"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Define the objective of the intervention.</w:t>
      </w:r>
    </w:p>
    <w:p w14:paraId="5A27B649"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Identify several (at least two) comparing options.</w:t>
      </w:r>
    </w:p>
    <w:p w14:paraId="4088EE94"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Measure the impact (cost and benefit) and monetized value of benefits and costs of each option using quantitative and qualitative analyses methods</w:t>
      </w:r>
      <w:r w:rsidRPr="00727654">
        <w:rPr>
          <w:rFonts w:ascii="Calibri" w:eastAsia="Calibri" w:hAnsi="Calibri"/>
          <w:bCs w:val="0"/>
          <w:color w:val="auto"/>
          <w:sz w:val="22"/>
          <w:szCs w:val="22"/>
        </w:rPr>
        <w:t xml:space="preserve"> </w:t>
      </w:r>
      <w:r w:rsidRPr="00727654">
        <w:rPr>
          <w:color w:val="000000"/>
          <w:sz w:val="22"/>
          <w:szCs w:val="22"/>
        </w:rPr>
        <w:t>(conduct cost-benefit analysis (CBA), cost-effectiveness analysis (CEA), multi-criteria analysis (MCA) or similar analysis).</w:t>
      </w:r>
    </w:p>
    <w:p w14:paraId="6035785C"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 xml:space="preserve">For each option several categories of impacts should be measured and assessed (economic, fiscal, financial, social, gender, environmental-ecological, impact on Georgia’s international commitments, </w:t>
      </w:r>
      <w:proofErr w:type="gramStart"/>
      <w:r w:rsidRPr="00727654">
        <w:rPr>
          <w:color w:val="000000"/>
          <w:sz w:val="22"/>
          <w:szCs w:val="22"/>
        </w:rPr>
        <w:t>agreements</w:t>
      </w:r>
      <w:proofErr w:type="gramEnd"/>
      <w:r w:rsidRPr="00727654">
        <w:rPr>
          <w:color w:val="000000"/>
          <w:sz w:val="22"/>
          <w:szCs w:val="22"/>
        </w:rPr>
        <w:t xml:space="preserve"> and treaties etc.).</w:t>
      </w:r>
    </w:p>
    <w:p w14:paraId="7E573E08"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Compare and recommend the preferred option. Selection should be based on sound judgments of why the preferred option best meets the objectives and why the other options were rejected.</w:t>
      </w:r>
    </w:p>
    <w:p w14:paraId="73F3A639"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 xml:space="preserve">Prepare implementation, </w:t>
      </w:r>
      <w:proofErr w:type="gramStart"/>
      <w:r w:rsidRPr="00727654">
        <w:rPr>
          <w:color w:val="000000"/>
          <w:sz w:val="22"/>
          <w:szCs w:val="22"/>
        </w:rPr>
        <w:t>monitoring</w:t>
      </w:r>
      <w:proofErr w:type="gramEnd"/>
      <w:r w:rsidRPr="00727654">
        <w:rPr>
          <w:color w:val="000000"/>
          <w:sz w:val="22"/>
          <w:szCs w:val="22"/>
        </w:rPr>
        <w:t xml:space="preserve"> and evaluation plan for the chosen option.</w:t>
      </w:r>
    </w:p>
    <w:p w14:paraId="653CD982" w14:textId="77777777" w:rsidR="00727654" w:rsidRP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Conduct the data gathering and stakeholder consultation activities throughout the process.</w:t>
      </w:r>
    </w:p>
    <w:p w14:paraId="269ECFAB" w14:textId="67319A91" w:rsidR="00727654" w:rsidRDefault="00727654" w:rsidP="00474FEE">
      <w:pPr>
        <w:numPr>
          <w:ilvl w:val="0"/>
          <w:numId w:val="11"/>
        </w:numPr>
        <w:spacing w:before="0" w:after="160" w:line="259" w:lineRule="auto"/>
        <w:ind w:left="1843" w:hanging="916"/>
        <w:contextualSpacing/>
        <w:rPr>
          <w:color w:val="000000"/>
          <w:sz w:val="22"/>
          <w:szCs w:val="22"/>
        </w:rPr>
      </w:pPr>
      <w:r w:rsidRPr="00727654">
        <w:rPr>
          <w:color w:val="000000"/>
          <w:sz w:val="22"/>
          <w:szCs w:val="22"/>
        </w:rPr>
        <w:t xml:space="preserve">Conduct at least two meetings / workshops to discuss the findings of the initial and final draft of the report. Please note that costs for organizing these two meetings / workshops will be covered by WFD, therefore bidders are requested not to include such costs in their financial proposal. </w:t>
      </w:r>
    </w:p>
    <w:p w14:paraId="2762988D" w14:textId="77777777" w:rsidR="00727654" w:rsidRPr="00727654" w:rsidRDefault="00727654" w:rsidP="00727654">
      <w:pPr>
        <w:spacing w:before="0" w:after="160" w:line="259" w:lineRule="auto"/>
        <w:ind w:left="1843"/>
        <w:contextualSpacing/>
        <w:rPr>
          <w:color w:val="000000"/>
          <w:sz w:val="22"/>
          <w:szCs w:val="22"/>
        </w:rPr>
      </w:pPr>
    </w:p>
    <w:p w14:paraId="1CADB2AD" w14:textId="6EE01BFE" w:rsidR="00541F52" w:rsidRPr="00541F52" w:rsidRDefault="00541F52" w:rsidP="00541F52">
      <w:pPr>
        <w:rPr>
          <w:sz w:val="22"/>
          <w:szCs w:val="22"/>
        </w:rPr>
      </w:pPr>
      <w:r w:rsidRPr="00541F52">
        <w:rPr>
          <w:sz w:val="22"/>
          <w:szCs w:val="22"/>
        </w:rPr>
        <w:lastRenderedPageBreak/>
        <w:t>The supplier is required to produce at least following outputs / deliverables under this assignment:</w:t>
      </w:r>
    </w:p>
    <w:p w14:paraId="33169499" w14:textId="659CF556" w:rsidR="00541F52" w:rsidRDefault="0076146C" w:rsidP="00474FEE">
      <w:pPr>
        <w:pStyle w:val="ListParagraph"/>
        <w:numPr>
          <w:ilvl w:val="0"/>
          <w:numId w:val="8"/>
        </w:numPr>
        <w:rPr>
          <w:sz w:val="22"/>
          <w:szCs w:val="22"/>
        </w:rPr>
      </w:pPr>
      <w:r>
        <w:rPr>
          <w:b/>
          <w:bCs w:val="0"/>
          <w:sz w:val="22"/>
          <w:szCs w:val="22"/>
        </w:rPr>
        <w:t>Detailed work plan / action plan</w:t>
      </w:r>
      <w:r w:rsidR="00541F52" w:rsidRPr="00541F52">
        <w:rPr>
          <w:b/>
          <w:bCs w:val="0"/>
          <w:sz w:val="22"/>
          <w:szCs w:val="22"/>
        </w:rPr>
        <w:t>.</w:t>
      </w:r>
      <w:r w:rsidR="00541F52" w:rsidRPr="00541F52">
        <w:rPr>
          <w:sz w:val="22"/>
          <w:szCs w:val="22"/>
        </w:rPr>
        <w:t xml:space="preserve"> </w:t>
      </w:r>
      <w:r w:rsidR="001D0D8B">
        <w:rPr>
          <w:sz w:val="22"/>
          <w:szCs w:val="22"/>
        </w:rPr>
        <w:t>RIA/GIA detailed action plan prepared and submitted to WFD Georgia.</w:t>
      </w:r>
    </w:p>
    <w:p w14:paraId="43BCC2BA" w14:textId="68B29AE5" w:rsidR="00541F52" w:rsidRDefault="00541F52" w:rsidP="00474FEE">
      <w:pPr>
        <w:pStyle w:val="ListParagraph"/>
        <w:numPr>
          <w:ilvl w:val="0"/>
          <w:numId w:val="8"/>
        </w:numPr>
        <w:rPr>
          <w:sz w:val="22"/>
          <w:szCs w:val="22"/>
        </w:rPr>
      </w:pPr>
      <w:r w:rsidRPr="00541F52">
        <w:rPr>
          <w:b/>
          <w:bCs w:val="0"/>
          <w:sz w:val="22"/>
          <w:szCs w:val="22"/>
        </w:rPr>
        <w:t>Draft Assessment Report</w:t>
      </w:r>
      <w:r w:rsidR="0040363B">
        <w:rPr>
          <w:b/>
          <w:bCs w:val="0"/>
          <w:sz w:val="22"/>
          <w:szCs w:val="22"/>
        </w:rPr>
        <w:t>.</w:t>
      </w:r>
      <w:r w:rsidRPr="00541F52">
        <w:rPr>
          <w:sz w:val="22"/>
          <w:szCs w:val="22"/>
        </w:rPr>
        <w:t xml:space="preserve"> </w:t>
      </w:r>
      <w:r w:rsidR="001D0D8B" w:rsidRPr="001D0D8B">
        <w:rPr>
          <w:sz w:val="22"/>
          <w:szCs w:val="22"/>
        </w:rPr>
        <w:t>Mid-Term Report prepared (defining problem, objective</w:t>
      </w:r>
      <w:r w:rsidR="00727654">
        <w:rPr>
          <w:sz w:val="22"/>
          <w:szCs w:val="22"/>
        </w:rPr>
        <w:t>s</w:t>
      </w:r>
      <w:r w:rsidR="001D0D8B" w:rsidRPr="001D0D8B">
        <w:rPr>
          <w:sz w:val="22"/>
          <w:szCs w:val="22"/>
        </w:rPr>
        <w:t xml:space="preserve"> of intervention, alternative </w:t>
      </w:r>
      <w:proofErr w:type="gramStart"/>
      <w:r w:rsidR="001D0D8B" w:rsidRPr="001D0D8B">
        <w:rPr>
          <w:sz w:val="22"/>
          <w:szCs w:val="22"/>
        </w:rPr>
        <w:t>options</w:t>
      </w:r>
      <w:proofErr w:type="gramEnd"/>
      <w:r w:rsidR="001D0D8B" w:rsidRPr="001D0D8B">
        <w:rPr>
          <w:sz w:val="22"/>
          <w:szCs w:val="22"/>
        </w:rPr>
        <w:t xml:space="preserve"> and preliminary measuring of impact)</w:t>
      </w:r>
      <w:r w:rsidR="001D0D8B">
        <w:rPr>
          <w:sz w:val="22"/>
          <w:szCs w:val="22"/>
        </w:rPr>
        <w:t xml:space="preserve"> and submitted to WFD Georgia. </w:t>
      </w:r>
    </w:p>
    <w:p w14:paraId="6D549B77" w14:textId="5FC36581" w:rsidR="00541F52" w:rsidRDefault="00541F52" w:rsidP="00474FEE">
      <w:pPr>
        <w:pStyle w:val="ListParagraph"/>
        <w:numPr>
          <w:ilvl w:val="0"/>
          <w:numId w:val="8"/>
        </w:numPr>
        <w:rPr>
          <w:sz w:val="22"/>
          <w:szCs w:val="22"/>
        </w:rPr>
      </w:pPr>
      <w:r w:rsidRPr="00541F52">
        <w:rPr>
          <w:b/>
          <w:bCs w:val="0"/>
          <w:sz w:val="22"/>
          <w:szCs w:val="22"/>
        </w:rPr>
        <w:t>Final assessment Report</w:t>
      </w:r>
      <w:r w:rsidR="0040363B">
        <w:rPr>
          <w:b/>
          <w:bCs w:val="0"/>
          <w:sz w:val="22"/>
          <w:szCs w:val="22"/>
        </w:rPr>
        <w:t>.</w:t>
      </w:r>
      <w:r w:rsidRPr="00541F52">
        <w:rPr>
          <w:sz w:val="22"/>
          <w:szCs w:val="22"/>
        </w:rPr>
        <w:t xml:space="preserve"> </w:t>
      </w:r>
      <w:r w:rsidR="001D0D8B">
        <w:rPr>
          <w:sz w:val="22"/>
          <w:szCs w:val="22"/>
        </w:rPr>
        <w:t>Final RIA/GIA Report prepared and submitted to WFD Georgia.</w:t>
      </w:r>
      <w:bookmarkEnd w:id="2"/>
      <w:r w:rsidR="001D0D8B">
        <w:rPr>
          <w:sz w:val="22"/>
          <w:szCs w:val="22"/>
        </w:rPr>
        <w:t xml:space="preserve"> </w:t>
      </w:r>
    </w:p>
    <w:p w14:paraId="1CCA88FC" w14:textId="77777777" w:rsidR="0076146C" w:rsidRPr="0076146C" w:rsidRDefault="0076146C" w:rsidP="0076146C">
      <w:pPr>
        <w:pStyle w:val="ListParagraph"/>
        <w:rPr>
          <w:sz w:val="22"/>
          <w:szCs w:val="22"/>
        </w:rPr>
      </w:pPr>
    </w:p>
    <w:p w14:paraId="4471B0BE" w14:textId="5418BACB" w:rsidR="0034125B" w:rsidRDefault="0034125B" w:rsidP="00B766E0">
      <w:pPr>
        <w:pStyle w:val="Heading2"/>
      </w:pPr>
      <w:r>
        <w:t>Timelin</w:t>
      </w:r>
      <w:r w:rsidR="00B766E0">
        <w:t>e</w:t>
      </w:r>
    </w:p>
    <w:p w14:paraId="37476ED7" w14:textId="28BECD59" w:rsidR="00626768" w:rsidRDefault="005F4527" w:rsidP="00626768">
      <w:pPr>
        <w:spacing w:before="0" w:after="0"/>
        <w:textAlignment w:val="baseline"/>
        <w:rPr>
          <w:rFonts w:eastAsia="Times New Roman"/>
          <w:bCs w:val="0"/>
          <w:color w:val="auto"/>
          <w:sz w:val="22"/>
          <w:szCs w:val="22"/>
          <w:lang w:val="en-US" w:eastAsia="zh-TW"/>
        </w:rPr>
      </w:pPr>
      <w:r>
        <w:rPr>
          <w:rFonts w:eastAsia="Times New Roman"/>
          <w:bCs w:val="0"/>
          <w:color w:val="auto"/>
          <w:sz w:val="22"/>
          <w:szCs w:val="22"/>
          <w:lang w:val="en-US" w:eastAsia="zh-TW"/>
        </w:rPr>
        <w:t xml:space="preserve">Timelines below list the tentative dates for submission of assignment related deliverables. </w:t>
      </w:r>
    </w:p>
    <w:p w14:paraId="73E0F228" w14:textId="77777777" w:rsidR="00727654" w:rsidRDefault="00727654" w:rsidP="00626768">
      <w:pPr>
        <w:spacing w:before="0" w:after="0"/>
        <w:textAlignment w:val="baseline"/>
        <w:rPr>
          <w:rFonts w:eastAsia="Times New Roman"/>
          <w:bCs w:val="0"/>
          <w:color w:val="auto"/>
          <w:sz w:val="22"/>
          <w:szCs w:val="22"/>
          <w:lang w:val="en-US" w:eastAsia="zh-TW"/>
        </w:rPr>
      </w:pPr>
    </w:p>
    <w:tbl>
      <w:tblPr>
        <w:tblW w:w="9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3900"/>
        <w:gridCol w:w="2573"/>
        <w:gridCol w:w="2567"/>
      </w:tblGrid>
      <w:tr w:rsidR="00727654" w:rsidRPr="00727654" w14:paraId="28963007" w14:textId="77777777" w:rsidTr="00727654">
        <w:trPr>
          <w:trHeight w:val="714"/>
        </w:trPr>
        <w:tc>
          <w:tcPr>
            <w:tcW w:w="442" w:type="dxa"/>
            <w:tcBorders>
              <w:top w:val="single" w:sz="6" w:space="0" w:color="auto"/>
              <w:left w:val="single" w:sz="6" w:space="0" w:color="auto"/>
              <w:bottom w:val="single" w:sz="6" w:space="0" w:color="auto"/>
              <w:right w:val="single" w:sz="6" w:space="0" w:color="auto"/>
            </w:tcBorders>
            <w:shd w:val="clear" w:color="auto" w:fill="7F7F7F" w:themeFill="text1" w:themeFillTint="80"/>
            <w:hideMark/>
          </w:tcPr>
          <w:p w14:paraId="2EBD3707" w14:textId="77777777" w:rsidR="00727654" w:rsidRPr="00727654" w:rsidRDefault="00727654" w:rsidP="00727654">
            <w:pPr>
              <w:spacing w:before="0" w:after="0"/>
              <w:jc w:val="center"/>
              <w:textAlignment w:val="baseline"/>
              <w:rPr>
                <w:rFonts w:eastAsia="Times New Roman"/>
                <w:b/>
                <w:color w:val="auto"/>
                <w:sz w:val="22"/>
                <w:szCs w:val="22"/>
              </w:rPr>
            </w:pPr>
            <w:r w:rsidRPr="00727654">
              <w:rPr>
                <w:rFonts w:eastAsia="Times New Roman"/>
                <w:b/>
                <w:color w:val="FFFFFF"/>
                <w:sz w:val="22"/>
                <w:szCs w:val="22"/>
              </w:rPr>
              <w:t>N</w:t>
            </w:r>
          </w:p>
        </w:tc>
        <w:tc>
          <w:tcPr>
            <w:tcW w:w="3900" w:type="dxa"/>
            <w:tcBorders>
              <w:top w:val="single" w:sz="6" w:space="0" w:color="auto"/>
              <w:left w:val="nil"/>
              <w:bottom w:val="single" w:sz="6" w:space="0" w:color="auto"/>
              <w:right w:val="single" w:sz="6" w:space="0" w:color="auto"/>
            </w:tcBorders>
            <w:shd w:val="clear" w:color="auto" w:fill="7F7F7F" w:themeFill="text1" w:themeFillTint="80"/>
            <w:hideMark/>
          </w:tcPr>
          <w:p w14:paraId="2BF4CEBA" w14:textId="77777777" w:rsidR="00727654" w:rsidRPr="00727654" w:rsidRDefault="00727654" w:rsidP="00727654">
            <w:pPr>
              <w:spacing w:before="0" w:after="0"/>
              <w:jc w:val="center"/>
              <w:textAlignment w:val="baseline"/>
              <w:rPr>
                <w:rFonts w:eastAsia="Times New Roman"/>
                <w:bCs w:val="0"/>
                <w:color w:val="auto"/>
                <w:sz w:val="22"/>
                <w:szCs w:val="22"/>
              </w:rPr>
            </w:pPr>
            <w:r w:rsidRPr="00727654">
              <w:rPr>
                <w:rFonts w:eastAsia="Times New Roman"/>
                <w:b/>
                <w:color w:val="FFFFFF"/>
                <w:sz w:val="22"/>
                <w:szCs w:val="22"/>
              </w:rPr>
              <w:t>Deliverables Timeline</w:t>
            </w:r>
          </w:p>
        </w:tc>
        <w:tc>
          <w:tcPr>
            <w:tcW w:w="2573" w:type="dxa"/>
            <w:tcBorders>
              <w:top w:val="single" w:sz="6" w:space="0" w:color="auto"/>
              <w:left w:val="nil"/>
              <w:bottom w:val="single" w:sz="6" w:space="0" w:color="auto"/>
              <w:right w:val="single" w:sz="6" w:space="0" w:color="auto"/>
            </w:tcBorders>
            <w:shd w:val="clear" w:color="auto" w:fill="7F7F7F" w:themeFill="text1" w:themeFillTint="80"/>
          </w:tcPr>
          <w:p w14:paraId="69AB7E79" w14:textId="77777777" w:rsidR="00727654" w:rsidRPr="00727654" w:rsidRDefault="00727654" w:rsidP="00727654">
            <w:pPr>
              <w:spacing w:before="0" w:after="0"/>
              <w:jc w:val="center"/>
              <w:rPr>
                <w:rFonts w:eastAsia="Arial"/>
                <w:bCs w:val="0"/>
                <w:color w:val="auto"/>
                <w:sz w:val="22"/>
                <w:szCs w:val="22"/>
              </w:rPr>
            </w:pPr>
            <w:r w:rsidRPr="00727654">
              <w:rPr>
                <w:rFonts w:eastAsia="Arial"/>
                <w:b/>
                <w:color w:val="FFFFFF"/>
              </w:rPr>
              <w:t>Percentage of the total contract value</w:t>
            </w:r>
          </w:p>
        </w:tc>
        <w:tc>
          <w:tcPr>
            <w:tcW w:w="2567" w:type="dxa"/>
            <w:tcBorders>
              <w:top w:val="single" w:sz="6" w:space="0" w:color="auto"/>
              <w:left w:val="nil"/>
              <w:bottom w:val="single" w:sz="6" w:space="0" w:color="auto"/>
              <w:right w:val="single" w:sz="6" w:space="0" w:color="auto"/>
            </w:tcBorders>
            <w:shd w:val="clear" w:color="auto" w:fill="7F7F7F" w:themeFill="text1" w:themeFillTint="80"/>
            <w:hideMark/>
          </w:tcPr>
          <w:p w14:paraId="731FDE0B" w14:textId="77777777" w:rsidR="00727654" w:rsidRPr="00727654" w:rsidRDefault="00727654" w:rsidP="00727654">
            <w:pPr>
              <w:spacing w:before="0" w:after="0"/>
              <w:ind w:right="-105"/>
              <w:jc w:val="center"/>
              <w:textAlignment w:val="baseline"/>
              <w:rPr>
                <w:rFonts w:eastAsia="Times New Roman"/>
                <w:bCs w:val="0"/>
                <w:color w:val="auto"/>
                <w:sz w:val="22"/>
                <w:szCs w:val="22"/>
              </w:rPr>
            </w:pPr>
            <w:r w:rsidRPr="00727654">
              <w:rPr>
                <w:rFonts w:eastAsia="Times New Roman"/>
                <w:b/>
                <w:color w:val="FFFFFF"/>
                <w:sz w:val="22"/>
                <w:szCs w:val="22"/>
              </w:rPr>
              <w:t>To be delivered by</w:t>
            </w:r>
          </w:p>
        </w:tc>
      </w:tr>
      <w:tr w:rsidR="00727654" w:rsidRPr="00727654" w14:paraId="1056EFA9" w14:textId="77777777" w:rsidTr="0083193C">
        <w:trPr>
          <w:trHeight w:val="683"/>
        </w:trPr>
        <w:tc>
          <w:tcPr>
            <w:tcW w:w="442" w:type="dxa"/>
            <w:tcBorders>
              <w:top w:val="single" w:sz="4" w:space="0" w:color="auto"/>
              <w:left w:val="single" w:sz="4" w:space="0" w:color="auto"/>
              <w:bottom w:val="single" w:sz="4" w:space="0" w:color="auto"/>
              <w:right w:val="single" w:sz="4" w:space="0" w:color="auto"/>
            </w:tcBorders>
            <w:shd w:val="clear" w:color="auto" w:fill="auto"/>
          </w:tcPr>
          <w:p w14:paraId="24BD42E7" w14:textId="77777777" w:rsidR="00727654" w:rsidRPr="00727654" w:rsidRDefault="00727654" w:rsidP="00727654">
            <w:pPr>
              <w:spacing w:before="0" w:after="0"/>
              <w:jc w:val="center"/>
              <w:textAlignment w:val="baseline"/>
              <w:rPr>
                <w:rFonts w:eastAsia="Times New Roman"/>
                <w:bCs w:val="0"/>
                <w:color w:val="auto"/>
                <w:sz w:val="22"/>
                <w:szCs w:val="22"/>
              </w:rPr>
            </w:pPr>
            <w:r w:rsidRPr="00727654">
              <w:rPr>
                <w:rFonts w:eastAsia="Times New Roman"/>
                <w:bCs w:val="0"/>
                <w:color w:val="auto"/>
                <w:sz w:val="22"/>
                <w:szCs w:val="22"/>
              </w:rPr>
              <w:t>1</w:t>
            </w:r>
          </w:p>
        </w:tc>
        <w:tc>
          <w:tcPr>
            <w:tcW w:w="3900" w:type="dxa"/>
            <w:tcBorders>
              <w:top w:val="single" w:sz="4" w:space="0" w:color="auto"/>
              <w:left w:val="single" w:sz="4" w:space="0" w:color="auto"/>
              <w:bottom w:val="single" w:sz="4" w:space="0" w:color="auto"/>
              <w:right w:val="single" w:sz="4" w:space="0" w:color="auto"/>
            </w:tcBorders>
            <w:shd w:val="clear" w:color="auto" w:fill="auto"/>
          </w:tcPr>
          <w:p w14:paraId="0BBC60E7" w14:textId="77777777" w:rsidR="00727654" w:rsidRPr="00727654" w:rsidRDefault="00727654" w:rsidP="00727654">
            <w:pPr>
              <w:contextualSpacing/>
              <w:rPr>
                <w:color w:val="000000"/>
                <w:sz w:val="22"/>
                <w:szCs w:val="22"/>
              </w:rPr>
            </w:pPr>
            <w:r w:rsidRPr="00727654">
              <w:rPr>
                <w:b/>
                <w:bCs w:val="0"/>
                <w:color w:val="000000"/>
                <w:sz w:val="22"/>
                <w:szCs w:val="22"/>
              </w:rPr>
              <w:t>Detailed work plan / action plan.</w:t>
            </w:r>
            <w:r w:rsidRPr="00727654">
              <w:rPr>
                <w:color w:val="000000"/>
                <w:sz w:val="22"/>
                <w:szCs w:val="22"/>
              </w:rPr>
              <w:t xml:space="preserve"> RIA/GIA detailed action plan prepared and submitted to WFD Georgia.</w:t>
            </w:r>
          </w:p>
          <w:p w14:paraId="54DE2E3F" w14:textId="77777777" w:rsidR="00727654" w:rsidRPr="00727654" w:rsidRDefault="00727654" w:rsidP="00727654">
            <w:pPr>
              <w:spacing w:before="0" w:after="0"/>
              <w:textAlignment w:val="baseline"/>
              <w:rPr>
                <w:rFonts w:eastAsia="Arial"/>
                <w:bCs w:val="0"/>
                <w:color w:val="000000"/>
                <w:sz w:val="22"/>
                <w:szCs w:val="22"/>
              </w:rPr>
            </w:pPr>
          </w:p>
        </w:tc>
        <w:tc>
          <w:tcPr>
            <w:tcW w:w="2573" w:type="dxa"/>
            <w:tcBorders>
              <w:top w:val="single" w:sz="4" w:space="0" w:color="auto"/>
              <w:left w:val="single" w:sz="4" w:space="0" w:color="auto"/>
              <w:bottom w:val="single" w:sz="4" w:space="0" w:color="auto"/>
              <w:right w:val="single" w:sz="4" w:space="0" w:color="auto"/>
            </w:tcBorders>
            <w:shd w:val="clear" w:color="auto" w:fill="auto"/>
          </w:tcPr>
          <w:p w14:paraId="6AA106CB" w14:textId="77777777" w:rsidR="00727654" w:rsidRPr="00727654" w:rsidRDefault="00727654" w:rsidP="00727654">
            <w:pPr>
              <w:spacing w:before="0" w:after="160"/>
              <w:jc w:val="center"/>
              <w:rPr>
                <w:rFonts w:eastAsia="Times New Roman"/>
                <w:bCs w:val="0"/>
                <w:color w:val="auto"/>
                <w:sz w:val="22"/>
                <w:szCs w:val="22"/>
              </w:rPr>
            </w:pPr>
          </w:p>
          <w:p w14:paraId="3E8E86C4" w14:textId="77777777" w:rsidR="00727654" w:rsidRPr="00727654" w:rsidRDefault="00727654" w:rsidP="00727654">
            <w:pPr>
              <w:spacing w:before="0" w:after="160"/>
              <w:jc w:val="center"/>
              <w:rPr>
                <w:rFonts w:eastAsia="Times New Roman"/>
                <w:bCs w:val="0"/>
                <w:color w:val="auto"/>
                <w:sz w:val="22"/>
                <w:szCs w:val="22"/>
              </w:rPr>
            </w:pPr>
            <w:r w:rsidRPr="00727654">
              <w:rPr>
                <w:rFonts w:eastAsia="Times New Roman"/>
                <w:bCs w:val="0"/>
                <w:color w:val="auto"/>
                <w:sz w:val="22"/>
                <w:szCs w:val="22"/>
              </w:rPr>
              <w:t>20%</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6CEBD3FD" w14:textId="77777777" w:rsidR="00F7655C" w:rsidRDefault="00F7655C" w:rsidP="00727654">
            <w:pPr>
              <w:spacing w:before="0" w:after="0"/>
              <w:jc w:val="center"/>
              <w:textAlignment w:val="baseline"/>
              <w:rPr>
                <w:rFonts w:eastAsia="Arial"/>
                <w:color w:val="auto"/>
                <w:sz w:val="22"/>
                <w:szCs w:val="22"/>
                <w:lang w:val="en-US"/>
              </w:rPr>
            </w:pPr>
          </w:p>
          <w:p w14:paraId="7CD4F20E" w14:textId="27010364" w:rsidR="00727654" w:rsidRPr="00727654" w:rsidRDefault="00727654" w:rsidP="00727654">
            <w:pPr>
              <w:spacing w:before="0" w:after="0"/>
              <w:jc w:val="center"/>
              <w:textAlignment w:val="baseline"/>
              <w:rPr>
                <w:rFonts w:eastAsia="Times New Roman"/>
                <w:bCs w:val="0"/>
                <w:color w:val="auto"/>
                <w:sz w:val="22"/>
                <w:szCs w:val="22"/>
              </w:rPr>
            </w:pPr>
            <w:r w:rsidRPr="00727654">
              <w:rPr>
                <w:rFonts w:eastAsia="Arial"/>
                <w:color w:val="auto"/>
                <w:sz w:val="22"/>
                <w:szCs w:val="22"/>
                <w:lang w:val="en-US"/>
              </w:rPr>
              <w:t>December</w:t>
            </w:r>
            <w:r w:rsidRPr="00727654">
              <w:rPr>
                <w:rFonts w:eastAsia="Times New Roman"/>
                <w:bCs w:val="0"/>
                <w:color w:val="auto"/>
                <w:sz w:val="22"/>
                <w:szCs w:val="22"/>
              </w:rPr>
              <w:t xml:space="preserve"> 31</w:t>
            </w:r>
            <w:r w:rsidRPr="00727654">
              <w:rPr>
                <w:rFonts w:eastAsia="Times New Roman"/>
                <w:bCs w:val="0"/>
                <w:color w:val="auto"/>
                <w:sz w:val="22"/>
                <w:szCs w:val="22"/>
                <w:vertAlign w:val="superscript"/>
              </w:rPr>
              <w:t>st</w:t>
            </w:r>
            <w:r w:rsidRPr="00727654">
              <w:rPr>
                <w:rFonts w:eastAsia="Times New Roman"/>
                <w:bCs w:val="0"/>
                <w:color w:val="auto"/>
                <w:sz w:val="22"/>
                <w:szCs w:val="22"/>
              </w:rPr>
              <w:t xml:space="preserve">, </w:t>
            </w:r>
            <w:proofErr w:type="gramStart"/>
            <w:r w:rsidRPr="00727654">
              <w:rPr>
                <w:rFonts w:eastAsia="Times New Roman"/>
                <w:bCs w:val="0"/>
                <w:color w:val="auto"/>
                <w:sz w:val="22"/>
                <w:szCs w:val="22"/>
              </w:rPr>
              <w:t>2023</w:t>
            </w:r>
            <w:proofErr w:type="gramEnd"/>
            <w:r w:rsidRPr="00727654">
              <w:rPr>
                <w:rFonts w:eastAsia="Times New Roman"/>
                <w:bCs w:val="0"/>
                <w:color w:val="auto"/>
                <w:sz w:val="22"/>
                <w:szCs w:val="22"/>
              </w:rPr>
              <w:t xml:space="preserve">  </w:t>
            </w:r>
          </w:p>
        </w:tc>
      </w:tr>
      <w:tr w:rsidR="00727654" w:rsidRPr="00727654" w14:paraId="366D5EFB" w14:textId="77777777" w:rsidTr="0083193C">
        <w:trPr>
          <w:trHeight w:val="1435"/>
        </w:trPr>
        <w:tc>
          <w:tcPr>
            <w:tcW w:w="442" w:type="dxa"/>
            <w:tcBorders>
              <w:top w:val="single" w:sz="4" w:space="0" w:color="auto"/>
              <w:left w:val="single" w:sz="4" w:space="0" w:color="auto"/>
              <w:right w:val="single" w:sz="4" w:space="0" w:color="auto"/>
            </w:tcBorders>
            <w:shd w:val="clear" w:color="auto" w:fill="auto"/>
          </w:tcPr>
          <w:p w14:paraId="7234E183" w14:textId="77777777" w:rsidR="00727654" w:rsidRPr="00727654" w:rsidRDefault="00727654" w:rsidP="00727654">
            <w:pPr>
              <w:spacing w:before="0" w:after="0"/>
              <w:jc w:val="center"/>
              <w:textAlignment w:val="baseline"/>
              <w:rPr>
                <w:rFonts w:eastAsia="Times New Roman"/>
                <w:bCs w:val="0"/>
                <w:color w:val="auto"/>
                <w:sz w:val="22"/>
                <w:szCs w:val="22"/>
              </w:rPr>
            </w:pPr>
            <w:r w:rsidRPr="00727654">
              <w:rPr>
                <w:rFonts w:eastAsia="Times New Roman"/>
                <w:bCs w:val="0"/>
                <w:color w:val="auto"/>
                <w:sz w:val="22"/>
                <w:szCs w:val="22"/>
              </w:rPr>
              <w:t>2</w:t>
            </w:r>
          </w:p>
        </w:tc>
        <w:tc>
          <w:tcPr>
            <w:tcW w:w="3900" w:type="dxa"/>
            <w:tcBorders>
              <w:top w:val="single" w:sz="4" w:space="0" w:color="auto"/>
              <w:left w:val="single" w:sz="4" w:space="0" w:color="auto"/>
              <w:right w:val="single" w:sz="4" w:space="0" w:color="auto"/>
            </w:tcBorders>
            <w:shd w:val="clear" w:color="auto" w:fill="auto"/>
          </w:tcPr>
          <w:p w14:paraId="71BC447D" w14:textId="77777777" w:rsidR="00727654" w:rsidRPr="00727654" w:rsidRDefault="00727654" w:rsidP="00727654">
            <w:pPr>
              <w:contextualSpacing/>
              <w:rPr>
                <w:color w:val="000000"/>
                <w:sz w:val="22"/>
                <w:szCs w:val="22"/>
              </w:rPr>
            </w:pPr>
            <w:r w:rsidRPr="00727654">
              <w:rPr>
                <w:b/>
                <w:bCs w:val="0"/>
                <w:color w:val="000000"/>
                <w:sz w:val="22"/>
                <w:szCs w:val="22"/>
              </w:rPr>
              <w:t>Draft Assessment Report.</w:t>
            </w:r>
            <w:r w:rsidRPr="00727654">
              <w:rPr>
                <w:color w:val="000000"/>
                <w:sz w:val="22"/>
                <w:szCs w:val="22"/>
              </w:rPr>
              <w:t xml:space="preserve"> Mid-Term Report prepared (defining problem, objectives of intervention, alternative </w:t>
            </w:r>
            <w:proofErr w:type="gramStart"/>
            <w:r w:rsidRPr="00727654">
              <w:rPr>
                <w:color w:val="000000"/>
                <w:sz w:val="22"/>
                <w:szCs w:val="22"/>
              </w:rPr>
              <w:t>options</w:t>
            </w:r>
            <w:proofErr w:type="gramEnd"/>
            <w:r w:rsidRPr="00727654">
              <w:rPr>
                <w:color w:val="000000"/>
                <w:sz w:val="22"/>
                <w:szCs w:val="22"/>
              </w:rPr>
              <w:t xml:space="preserve"> and preliminary measuring of impact) and submitted to WFD Georgia. </w:t>
            </w:r>
          </w:p>
        </w:tc>
        <w:tc>
          <w:tcPr>
            <w:tcW w:w="2573" w:type="dxa"/>
            <w:tcBorders>
              <w:top w:val="single" w:sz="4" w:space="0" w:color="auto"/>
            </w:tcBorders>
            <w:shd w:val="clear" w:color="auto" w:fill="auto"/>
          </w:tcPr>
          <w:p w14:paraId="5E9C70CF" w14:textId="77777777" w:rsidR="00727654" w:rsidRPr="00727654" w:rsidRDefault="00727654" w:rsidP="00727654">
            <w:pPr>
              <w:spacing w:before="0" w:after="160"/>
              <w:rPr>
                <w:rFonts w:eastAsia="Times New Roman"/>
                <w:bCs w:val="0"/>
                <w:color w:val="auto"/>
                <w:sz w:val="22"/>
                <w:szCs w:val="22"/>
              </w:rPr>
            </w:pPr>
          </w:p>
          <w:p w14:paraId="32A0A9B7" w14:textId="77777777" w:rsidR="00727654" w:rsidRPr="00727654" w:rsidRDefault="00727654" w:rsidP="00727654">
            <w:pPr>
              <w:spacing w:before="0" w:after="160"/>
              <w:rPr>
                <w:rFonts w:eastAsia="Times New Roman"/>
                <w:bCs w:val="0"/>
                <w:color w:val="auto"/>
                <w:sz w:val="22"/>
                <w:szCs w:val="22"/>
              </w:rPr>
            </w:pPr>
          </w:p>
          <w:p w14:paraId="589B9643" w14:textId="77777777" w:rsidR="00727654" w:rsidRPr="00727654" w:rsidRDefault="00727654" w:rsidP="00727654">
            <w:pPr>
              <w:spacing w:before="0" w:after="160"/>
              <w:jc w:val="center"/>
              <w:rPr>
                <w:rFonts w:eastAsia="Times New Roman"/>
                <w:bCs w:val="0"/>
                <w:color w:val="auto"/>
                <w:sz w:val="22"/>
                <w:szCs w:val="22"/>
              </w:rPr>
            </w:pPr>
            <w:r w:rsidRPr="00727654">
              <w:rPr>
                <w:rFonts w:eastAsia="Times New Roman"/>
                <w:bCs w:val="0"/>
                <w:color w:val="auto"/>
                <w:sz w:val="22"/>
                <w:szCs w:val="22"/>
              </w:rPr>
              <w:t>40%</w:t>
            </w:r>
          </w:p>
        </w:tc>
        <w:tc>
          <w:tcPr>
            <w:tcW w:w="2567" w:type="dxa"/>
            <w:tcBorders>
              <w:top w:val="single" w:sz="4" w:space="0" w:color="auto"/>
              <w:left w:val="single" w:sz="4" w:space="0" w:color="auto"/>
              <w:right w:val="single" w:sz="4" w:space="0" w:color="auto"/>
            </w:tcBorders>
            <w:shd w:val="clear" w:color="auto" w:fill="auto"/>
          </w:tcPr>
          <w:p w14:paraId="0A7AE07A" w14:textId="77777777" w:rsidR="00F7655C" w:rsidRDefault="00F7655C" w:rsidP="00727654">
            <w:pPr>
              <w:spacing w:before="0" w:after="0"/>
              <w:jc w:val="center"/>
              <w:textAlignment w:val="baseline"/>
              <w:rPr>
                <w:rFonts w:eastAsia="Arial"/>
                <w:color w:val="auto"/>
                <w:sz w:val="22"/>
                <w:szCs w:val="22"/>
                <w:lang w:val="en-US"/>
              </w:rPr>
            </w:pPr>
          </w:p>
          <w:p w14:paraId="44E6BA4C" w14:textId="77777777" w:rsidR="00F7655C" w:rsidRDefault="00F7655C" w:rsidP="00727654">
            <w:pPr>
              <w:spacing w:before="0" w:after="0"/>
              <w:jc w:val="center"/>
              <w:textAlignment w:val="baseline"/>
              <w:rPr>
                <w:rFonts w:eastAsia="Arial"/>
                <w:color w:val="auto"/>
                <w:sz w:val="22"/>
                <w:szCs w:val="22"/>
                <w:lang w:val="en-US"/>
              </w:rPr>
            </w:pPr>
          </w:p>
          <w:p w14:paraId="08450BC5" w14:textId="77777777" w:rsidR="00F7655C" w:rsidRDefault="00F7655C" w:rsidP="00727654">
            <w:pPr>
              <w:spacing w:before="0" w:after="0"/>
              <w:jc w:val="center"/>
              <w:textAlignment w:val="baseline"/>
              <w:rPr>
                <w:rFonts w:eastAsia="Arial"/>
                <w:color w:val="auto"/>
                <w:sz w:val="22"/>
                <w:szCs w:val="22"/>
                <w:lang w:val="en-US"/>
              </w:rPr>
            </w:pPr>
          </w:p>
          <w:p w14:paraId="63E07ECD" w14:textId="699806AD" w:rsidR="00727654" w:rsidRPr="00727654" w:rsidRDefault="00727654" w:rsidP="00727654">
            <w:pPr>
              <w:spacing w:before="0" w:after="0"/>
              <w:jc w:val="center"/>
              <w:textAlignment w:val="baseline"/>
              <w:rPr>
                <w:rFonts w:eastAsia="Times New Roman"/>
                <w:bCs w:val="0"/>
                <w:color w:val="auto"/>
                <w:sz w:val="22"/>
                <w:szCs w:val="22"/>
              </w:rPr>
            </w:pPr>
            <w:r w:rsidRPr="00727654">
              <w:rPr>
                <w:rFonts w:eastAsia="Arial"/>
                <w:color w:val="auto"/>
                <w:sz w:val="22"/>
                <w:szCs w:val="22"/>
                <w:lang w:val="en-US"/>
              </w:rPr>
              <w:t>February 29</w:t>
            </w:r>
            <w:r w:rsidRPr="00727654">
              <w:rPr>
                <w:rFonts w:eastAsia="Arial"/>
                <w:color w:val="auto"/>
                <w:sz w:val="22"/>
                <w:szCs w:val="22"/>
                <w:vertAlign w:val="superscript"/>
                <w:lang w:val="en-US"/>
              </w:rPr>
              <w:t>th</w:t>
            </w:r>
            <w:r w:rsidRPr="00727654">
              <w:rPr>
                <w:rFonts w:eastAsia="Arial"/>
                <w:bCs w:val="0"/>
                <w:color w:val="auto"/>
                <w:sz w:val="22"/>
                <w:szCs w:val="22"/>
                <w:lang w:val="en-US"/>
              </w:rPr>
              <w:t>, 202</w:t>
            </w:r>
            <w:r w:rsidRPr="00727654">
              <w:rPr>
                <w:rFonts w:eastAsia="Arial"/>
                <w:color w:val="auto"/>
                <w:sz w:val="22"/>
                <w:szCs w:val="22"/>
                <w:lang w:val="en-US"/>
              </w:rPr>
              <w:t>4</w:t>
            </w:r>
          </w:p>
        </w:tc>
      </w:tr>
      <w:tr w:rsidR="00727654" w:rsidRPr="00727654" w14:paraId="230EB26C" w14:textId="77777777" w:rsidTr="0083193C">
        <w:trPr>
          <w:trHeight w:val="683"/>
        </w:trPr>
        <w:tc>
          <w:tcPr>
            <w:tcW w:w="442" w:type="dxa"/>
            <w:tcBorders>
              <w:top w:val="single" w:sz="4" w:space="0" w:color="auto"/>
              <w:left w:val="single" w:sz="4" w:space="0" w:color="auto"/>
              <w:bottom w:val="single" w:sz="4" w:space="0" w:color="auto"/>
              <w:right w:val="single" w:sz="4" w:space="0" w:color="auto"/>
            </w:tcBorders>
            <w:shd w:val="clear" w:color="auto" w:fill="auto"/>
          </w:tcPr>
          <w:p w14:paraId="1CE19B3A" w14:textId="77777777" w:rsidR="00727654" w:rsidRPr="00727654" w:rsidRDefault="00727654" w:rsidP="00727654">
            <w:pPr>
              <w:spacing w:before="0" w:after="0"/>
              <w:jc w:val="center"/>
              <w:textAlignment w:val="baseline"/>
              <w:rPr>
                <w:rFonts w:eastAsia="Times New Roman"/>
                <w:bCs w:val="0"/>
                <w:color w:val="auto"/>
                <w:sz w:val="22"/>
                <w:szCs w:val="22"/>
              </w:rPr>
            </w:pPr>
            <w:r w:rsidRPr="00727654">
              <w:rPr>
                <w:rFonts w:eastAsia="Times New Roman"/>
                <w:bCs w:val="0"/>
                <w:color w:val="auto"/>
                <w:sz w:val="22"/>
                <w:szCs w:val="22"/>
              </w:rPr>
              <w:t>3</w:t>
            </w:r>
          </w:p>
        </w:tc>
        <w:tc>
          <w:tcPr>
            <w:tcW w:w="3900" w:type="dxa"/>
            <w:tcBorders>
              <w:top w:val="single" w:sz="4" w:space="0" w:color="auto"/>
              <w:left w:val="single" w:sz="4" w:space="0" w:color="auto"/>
              <w:bottom w:val="single" w:sz="4" w:space="0" w:color="auto"/>
              <w:right w:val="single" w:sz="4" w:space="0" w:color="auto"/>
            </w:tcBorders>
            <w:shd w:val="clear" w:color="auto" w:fill="auto"/>
          </w:tcPr>
          <w:p w14:paraId="160CC3F5" w14:textId="77777777" w:rsidR="00727654" w:rsidRPr="00727654" w:rsidRDefault="00727654" w:rsidP="00727654">
            <w:pPr>
              <w:contextualSpacing/>
              <w:rPr>
                <w:color w:val="000000"/>
                <w:sz w:val="22"/>
                <w:szCs w:val="22"/>
              </w:rPr>
            </w:pPr>
            <w:r w:rsidRPr="00727654">
              <w:rPr>
                <w:b/>
                <w:bCs w:val="0"/>
                <w:color w:val="000000"/>
                <w:sz w:val="22"/>
                <w:szCs w:val="22"/>
              </w:rPr>
              <w:t>Final assessment Report.</w:t>
            </w:r>
            <w:r w:rsidRPr="00727654">
              <w:rPr>
                <w:color w:val="000000"/>
                <w:sz w:val="22"/>
                <w:szCs w:val="22"/>
              </w:rPr>
              <w:t xml:space="preserve"> Final RIA/GIA Report prepared and submitted to WFD Georgia.</w:t>
            </w:r>
          </w:p>
          <w:p w14:paraId="02C65737" w14:textId="77777777" w:rsidR="00727654" w:rsidRPr="00727654" w:rsidRDefault="00727654" w:rsidP="00727654">
            <w:pPr>
              <w:spacing w:before="0" w:after="0"/>
              <w:textAlignment w:val="baseline"/>
              <w:rPr>
                <w:rFonts w:eastAsia="Arial"/>
                <w:bCs w:val="0"/>
                <w:color w:val="000000"/>
                <w:sz w:val="22"/>
                <w:szCs w:val="22"/>
              </w:rPr>
            </w:pPr>
          </w:p>
        </w:tc>
        <w:tc>
          <w:tcPr>
            <w:tcW w:w="2573" w:type="dxa"/>
            <w:tcBorders>
              <w:top w:val="single" w:sz="4" w:space="0" w:color="auto"/>
            </w:tcBorders>
            <w:shd w:val="clear" w:color="auto" w:fill="auto"/>
          </w:tcPr>
          <w:p w14:paraId="0E0C77DB" w14:textId="77777777" w:rsidR="00727654" w:rsidRPr="00727654" w:rsidRDefault="00727654" w:rsidP="00727654">
            <w:pPr>
              <w:spacing w:before="0" w:after="160"/>
              <w:rPr>
                <w:rFonts w:eastAsia="Times New Roman"/>
                <w:bCs w:val="0"/>
                <w:color w:val="auto"/>
                <w:sz w:val="22"/>
                <w:szCs w:val="22"/>
              </w:rPr>
            </w:pPr>
          </w:p>
          <w:p w14:paraId="0F5EB9BF" w14:textId="77777777" w:rsidR="00727654" w:rsidRPr="00727654" w:rsidRDefault="00727654" w:rsidP="00727654">
            <w:pPr>
              <w:spacing w:before="0" w:after="160"/>
              <w:jc w:val="center"/>
              <w:rPr>
                <w:rFonts w:eastAsia="Times New Roman"/>
                <w:bCs w:val="0"/>
                <w:color w:val="auto"/>
                <w:sz w:val="22"/>
                <w:szCs w:val="22"/>
              </w:rPr>
            </w:pPr>
            <w:r w:rsidRPr="00727654">
              <w:rPr>
                <w:rFonts w:eastAsia="Times New Roman"/>
                <w:bCs w:val="0"/>
                <w:color w:val="auto"/>
                <w:sz w:val="22"/>
                <w:szCs w:val="22"/>
              </w:rPr>
              <w:t>40%</w:t>
            </w:r>
          </w:p>
        </w:tc>
        <w:tc>
          <w:tcPr>
            <w:tcW w:w="2567" w:type="dxa"/>
            <w:tcBorders>
              <w:top w:val="single" w:sz="4" w:space="0" w:color="auto"/>
              <w:left w:val="single" w:sz="4" w:space="0" w:color="auto"/>
              <w:bottom w:val="single" w:sz="4" w:space="0" w:color="auto"/>
              <w:right w:val="single" w:sz="4" w:space="0" w:color="auto"/>
            </w:tcBorders>
            <w:shd w:val="clear" w:color="auto" w:fill="auto"/>
          </w:tcPr>
          <w:p w14:paraId="0514510B" w14:textId="77777777" w:rsidR="00F7655C" w:rsidRDefault="00F7655C" w:rsidP="00727654">
            <w:pPr>
              <w:spacing w:before="0" w:after="0"/>
              <w:jc w:val="center"/>
              <w:textAlignment w:val="baseline"/>
              <w:rPr>
                <w:rFonts w:eastAsia="Arial"/>
                <w:color w:val="auto"/>
                <w:sz w:val="22"/>
                <w:szCs w:val="22"/>
                <w:lang w:val="en-US"/>
              </w:rPr>
            </w:pPr>
          </w:p>
          <w:p w14:paraId="40088CCF" w14:textId="00D1A0D9" w:rsidR="00727654" w:rsidRPr="00727654" w:rsidRDefault="00727654" w:rsidP="00727654">
            <w:pPr>
              <w:spacing w:before="0" w:after="0"/>
              <w:jc w:val="center"/>
              <w:textAlignment w:val="baseline"/>
              <w:rPr>
                <w:rFonts w:eastAsia="Times New Roman"/>
                <w:bCs w:val="0"/>
                <w:color w:val="auto"/>
                <w:sz w:val="22"/>
                <w:szCs w:val="22"/>
              </w:rPr>
            </w:pPr>
            <w:r w:rsidRPr="00727654">
              <w:rPr>
                <w:rFonts w:eastAsia="Arial"/>
                <w:color w:val="auto"/>
                <w:sz w:val="22"/>
                <w:szCs w:val="22"/>
                <w:lang w:val="en-US"/>
              </w:rPr>
              <w:t>March 31</w:t>
            </w:r>
            <w:r w:rsidRPr="00727654">
              <w:rPr>
                <w:rFonts w:eastAsia="Arial"/>
                <w:color w:val="auto"/>
                <w:sz w:val="22"/>
                <w:szCs w:val="22"/>
                <w:vertAlign w:val="superscript"/>
                <w:lang w:val="en-US"/>
              </w:rPr>
              <w:t>st</w:t>
            </w:r>
            <w:r w:rsidRPr="00727654">
              <w:rPr>
                <w:rFonts w:eastAsia="Arial"/>
                <w:bCs w:val="0"/>
                <w:color w:val="auto"/>
                <w:sz w:val="22"/>
                <w:szCs w:val="22"/>
                <w:lang w:val="en-US"/>
              </w:rPr>
              <w:t>, 202</w:t>
            </w:r>
            <w:r w:rsidRPr="00727654">
              <w:rPr>
                <w:rFonts w:eastAsia="Arial"/>
                <w:color w:val="auto"/>
                <w:sz w:val="22"/>
                <w:szCs w:val="22"/>
                <w:lang w:val="en-US"/>
              </w:rPr>
              <w:t>4</w:t>
            </w:r>
          </w:p>
        </w:tc>
      </w:tr>
    </w:tbl>
    <w:p w14:paraId="6C53864F" w14:textId="084E770C" w:rsidR="10464009" w:rsidRPr="00727654" w:rsidRDefault="10464009" w:rsidP="10464009">
      <w:pPr>
        <w:spacing w:before="0" w:after="0"/>
        <w:rPr>
          <w:rFonts w:ascii="Segoe UI" w:eastAsia="Times New Roman" w:hAnsi="Segoe UI" w:cs="Segoe UI"/>
          <w:color w:val="auto"/>
          <w:sz w:val="18"/>
          <w:szCs w:val="18"/>
          <w:lang w:eastAsia="zh-TW"/>
        </w:rPr>
      </w:pPr>
    </w:p>
    <w:p w14:paraId="5E1ADCC8" w14:textId="4E034A10" w:rsidR="00EA5489" w:rsidRPr="00944B8E" w:rsidRDefault="00EA5489" w:rsidP="00EA5489">
      <w:pPr>
        <w:pStyle w:val="Heading2"/>
      </w:pPr>
      <w:r>
        <w:t>Reporting</w:t>
      </w:r>
    </w:p>
    <w:p w14:paraId="5F590F06" w14:textId="3C940C5B" w:rsidR="007133B7" w:rsidRPr="000D192F" w:rsidRDefault="00876CFE" w:rsidP="00474FEE">
      <w:pPr>
        <w:pStyle w:val="ListParagraph"/>
        <w:numPr>
          <w:ilvl w:val="0"/>
          <w:numId w:val="7"/>
        </w:numPr>
        <w:spacing w:after="20" w:line="276" w:lineRule="auto"/>
        <w:jc w:val="both"/>
        <w:rPr>
          <w:sz w:val="22"/>
          <w:szCs w:val="22"/>
        </w:rPr>
      </w:pPr>
      <w:r>
        <w:rPr>
          <w:sz w:val="22"/>
          <w:szCs w:val="22"/>
        </w:rPr>
        <w:t>No additional reporting is needed other than submission of deliverables as indicated in timelines</w:t>
      </w:r>
      <w:r w:rsidR="006E051C">
        <w:rPr>
          <w:sz w:val="22"/>
          <w:szCs w:val="22"/>
        </w:rPr>
        <w:t xml:space="preserve"> section above. </w:t>
      </w:r>
    </w:p>
    <w:p w14:paraId="471613D3" w14:textId="6E32476D" w:rsidR="00BE0417" w:rsidRPr="00944B8E" w:rsidRDefault="00BE0417" w:rsidP="00BE0417">
      <w:pPr>
        <w:pStyle w:val="Heading2"/>
      </w:pPr>
      <w:r>
        <w:t>Payments</w:t>
      </w:r>
    </w:p>
    <w:p w14:paraId="3075A214" w14:textId="4F39F5AF" w:rsidR="006E051C" w:rsidRDefault="002837D2" w:rsidP="00C040B3">
      <w:pPr>
        <w:pStyle w:val="Heading2"/>
        <w:rPr>
          <w:b w:val="0"/>
          <w:bCs/>
          <w:sz w:val="22"/>
          <w:szCs w:val="22"/>
        </w:rPr>
      </w:pPr>
      <w:r w:rsidRPr="002837D2">
        <w:rPr>
          <w:b w:val="0"/>
          <w:bCs/>
          <w:sz w:val="22"/>
          <w:szCs w:val="22"/>
        </w:rPr>
        <w:t>The total amount of the proposal should not exceed £</w:t>
      </w:r>
      <w:r w:rsidR="0076146C">
        <w:rPr>
          <w:b w:val="0"/>
          <w:bCs/>
          <w:sz w:val="22"/>
          <w:szCs w:val="22"/>
        </w:rPr>
        <w:t>4</w:t>
      </w:r>
      <w:r w:rsidR="00D03A4C">
        <w:rPr>
          <w:b w:val="0"/>
          <w:bCs/>
          <w:sz w:val="22"/>
          <w:szCs w:val="22"/>
        </w:rPr>
        <w:t>0</w:t>
      </w:r>
      <w:r w:rsidRPr="002837D2">
        <w:rPr>
          <w:b w:val="0"/>
          <w:bCs/>
          <w:sz w:val="22"/>
          <w:szCs w:val="22"/>
        </w:rPr>
        <w:t xml:space="preserve">,000 (including taxes). </w:t>
      </w:r>
      <w:r w:rsidR="00D4328F">
        <w:rPr>
          <w:b w:val="0"/>
          <w:bCs/>
          <w:sz w:val="22"/>
          <w:szCs w:val="22"/>
        </w:rPr>
        <w:t>These will be aligned to the</w:t>
      </w:r>
      <w:r w:rsidR="002922F9">
        <w:rPr>
          <w:b w:val="0"/>
          <w:bCs/>
          <w:sz w:val="22"/>
          <w:szCs w:val="22"/>
        </w:rPr>
        <w:t xml:space="preserve"> </w:t>
      </w:r>
      <w:r w:rsidR="00BC3729">
        <w:rPr>
          <w:b w:val="0"/>
          <w:bCs/>
          <w:sz w:val="22"/>
          <w:szCs w:val="22"/>
        </w:rPr>
        <w:t>three deliverables above</w:t>
      </w:r>
      <w:r w:rsidR="002922F9">
        <w:rPr>
          <w:b w:val="0"/>
          <w:bCs/>
          <w:sz w:val="22"/>
          <w:szCs w:val="22"/>
        </w:rPr>
        <w:t xml:space="preserve">. </w:t>
      </w:r>
      <w:r w:rsidRPr="002837D2">
        <w:rPr>
          <w:b w:val="0"/>
          <w:bCs/>
          <w:sz w:val="22"/>
          <w:szCs w:val="22"/>
        </w:rPr>
        <w:t xml:space="preserve">Please note that financial proposal will be </w:t>
      </w:r>
      <w:proofErr w:type="gramStart"/>
      <w:r w:rsidRPr="002837D2">
        <w:rPr>
          <w:b w:val="0"/>
          <w:bCs/>
          <w:sz w:val="22"/>
          <w:szCs w:val="22"/>
        </w:rPr>
        <w:t>taking into account</w:t>
      </w:r>
      <w:proofErr w:type="gramEnd"/>
      <w:r w:rsidRPr="002837D2">
        <w:rPr>
          <w:b w:val="0"/>
          <w:bCs/>
          <w:sz w:val="22"/>
          <w:szCs w:val="22"/>
        </w:rPr>
        <w:t xml:space="preserve"> together with the technical proposal on deciding the best bidder. </w:t>
      </w:r>
    </w:p>
    <w:p w14:paraId="426A21EC" w14:textId="16AAC5DE" w:rsidR="00C040B3" w:rsidRDefault="006B3EBE" w:rsidP="00C040B3">
      <w:pPr>
        <w:pStyle w:val="Heading2"/>
      </w:pPr>
      <w:r>
        <w:t>Minimum experience and expertise</w:t>
      </w:r>
    </w:p>
    <w:p w14:paraId="7114FF4B" w14:textId="7987D4B1" w:rsidR="00C040B3" w:rsidRPr="00C040B3" w:rsidRDefault="00C040B3" w:rsidP="00C040B3">
      <w:pPr>
        <w:spacing w:before="0" w:after="0"/>
        <w:textAlignment w:val="baseline"/>
        <w:rPr>
          <w:rFonts w:eastAsia="Times New Roman"/>
          <w:bCs w:val="0"/>
          <w:color w:val="auto"/>
          <w:sz w:val="22"/>
          <w:szCs w:val="22"/>
          <w:lang w:val="en-US" w:eastAsia="zh-TW"/>
        </w:rPr>
      </w:pPr>
      <w:r w:rsidRPr="00C040B3">
        <w:rPr>
          <w:rFonts w:eastAsia="Times New Roman"/>
          <w:bCs w:val="0"/>
          <w:color w:val="auto"/>
          <w:sz w:val="22"/>
          <w:szCs w:val="22"/>
          <w:lang w:val="en-US" w:eastAsia="zh-TW"/>
        </w:rPr>
        <w:t xml:space="preserve">The service provider </w:t>
      </w:r>
      <w:r w:rsidR="00544584">
        <w:rPr>
          <w:rFonts w:eastAsia="Times New Roman"/>
          <w:bCs w:val="0"/>
          <w:color w:val="auto"/>
          <w:sz w:val="22"/>
          <w:szCs w:val="22"/>
          <w:lang w:val="en-US" w:eastAsia="zh-TW"/>
        </w:rPr>
        <w:t xml:space="preserve">is required to </w:t>
      </w:r>
      <w:r w:rsidR="00A00FE7">
        <w:rPr>
          <w:rFonts w:eastAsia="Times New Roman"/>
          <w:bCs w:val="0"/>
          <w:color w:val="auto"/>
          <w:sz w:val="22"/>
          <w:szCs w:val="22"/>
          <w:lang w:val="en-US" w:eastAsia="zh-TW"/>
        </w:rPr>
        <w:t>demonstrate:</w:t>
      </w:r>
    </w:p>
    <w:p w14:paraId="2245E0D1" w14:textId="52331796" w:rsidR="006F522E" w:rsidRPr="006F522E" w:rsidRDefault="0076146C" w:rsidP="00474FEE">
      <w:pPr>
        <w:pStyle w:val="ListParagraph"/>
        <w:numPr>
          <w:ilvl w:val="0"/>
          <w:numId w:val="9"/>
        </w:numPr>
        <w:spacing w:after="20" w:line="276" w:lineRule="auto"/>
        <w:rPr>
          <w:sz w:val="22"/>
          <w:szCs w:val="22"/>
        </w:rPr>
      </w:pPr>
      <w:bookmarkStart w:id="3" w:name="_Hlk149749201"/>
      <w:r w:rsidRPr="00226B93">
        <w:rPr>
          <w:sz w:val="22"/>
          <w:szCs w:val="22"/>
        </w:rPr>
        <w:t>Proven experience</w:t>
      </w:r>
      <w:r>
        <w:rPr>
          <w:sz w:val="22"/>
          <w:szCs w:val="22"/>
        </w:rPr>
        <w:t xml:space="preserve"> in conducting at least 2 regulatory impact assessment</w:t>
      </w:r>
      <w:r w:rsidR="00226B93">
        <w:rPr>
          <w:sz w:val="22"/>
          <w:szCs w:val="22"/>
        </w:rPr>
        <w:t>s</w:t>
      </w:r>
      <w:r>
        <w:rPr>
          <w:sz w:val="22"/>
          <w:szCs w:val="22"/>
        </w:rPr>
        <w:t xml:space="preserve"> over the last 5 years</w:t>
      </w:r>
      <w:r w:rsidR="00226B93">
        <w:rPr>
          <w:sz w:val="22"/>
          <w:szCs w:val="22"/>
        </w:rPr>
        <w:t xml:space="preserve"> </w:t>
      </w:r>
      <w:r w:rsidR="00226B93" w:rsidRPr="00226B93">
        <w:rPr>
          <w:b/>
          <w:bCs w:val="0"/>
          <w:sz w:val="22"/>
          <w:szCs w:val="22"/>
        </w:rPr>
        <w:t>is required</w:t>
      </w:r>
      <w:r>
        <w:rPr>
          <w:sz w:val="22"/>
          <w:szCs w:val="22"/>
        </w:rPr>
        <w:t>.</w:t>
      </w:r>
      <w:r w:rsidR="00226B93">
        <w:rPr>
          <w:sz w:val="22"/>
          <w:szCs w:val="22"/>
        </w:rPr>
        <w:t xml:space="preserve"> Track record of conducting more than 2 impact assessments over the last 5 years </w:t>
      </w:r>
      <w:r w:rsidR="00226B93" w:rsidRPr="00226B93">
        <w:rPr>
          <w:b/>
          <w:bCs w:val="0"/>
          <w:sz w:val="22"/>
          <w:szCs w:val="22"/>
        </w:rPr>
        <w:t>will be considered an advantage.</w:t>
      </w:r>
    </w:p>
    <w:p w14:paraId="6DCE7E20" w14:textId="7E191CEB" w:rsidR="006F522E" w:rsidRPr="006F522E" w:rsidRDefault="006F522E" w:rsidP="00474FEE">
      <w:pPr>
        <w:pStyle w:val="ListParagraph"/>
        <w:numPr>
          <w:ilvl w:val="0"/>
          <w:numId w:val="9"/>
        </w:numPr>
        <w:spacing w:after="20" w:line="276" w:lineRule="auto"/>
        <w:rPr>
          <w:sz w:val="22"/>
          <w:szCs w:val="22"/>
        </w:rPr>
      </w:pPr>
      <w:r w:rsidRPr="006F522E">
        <w:rPr>
          <w:sz w:val="22"/>
          <w:szCs w:val="22"/>
        </w:rPr>
        <w:t xml:space="preserve">Proven experience </w:t>
      </w:r>
      <w:r w:rsidR="00226B93">
        <w:rPr>
          <w:sz w:val="22"/>
          <w:szCs w:val="22"/>
        </w:rPr>
        <w:t>in</w:t>
      </w:r>
      <w:r w:rsidRPr="006F522E">
        <w:rPr>
          <w:sz w:val="22"/>
          <w:szCs w:val="22"/>
        </w:rPr>
        <w:t xml:space="preserve"> conducting gender analysis </w:t>
      </w:r>
      <w:r w:rsidR="0076146C">
        <w:rPr>
          <w:sz w:val="22"/>
          <w:szCs w:val="22"/>
        </w:rPr>
        <w:t>and</w:t>
      </w:r>
      <w:r w:rsidR="00226B93">
        <w:rPr>
          <w:sz w:val="22"/>
          <w:szCs w:val="22"/>
        </w:rPr>
        <w:t>/or</w:t>
      </w:r>
      <w:r w:rsidR="0076146C">
        <w:rPr>
          <w:sz w:val="22"/>
          <w:szCs w:val="22"/>
        </w:rPr>
        <w:t xml:space="preserve"> gender impact assessment </w:t>
      </w:r>
      <w:r w:rsidR="00226B93">
        <w:rPr>
          <w:sz w:val="22"/>
          <w:szCs w:val="22"/>
        </w:rPr>
        <w:t xml:space="preserve">separately or as a part of Regulatory Impact Assessment </w:t>
      </w:r>
      <w:r w:rsidRPr="006F522E">
        <w:rPr>
          <w:b/>
          <w:bCs w:val="0"/>
          <w:sz w:val="22"/>
          <w:szCs w:val="22"/>
        </w:rPr>
        <w:t>is required</w:t>
      </w:r>
      <w:r w:rsidR="000F0D07">
        <w:rPr>
          <w:b/>
          <w:bCs w:val="0"/>
          <w:sz w:val="22"/>
          <w:szCs w:val="22"/>
        </w:rPr>
        <w:t>.</w:t>
      </w:r>
      <w:r w:rsidR="00226B93">
        <w:rPr>
          <w:b/>
          <w:bCs w:val="0"/>
          <w:sz w:val="22"/>
          <w:szCs w:val="22"/>
        </w:rPr>
        <w:t xml:space="preserve"> </w:t>
      </w:r>
      <w:r w:rsidR="00226B93" w:rsidRPr="00226B93">
        <w:rPr>
          <w:sz w:val="22"/>
          <w:szCs w:val="22"/>
        </w:rPr>
        <w:t>If bidders track record includes conducting gender analysis or gender impact assessment as part of a regulatory Impact Assessment, is shall be explicitly explained within proposal.</w:t>
      </w:r>
      <w:r w:rsidR="00226B93">
        <w:rPr>
          <w:b/>
          <w:bCs w:val="0"/>
          <w:sz w:val="22"/>
          <w:szCs w:val="22"/>
        </w:rPr>
        <w:t xml:space="preserve"> </w:t>
      </w:r>
    </w:p>
    <w:p w14:paraId="25C9876A" w14:textId="492F5A6F" w:rsidR="006F522E" w:rsidRPr="006F522E" w:rsidRDefault="006F522E" w:rsidP="00474FEE">
      <w:pPr>
        <w:pStyle w:val="ListParagraph"/>
        <w:numPr>
          <w:ilvl w:val="0"/>
          <w:numId w:val="9"/>
        </w:numPr>
        <w:spacing w:after="20" w:line="276" w:lineRule="auto"/>
        <w:rPr>
          <w:sz w:val="22"/>
          <w:szCs w:val="22"/>
        </w:rPr>
      </w:pPr>
      <w:r w:rsidRPr="006F522E">
        <w:rPr>
          <w:sz w:val="22"/>
          <w:szCs w:val="22"/>
        </w:rPr>
        <w:lastRenderedPageBreak/>
        <w:t xml:space="preserve">Proven experience in planning and conducting </w:t>
      </w:r>
      <w:r w:rsidR="00226B93">
        <w:rPr>
          <w:sz w:val="22"/>
          <w:szCs w:val="22"/>
        </w:rPr>
        <w:t>quantitative and qualitative assessment and/or research</w:t>
      </w:r>
      <w:r w:rsidRPr="006F522E">
        <w:rPr>
          <w:sz w:val="22"/>
          <w:szCs w:val="22"/>
        </w:rPr>
        <w:t xml:space="preserve"> </w:t>
      </w:r>
      <w:r w:rsidRPr="00544584">
        <w:rPr>
          <w:b/>
          <w:bCs w:val="0"/>
          <w:sz w:val="22"/>
          <w:szCs w:val="22"/>
        </w:rPr>
        <w:t>is required</w:t>
      </w:r>
      <w:r w:rsidR="000F0D07">
        <w:rPr>
          <w:b/>
          <w:bCs w:val="0"/>
          <w:sz w:val="22"/>
          <w:szCs w:val="22"/>
        </w:rPr>
        <w:t>.</w:t>
      </w:r>
    </w:p>
    <w:p w14:paraId="61BF19A9" w14:textId="33689EF1" w:rsidR="00544584" w:rsidRPr="00544584" w:rsidRDefault="006F522E" w:rsidP="00474FEE">
      <w:pPr>
        <w:pStyle w:val="ListParagraph"/>
        <w:numPr>
          <w:ilvl w:val="0"/>
          <w:numId w:val="9"/>
        </w:numPr>
        <w:spacing w:after="20" w:line="276" w:lineRule="auto"/>
        <w:rPr>
          <w:sz w:val="22"/>
          <w:szCs w:val="22"/>
        </w:rPr>
      </w:pPr>
      <w:r w:rsidRPr="006F522E">
        <w:rPr>
          <w:sz w:val="22"/>
          <w:szCs w:val="22"/>
        </w:rPr>
        <w:t xml:space="preserve">Proven experience in conducting </w:t>
      </w:r>
      <w:r w:rsidR="000F0D07">
        <w:rPr>
          <w:sz w:val="22"/>
          <w:szCs w:val="22"/>
        </w:rPr>
        <w:t>assessments</w:t>
      </w:r>
      <w:r w:rsidRPr="006F522E">
        <w:rPr>
          <w:sz w:val="22"/>
          <w:szCs w:val="22"/>
        </w:rPr>
        <w:t xml:space="preserve"> and/or research related to climate, energy and/or environment </w:t>
      </w:r>
      <w:r w:rsidRPr="00226B93">
        <w:rPr>
          <w:b/>
          <w:bCs w:val="0"/>
          <w:sz w:val="22"/>
          <w:szCs w:val="22"/>
        </w:rPr>
        <w:t>will be</w:t>
      </w:r>
      <w:r w:rsidRPr="006F522E">
        <w:rPr>
          <w:sz w:val="22"/>
          <w:szCs w:val="22"/>
        </w:rPr>
        <w:t xml:space="preserve"> </w:t>
      </w:r>
      <w:r w:rsidRPr="00544584">
        <w:rPr>
          <w:b/>
          <w:bCs w:val="0"/>
          <w:sz w:val="22"/>
          <w:szCs w:val="22"/>
        </w:rPr>
        <w:t>an advantage</w:t>
      </w:r>
      <w:r w:rsidR="000F0D07">
        <w:rPr>
          <w:b/>
          <w:bCs w:val="0"/>
          <w:sz w:val="22"/>
          <w:szCs w:val="22"/>
        </w:rPr>
        <w:t>.</w:t>
      </w:r>
    </w:p>
    <w:p w14:paraId="62B21186" w14:textId="54BB6042" w:rsidR="006F522E" w:rsidRDefault="006F522E" w:rsidP="00474FEE">
      <w:pPr>
        <w:pStyle w:val="ListParagraph"/>
        <w:numPr>
          <w:ilvl w:val="0"/>
          <w:numId w:val="9"/>
        </w:numPr>
        <w:spacing w:after="20" w:line="276" w:lineRule="auto"/>
        <w:rPr>
          <w:sz w:val="22"/>
          <w:szCs w:val="22"/>
        </w:rPr>
      </w:pPr>
      <w:r w:rsidRPr="00544584">
        <w:rPr>
          <w:sz w:val="22"/>
          <w:szCs w:val="22"/>
        </w:rPr>
        <w:t xml:space="preserve">Proven experience in conducting intersectional analysis of policy and/or legislation </w:t>
      </w:r>
      <w:r w:rsidRPr="00226B93">
        <w:rPr>
          <w:b/>
          <w:bCs w:val="0"/>
          <w:sz w:val="22"/>
          <w:szCs w:val="22"/>
        </w:rPr>
        <w:t>will</w:t>
      </w:r>
      <w:r w:rsidRPr="00544584">
        <w:rPr>
          <w:sz w:val="22"/>
          <w:szCs w:val="22"/>
        </w:rPr>
        <w:t xml:space="preserve"> </w:t>
      </w:r>
      <w:r w:rsidRPr="00544584">
        <w:rPr>
          <w:b/>
          <w:bCs w:val="0"/>
          <w:sz w:val="22"/>
          <w:szCs w:val="22"/>
        </w:rPr>
        <w:t>be an advantage</w:t>
      </w:r>
      <w:r w:rsidR="000F0D07">
        <w:rPr>
          <w:b/>
          <w:bCs w:val="0"/>
          <w:sz w:val="22"/>
          <w:szCs w:val="22"/>
        </w:rPr>
        <w:t>.</w:t>
      </w:r>
      <w:r w:rsidRPr="00544584">
        <w:rPr>
          <w:sz w:val="22"/>
          <w:szCs w:val="22"/>
        </w:rPr>
        <w:t xml:space="preserve"> </w:t>
      </w:r>
    </w:p>
    <w:p w14:paraId="4E9341B4" w14:textId="24B02E93" w:rsidR="00672D2D" w:rsidRPr="009C2289" w:rsidRDefault="00672D2D" w:rsidP="00672D2D">
      <w:pPr>
        <w:pStyle w:val="NormalWeb"/>
        <w:spacing w:line="276" w:lineRule="auto"/>
        <w:rPr>
          <w:rFonts w:ascii="Arial" w:hAnsi="Arial" w:cs="Arial"/>
          <w:b/>
          <w:bCs/>
          <w:sz w:val="22"/>
          <w:szCs w:val="22"/>
          <w:u w:val="single"/>
        </w:rPr>
      </w:pPr>
      <w:bookmarkStart w:id="4" w:name="_Hlk149749245"/>
      <w:bookmarkEnd w:id="3"/>
      <w:r w:rsidRPr="009C2289">
        <w:rPr>
          <w:rFonts w:ascii="Arial" w:hAnsi="Arial" w:cs="Arial"/>
          <w:sz w:val="22"/>
          <w:szCs w:val="22"/>
        </w:rPr>
        <w:t xml:space="preserve">The Supplier is expected to fulfill this assignment through engaging relevant thematic experts. Potential suppliers are free to propose </w:t>
      </w:r>
      <w:r w:rsidR="00226B93" w:rsidRPr="009C2289">
        <w:rPr>
          <w:rFonts w:ascii="Arial" w:hAnsi="Arial" w:cs="Arial"/>
          <w:sz w:val="22"/>
          <w:szCs w:val="22"/>
        </w:rPr>
        <w:t>a team</w:t>
      </w:r>
      <w:r w:rsidRPr="009C2289">
        <w:rPr>
          <w:rFonts w:ascii="Arial" w:hAnsi="Arial" w:cs="Arial"/>
          <w:sz w:val="22"/>
          <w:szCs w:val="22"/>
        </w:rPr>
        <w:t xml:space="preserve"> of experts based on proposed methodology taking into account </w:t>
      </w:r>
      <w:proofErr w:type="gramStart"/>
      <w:r w:rsidRPr="009C2289">
        <w:rPr>
          <w:rFonts w:ascii="Arial" w:hAnsi="Arial" w:cs="Arial"/>
          <w:sz w:val="22"/>
          <w:szCs w:val="22"/>
        </w:rPr>
        <w:t>th</w:t>
      </w:r>
      <w:r w:rsidR="00226B93">
        <w:rPr>
          <w:rFonts w:ascii="Arial" w:hAnsi="Arial" w:cs="Arial"/>
          <w:sz w:val="22"/>
          <w:szCs w:val="22"/>
        </w:rPr>
        <w:t>is</w:t>
      </w:r>
      <w:r w:rsidRPr="009C2289">
        <w:rPr>
          <w:rFonts w:ascii="Arial" w:hAnsi="Arial" w:cs="Arial"/>
          <w:sz w:val="22"/>
          <w:szCs w:val="22"/>
        </w:rPr>
        <w:t xml:space="preserve"> terms</w:t>
      </w:r>
      <w:proofErr w:type="gramEnd"/>
      <w:r w:rsidRPr="009C2289">
        <w:rPr>
          <w:rFonts w:ascii="Arial" w:hAnsi="Arial" w:cs="Arial"/>
          <w:sz w:val="22"/>
          <w:szCs w:val="22"/>
        </w:rPr>
        <w:t xml:space="preserve"> of reference and overall budget for this assignment. However, it is expected that at minimum the team of experts</w:t>
      </w:r>
      <w:r>
        <w:rPr>
          <w:rFonts w:ascii="Arial" w:hAnsi="Arial" w:cs="Arial"/>
          <w:sz w:val="22"/>
          <w:szCs w:val="22"/>
        </w:rPr>
        <w:t xml:space="preserve"> </w:t>
      </w:r>
      <w:r w:rsidRPr="009C2289">
        <w:rPr>
          <w:rFonts w:ascii="Arial" w:hAnsi="Arial" w:cs="Arial"/>
          <w:sz w:val="22"/>
          <w:szCs w:val="22"/>
        </w:rPr>
        <w:t>will include the following roles</w:t>
      </w:r>
      <w:r>
        <w:rPr>
          <w:rFonts w:ascii="Arial" w:hAnsi="Arial" w:cs="Arial"/>
          <w:sz w:val="22"/>
          <w:szCs w:val="22"/>
        </w:rPr>
        <w:t xml:space="preserve">: </w:t>
      </w:r>
      <w:r w:rsidRPr="00AE3181">
        <w:rPr>
          <w:rFonts w:ascii="Arial" w:hAnsi="Arial" w:cs="Arial"/>
          <w:i/>
          <w:iCs/>
          <w:sz w:val="22"/>
          <w:szCs w:val="22"/>
        </w:rPr>
        <w:t>(Please note that the same team member can undertake several roles if relevant experience for each role can be demonstrated.)</w:t>
      </w:r>
      <w:r w:rsidRPr="009C2289">
        <w:rPr>
          <w:rFonts w:ascii="Arial" w:hAnsi="Arial" w:cs="Arial"/>
          <w:sz w:val="22"/>
          <w:szCs w:val="22"/>
        </w:rPr>
        <w:t xml:space="preserve"> </w:t>
      </w:r>
    </w:p>
    <w:p w14:paraId="024C63B9" w14:textId="77777777" w:rsidR="00672D2D" w:rsidRPr="009C2289" w:rsidRDefault="00672D2D" w:rsidP="00474FEE">
      <w:pPr>
        <w:pStyle w:val="NormalWeb"/>
        <w:numPr>
          <w:ilvl w:val="0"/>
          <w:numId w:val="10"/>
        </w:numPr>
        <w:spacing w:before="0" w:beforeAutospacing="0" w:after="0" w:afterAutospacing="0" w:line="276" w:lineRule="auto"/>
        <w:jc w:val="both"/>
        <w:rPr>
          <w:rFonts w:ascii="Arial" w:hAnsi="Arial" w:cs="Arial"/>
          <w:sz w:val="22"/>
          <w:szCs w:val="22"/>
        </w:rPr>
      </w:pPr>
      <w:r w:rsidRPr="009C2289">
        <w:rPr>
          <w:rFonts w:ascii="Arial" w:hAnsi="Arial" w:cs="Arial"/>
          <w:sz w:val="22"/>
          <w:szCs w:val="22"/>
        </w:rPr>
        <w:t xml:space="preserve">Team Leader </w:t>
      </w:r>
    </w:p>
    <w:p w14:paraId="479A4EB4" w14:textId="77777777" w:rsidR="00672D2D" w:rsidRPr="009C2289" w:rsidRDefault="00672D2D" w:rsidP="00474FEE">
      <w:pPr>
        <w:pStyle w:val="NormalWeb"/>
        <w:numPr>
          <w:ilvl w:val="0"/>
          <w:numId w:val="10"/>
        </w:numPr>
        <w:spacing w:before="0" w:beforeAutospacing="0" w:after="0" w:afterAutospacing="0" w:line="276" w:lineRule="auto"/>
        <w:jc w:val="both"/>
        <w:rPr>
          <w:rFonts w:ascii="Arial" w:hAnsi="Arial" w:cs="Arial"/>
          <w:sz w:val="22"/>
          <w:szCs w:val="22"/>
        </w:rPr>
      </w:pPr>
      <w:r w:rsidRPr="009C2289">
        <w:rPr>
          <w:rFonts w:ascii="Arial" w:hAnsi="Arial" w:cs="Arial"/>
          <w:sz w:val="22"/>
          <w:szCs w:val="22"/>
        </w:rPr>
        <w:t xml:space="preserve">Gender expert </w:t>
      </w:r>
    </w:p>
    <w:p w14:paraId="6085BB1C" w14:textId="06958586" w:rsidR="006B3EBE" w:rsidRDefault="00672D2D" w:rsidP="00474FEE">
      <w:pPr>
        <w:pStyle w:val="NormalWeb"/>
        <w:numPr>
          <w:ilvl w:val="0"/>
          <w:numId w:val="10"/>
        </w:numPr>
        <w:spacing w:before="0" w:beforeAutospacing="0" w:after="0" w:afterAutospacing="0" w:line="276" w:lineRule="auto"/>
        <w:jc w:val="both"/>
        <w:rPr>
          <w:rFonts w:ascii="Arial" w:hAnsi="Arial" w:cs="Arial"/>
          <w:sz w:val="22"/>
          <w:szCs w:val="22"/>
        </w:rPr>
      </w:pPr>
      <w:r w:rsidRPr="009C2289">
        <w:rPr>
          <w:rFonts w:ascii="Arial" w:hAnsi="Arial" w:cs="Arial"/>
          <w:sz w:val="22"/>
          <w:szCs w:val="22"/>
        </w:rPr>
        <w:t>Climate change expert</w:t>
      </w:r>
    </w:p>
    <w:p w14:paraId="4E48DBDC" w14:textId="25B49BE7" w:rsidR="000F0D07" w:rsidRDefault="000F0D07" w:rsidP="00474FEE">
      <w:pPr>
        <w:pStyle w:val="NormalWeb"/>
        <w:numPr>
          <w:ilvl w:val="0"/>
          <w:numId w:val="10"/>
        </w:numPr>
        <w:spacing w:before="0" w:beforeAutospacing="0" w:after="0" w:afterAutospacing="0" w:line="276" w:lineRule="auto"/>
        <w:jc w:val="both"/>
        <w:rPr>
          <w:rFonts w:ascii="Arial" w:hAnsi="Arial" w:cs="Arial"/>
          <w:sz w:val="22"/>
          <w:szCs w:val="22"/>
        </w:rPr>
      </w:pPr>
      <w:r>
        <w:rPr>
          <w:rFonts w:ascii="Arial" w:hAnsi="Arial" w:cs="Arial"/>
          <w:sz w:val="22"/>
          <w:szCs w:val="22"/>
        </w:rPr>
        <w:t>Financial expert</w:t>
      </w:r>
    </w:p>
    <w:p w14:paraId="51DD2BF6" w14:textId="663369DD" w:rsidR="00226B93" w:rsidRPr="00672D2D" w:rsidRDefault="00226B93" w:rsidP="00474FEE">
      <w:pPr>
        <w:pStyle w:val="NormalWeb"/>
        <w:numPr>
          <w:ilvl w:val="0"/>
          <w:numId w:val="10"/>
        </w:numPr>
        <w:spacing w:before="0" w:beforeAutospacing="0" w:after="0" w:afterAutospacing="0" w:line="276" w:lineRule="auto"/>
        <w:jc w:val="both"/>
        <w:rPr>
          <w:rFonts w:ascii="Arial" w:hAnsi="Arial" w:cs="Arial"/>
          <w:sz w:val="22"/>
          <w:szCs w:val="22"/>
        </w:rPr>
      </w:pPr>
      <w:r>
        <w:rPr>
          <w:rFonts w:ascii="Arial" w:hAnsi="Arial" w:cs="Arial"/>
          <w:sz w:val="22"/>
          <w:szCs w:val="22"/>
        </w:rPr>
        <w:t>Legal expert</w:t>
      </w:r>
    </w:p>
    <w:bookmarkEnd w:id="4"/>
    <w:p w14:paraId="7B884367" w14:textId="166335AC" w:rsidR="001A570E" w:rsidRPr="00944B8E" w:rsidRDefault="002C5F6B" w:rsidP="001A570E">
      <w:pPr>
        <w:pStyle w:val="Heading1"/>
      </w:pPr>
      <w:r>
        <w:t xml:space="preserve">Bid </w:t>
      </w:r>
      <w:proofErr w:type="gramStart"/>
      <w:r>
        <w:t>process</w:t>
      </w:r>
      <w:proofErr w:type="gramEnd"/>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10464009">
        <w:rPr>
          <w:sz w:val="22"/>
          <w:szCs w:val="22"/>
        </w:rPr>
        <w:t xml:space="preserve">Below is the proposed timescale for the tendering process. Please note the dates are indicative and subject to change.  </w:t>
      </w:r>
    </w:p>
    <w:tbl>
      <w:tblPr>
        <w:tblW w:w="0" w:type="auto"/>
        <w:tblLayout w:type="fixed"/>
        <w:tblLook w:val="0400" w:firstRow="0" w:lastRow="0" w:firstColumn="0" w:lastColumn="0" w:noHBand="0" w:noVBand="1"/>
      </w:tblPr>
      <w:tblGrid>
        <w:gridCol w:w="4785"/>
        <w:gridCol w:w="1980"/>
      </w:tblGrid>
      <w:tr w:rsidR="10464009" w14:paraId="33F9A132" w14:textId="77777777" w:rsidTr="756B6C3A">
        <w:trPr>
          <w:trHeight w:val="45"/>
        </w:trPr>
        <w:tc>
          <w:tcPr>
            <w:tcW w:w="4785" w:type="dxa"/>
            <w:tcBorders>
              <w:top w:val="single" w:sz="6" w:space="0" w:color="auto"/>
              <w:left w:val="single" w:sz="6" w:space="0" w:color="auto"/>
              <w:bottom w:val="single" w:sz="6" w:space="0" w:color="auto"/>
            </w:tcBorders>
            <w:shd w:val="clear" w:color="auto" w:fill="000000" w:themeFill="text1"/>
          </w:tcPr>
          <w:p w14:paraId="2060C2AB" w14:textId="67896ADA" w:rsidR="10464009" w:rsidRDefault="10464009" w:rsidP="10464009">
            <w:pPr>
              <w:tabs>
                <w:tab w:val="left" w:pos="1320"/>
              </w:tabs>
              <w:rPr>
                <w:rFonts w:eastAsia="Arial"/>
                <w:bCs w:val="0"/>
                <w:sz w:val="22"/>
                <w:szCs w:val="22"/>
              </w:rPr>
            </w:pPr>
            <w:r w:rsidRPr="10464009">
              <w:rPr>
                <w:rFonts w:eastAsia="Arial"/>
                <w:bCs w:val="0"/>
                <w:sz w:val="22"/>
                <w:szCs w:val="22"/>
              </w:rPr>
              <w:t>Description</w:t>
            </w:r>
          </w:p>
        </w:tc>
        <w:tc>
          <w:tcPr>
            <w:tcW w:w="1980" w:type="dxa"/>
            <w:tcBorders>
              <w:top w:val="single" w:sz="6" w:space="0" w:color="auto"/>
              <w:bottom w:val="single" w:sz="6" w:space="0" w:color="auto"/>
              <w:right w:val="single" w:sz="6" w:space="0" w:color="auto"/>
            </w:tcBorders>
            <w:shd w:val="clear" w:color="auto" w:fill="000000" w:themeFill="text1"/>
          </w:tcPr>
          <w:p w14:paraId="43ABFDE2" w14:textId="7A8F9089" w:rsidR="10464009" w:rsidRDefault="10464009" w:rsidP="10464009">
            <w:pPr>
              <w:tabs>
                <w:tab w:val="left" w:pos="1320"/>
              </w:tabs>
              <w:rPr>
                <w:rFonts w:eastAsia="Arial"/>
                <w:bCs w:val="0"/>
                <w:sz w:val="22"/>
                <w:szCs w:val="22"/>
              </w:rPr>
            </w:pPr>
            <w:r w:rsidRPr="10464009">
              <w:rPr>
                <w:rFonts w:eastAsia="Arial"/>
                <w:bCs w:val="0"/>
                <w:sz w:val="22"/>
                <w:szCs w:val="22"/>
              </w:rPr>
              <w:t xml:space="preserve">Date </w:t>
            </w:r>
          </w:p>
        </w:tc>
      </w:tr>
      <w:tr w:rsidR="10464009" w14:paraId="6C852C16" w14:textId="77777777" w:rsidTr="756B6C3A">
        <w:trPr>
          <w:trHeight w:val="45"/>
        </w:trPr>
        <w:tc>
          <w:tcPr>
            <w:tcW w:w="4785" w:type="dxa"/>
            <w:tcBorders>
              <w:top w:val="single" w:sz="6" w:space="0" w:color="auto"/>
              <w:left w:val="single" w:sz="6" w:space="0" w:color="auto"/>
              <w:bottom w:val="single" w:sz="6" w:space="0" w:color="auto"/>
            </w:tcBorders>
          </w:tcPr>
          <w:p w14:paraId="2A99B995" w14:textId="711A3DC0" w:rsidR="10464009" w:rsidRDefault="10464009" w:rsidP="10464009">
            <w:pPr>
              <w:tabs>
                <w:tab w:val="left" w:pos="1320"/>
              </w:tabs>
              <w:rPr>
                <w:rFonts w:eastAsia="Arial"/>
                <w:bCs w:val="0"/>
                <w:sz w:val="22"/>
                <w:szCs w:val="22"/>
              </w:rPr>
            </w:pPr>
            <w:r w:rsidRPr="10464009">
              <w:rPr>
                <w:rFonts w:eastAsia="Arial"/>
                <w:bCs w:val="0"/>
                <w:sz w:val="22"/>
                <w:szCs w:val="22"/>
              </w:rPr>
              <w:t>Issue ITT</w:t>
            </w:r>
          </w:p>
        </w:tc>
        <w:tc>
          <w:tcPr>
            <w:tcW w:w="1980" w:type="dxa"/>
            <w:tcBorders>
              <w:top w:val="single" w:sz="6" w:space="0" w:color="auto"/>
              <w:bottom w:val="single" w:sz="6" w:space="0" w:color="auto"/>
              <w:right w:val="single" w:sz="6" w:space="0" w:color="auto"/>
            </w:tcBorders>
          </w:tcPr>
          <w:p w14:paraId="1281970E" w14:textId="436F274A" w:rsidR="10464009" w:rsidRDefault="7841297E" w:rsidP="10464009">
            <w:pPr>
              <w:tabs>
                <w:tab w:val="left" w:pos="1320"/>
              </w:tabs>
              <w:rPr>
                <w:rFonts w:eastAsia="Arial"/>
                <w:sz w:val="22"/>
                <w:szCs w:val="22"/>
              </w:rPr>
            </w:pPr>
            <w:r w:rsidRPr="756B6C3A">
              <w:rPr>
                <w:rFonts w:eastAsia="Arial"/>
                <w:sz w:val="22"/>
                <w:szCs w:val="22"/>
              </w:rPr>
              <w:t>December</w:t>
            </w:r>
            <w:r w:rsidR="00E80488" w:rsidRPr="756B6C3A">
              <w:rPr>
                <w:rFonts w:eastAsia="Arial"/>
                <w:sz w:val="22"/>
                <w:szCs w:val="22"/>
              </w:rPr>
              <w:t xml:space="preserve"> </w:t>
            </w:r>
            <w:r w:rsidR="66ED59E3" w:rsidRPr="756B6C3A">
              <w:rPr>
                <w:rFonts w:eastAsia="Arial"/>
                <w:sz w:val="22"/>
                <w:szCs w:val="22"/>
              </w:rPr>
              <w:t>5</w:t>
            </w:r>
            <w:r w:rsidR="00226B93" w:rsidRPr="756B6C3A">
              <w:rPr>
                <w:rFonts w:eastAsia="Arial"/>
                <w:sz w:val="22"/>
                <w:szCs w:val="22"/>
                <w:vertAlign w:val="superscript"/>
              </w:rPr>
              <w:t>th</w:t>
            </w:r>
            <w:r w:rsidR="10464009" w:rsidRPr="756B6C3A">
              <w:rPr>
                <w:rFonts w:eastAsia="Arial"/>
                <w:sz w:val="22"/>
                <w:szCs w:val="22"/>
              </w:rPr>
              <w:t>, 202</w:t>
            </w:r>
            <w:r w:rsidR="00E3082E" w:rsidRPr="756B6C3A">
              <w:rPr>
                <w:rFonts w:eastAsia="Arial"/>
                <w:sz w:val="22"/>
                <w:szCs w:val="22"/>
              </w:rPr>
              <w:t>3</w:t>
            </w:r>
          </w:p>
        </w:tc>
      </w:tr>
      <w:tr w:rsidR="10464009" w14:paraId="1E791C82" w14:textId="77777777" w:rsidTr="756B6C3A">
        <w:trPr>
          <w:trHeight w:val="45"/>
        </w:trPr>
        <w:tc>
          <w:tcPr>
            <w:tcW w:w="4785" w:type="dxa"/>
            <w:tcBorders>
              <w:top w:val="single" w:sz="6" w:space="0" w:color="auto"/>
              <w:left w:val="single" w:sz="6" w:space="0" w:color="auto"/>
              <w:bottom w:val="single" w:sz="6" w:space="0" w:color="auto"/>
            </w:tcBorders>
          </w:tcPr>
          <w:p w14:paraId="5D039F19" w14:textId="36CE8A1E" w:rsidR="10464009" w:rsidRDefault="10464009" w:rsidP="10464009">
            <w:pPr>
              <w:tabs>
                <w:tab w:val="left" w:pos="1320"/>
              </w:tabs>
              <w:rPr>
                <w:rFonts w:eastAsia="Arial"/>
                <w:bCs w:val="0"/>
                <w:sz w:val="22"/>
                <w:szCs w:val="22"/>
              </w:rPr>
            </w:pPr>
            <w:r w:rsidRPr="10464009">
              <w:rPr>
                <w:rFonts w:eastAsia="Arial"/>
                <w:bCs w:val="0"/>
                <w:sz w:val="22"/>
                <w:szCs w:val="22"/>
              </w:rPr>
              <w:t>Closing date for receipt of completed tender proposals</w:t>
            </w:r>
          </w:p>
        </w:tc>
        <w:tc>
          <w:tcPr>
            <w:tcW w:w="1980" w:type="dxa"/>
            <w:tcBorders>
              <w:top w:val="single" w:sz="6" w:space="0" w:color="auto"/>
              <w:bottom w:val="single" w:sz="6" w:space="0" w:color="auto"/>
              <w:right w:val="single" w:sz="6" w:space="0" w:color="auto"/>
            </w:tcBorders>
          </w:tcPr>
          <w:p w14:paraId="1E667B26" w14:textId="360701CD" w:rsidR="10464009" w:rsidRDefault="0599C0E0" w:rsidP="10464009">
            <w:pPr>
              <w:tabs>
                <w:tab w:val="left" w:pos="1320"/>
              </w:tabs>
              <w:rPr>
                <w:rFonts w:eastAsia="Arial"/>
                <w:sz w:val="22"/>
                <w:szCs w:val="22"/>
              </w:rPr>
            </w:pPr>
            <w:r w:rsidRPr="756B6C3A">
              <w:rPr>
                <w:rFonts w:eastAsia="Arial"/>
                <w:sz w:val="22"/>
                <w:szCs w:val="22"/>
              </w:rPr>
              <w:t>December</w:t>
            </w:r>
            <w:r w:rsidR="00226B93" w:rsidRPr="756B6C3A">
              <w:rPr>
                <w:rFonts w:eastAsia="Arial"/>
                <w:sz w:val="22"/>
                <w:szCs w:val="22"/>
              </w:rPr>
              <w:t xml:space="preserve"> </w:t>
            </w:r>
            <w:r w:rsidR="61FF1E68" w:rsidRPr="2ACF14E7">
              <w:rPr>
                <w:rFonts w:eastAsia="Arial"/>
                <w:sz w:val="22"/>
                <w:szCs w:val="22"/>
              </w:rPr>
              <w:t>20</w:t>
            </w:r>
            <w:r w:rsidR="737CBFD5" w:rsidRPr="2ACF14E7">
              <w:rPr>
                <w:rFonts w:eastAsia="Arial"/>
                <w:sz w:val="22"/>
                <w:szCs w:val="22"/>
                <w:vertAlign w:val="superscript"/>
              </w:rPr>
              <w:t>th</w:t>
            </w:r>
            <w:r w:rsidR="10464009" w:rsidRPr="756B6C3A">
              <w:rPr>
                <w:rFonts w:eastAsia="Arial"/>
                <w:sz w:val="22"/>
                <w:szCs w:val="22"/>
                <w:lang w:val="en-US"/>
              </w:rPr>
              <w:t xml:space="preserve">, </w:t>
            </w:r>
            <w:proofErr w:type="gramStart"/>
            <w:r w:rsidR="10464009" w:rsidRPr="756B6C3A">
              <w:rPr>
                <w:rFonts w:eastAsia="Arial"/>
                <w:sz w:val="22"/>
                <w:szCs w:val="22"/>
                <w:lang w:val="en-US"/>
              </w:rPr>
              <w:t>202</w:t>
            </w:r>
            <w:r w:rsidR="00E3082E" w:rsidRPr="756B6C3A">
              <w:rPr>
                <w:rFonts w:eastAsia="Arial"/>
                <w:sz w:val="22"/>
                <w:szCs w:val="22"/>
                <w:lang w:val="en-US"/>
              </w:rPr>
              <w:t>3</w:t>
            </w:r>
            <w:proofErr w:type="gramEnd"/>
            <w:r w:rsidR="10464009" w:rsidRPr="756B6C3A">
              <w:rPr>
                <w:rFonts w:eastAsia="Arial"/>
                <w:sz w:val="22"/>
                <w:szCs w:val="22"/>
              </w:rPr>
              <w:t> </w:t>
            </w:r>
          </w:p>
        </w:tc>
      </w:tr>
      <w:tr w:rsidR="10464009" w14:paraId="765B87B3" w14:textId="77777777" w:rsidTr="756B6C3A">
        <w:trPr>
          <w:trHeight w:val="45"/>
        </w:trPr>
        <w:tc>
          <w:tcPr>
            <w:tcW w:w="4785" w:type="dxa"/>
            <w:tcBorders>
              <w:top w:val="single" w:sz="6" w:space="0" w:color="auto"/>
              <w:left w:val="single" w:sz="6" w:space="0" w:color="auto"/>
              <w:bottom w:val="single" w:sz="6" w:space="0" w:color="auto"/>
            </w:tcBorders>
          </w:tcPr>
          <w:p w14:paraId="70A5DD10" w14:textId="7AD5F8E1" w:rsidR="10464009" w:rsidRDefault="10464009" w:rsidP="10464009">
            <w:pPr>
              <w:tabs>
                <w:tab w:val="left" w:pos="1320"/>
              </w:tabs>
              <w:rPr>
                <w:rFonts w:eastAsia="Arial"/>
                <w:bCs w:val="0"/>
                <w:sz w:val="22"/>
                <w:szCs w:val="22"/>
              </w:rPr>
            </w:pPr>
            <w:r w:rsidRPr="10464009">
              <w:rPr>
                <w:rFonts w:eastAsia="Arial"/>
                <w:bCs w:val="0"/>
                <w:sz w:val="22"/>
                <w:szCs w:val="22"/>
              </w:rPr>
              <w:t>WFD announces preferred supplier</w:t>
            </w:r>
          </w:p>
        </w:tc>
        <w:tc>
          <w:tcPr>
            <w:tcW w:w="1980" w:type="dxa"/>
            <w:tcBorders>
              <w:top w:val="single" w:sz="6" w:space="0" w:color="auto"/>
              <w:bottom w:val="single" w:sz="6" w:space="0" w:color="auto"/>
              <w:right w:val="single" w:sz="6" w:space="0" w:color="auto"/>
            </w:tcBorders>
          </w:tcPr>
          <w:p w14:paraId="70D4F8C0" w14:textId="39BEDC6A" w:rsidR="10464009" w:rsidRDefault="00226B93" w:rsidP="10464009">
            <w:pPr>
              <w:tabs>
                <w:tab w:val="left" w:pos="1320"/>
              </w:tabs>
              <w:rPr>
                <w:rFonts w:eastAsia="Arial"/>
                <w:sz w:val="22"/>
                <w:szCs w:val="22"/>
              </w:rPr>
            </w:pPr>
            <w:r w:rsidRPr="756B6C3A">
              <w:rPr>
                <w:rFonts w:eastAsia="Arial"/>
                <w:sz w:val="22"/>
                <w:szCs w:val="22"/>
              </w:rPr>
              <w:t xml:space="preserve">December </w:t>
            </w:r>
            <w:r w:rsidR="2E13DA8E" w:rsidRPr="756B6C3A">
              <w:rPr>
                <w:rFonts w:eastAsia="Arial"/>
                <w:sz w:val="22"/>
                <w:szCs w:val="22"/>
              </w:rPr>
              <w:t>22</w:t>
            </w:r>
            <w:r w:rsidR="2E13DA8E" w:rsidRPr="756B6C3A">
              <w:rPr>
                <w:rFonts w:eastAsia="Arial"/>
                <w:sz w:val="22"/>
                <w:szCs w:val="22"/>
                <w:vertAlign w:val="superscript"/>
              </w:rPr>
              <w:t>nd</w:t>
            </w:r>
            <w:r w:rsidR="10464009" w:rsidRPr="756B6C3A">
              <w:rPr>
                <w:rFonts w:eastAsia="Arial"/>
                <w:sz w:val="22"/>
                <w:szCs w:val="22"/>
                <w:lang w:val="en-US"/>
              </w:rPr>
              <w:t xml:space="preserve">, </w:t>
            </w:r>
            <w:proofErr w:type="gramStart"/>
            <w:r w:rsidR="10464009" w:rsidRPr="756B6C3A">
              <w:rPr>
                <w:rFonts w:eastAsia="Arial"/>
                <w:sz w:val="22"/>
                <w:szCs w:val="22"/>
                <w:lang w:val="en-US"/>
              </w:rPr>
              <w:t>202</w:t>
            </w:r>
            <w:r w:rsidR="00E3082E" w:rsidRPr="756B6C3A">
              <w:rPr>
                <w:rFonts w:eastAsia="Arial"/>
                <w:sz w:val="22"/>
                <w:szCs w:val="22"/>
                <w:lang w:val="en-US"/>
              </w:rPr>
              <w:t>3</w:t>
            </w:r>
            <w:proofErr w:type="gramEnd"/>
            <w:r w:rsidR="10464009" w:rsidRPr="756B6C3A">
              <w:rPr>
                <w:rFonts w:eastAsia="Arial"/>
                <w:sz w:val="22"/>
                <w:szCs w:val="22"/>
              </w:rPr>
              <w:t> </w:t>
            </w:r>
          </w:p>
        </w:tc>
      </w:tr>
      <w:tr w:rsidR="10464009" w14:paraId="5788A17F" w14:textId="77777777" w:rsidTr="756B6C3A">
        <w:trPr>
          <w:trHeight w:val="45"/>
        </w:trPr>
        <w:tc>
          <w:tcPr>
            <w:tcW w:w="4785" w:type="dxa"/>
            <w:tcBorders>
              <w:top w:val="single" w:sz="6" w:space="0" w:color="auto"/>
              <w:left w:val="single" w:sz="6" w:space="0" w:color="auto"/>
              <w:bottom w:val="single" w:sz="6" w:space="0" w:color="auto"/>
            </w:tcBorders>
          </w:tcPr>
          <w:p w14:paraId="22034378" w14:textId="16A6C0D6" w:rsidR="10464009" w:rsidRDefault="10464009" w:rsidP="10464009">
            <w:pPr>
              <w:tabs>
                <w:tab w:val="left" w:pos="1320"/>
              </w:tabs>
              <w:rPr>
                <w:rFonts w:eastAsia="Arial"/>
                <w:bCs w:val="0"/>
                <w:sz w:val="22"/>
                <w:szCs w:val="22"/>
              </w:rPr>
            </w:pPr>
            <w:r w:rsidRPr="10464009">
              <w:rPr>
                <w:rFonts w:eastAsia="Arial"/>
                <w:bCs w:val="0"/>
                <w:sz w:val="22"/>
                <w:szCs w:val="22"/>
              </w:rPr>
              <w:t>Contract finalised and signed</w:t>
            </w:r>
          </w:p>
        </w:tc>
        <w:tc>
          <w:tcPr>
            <w:tcW w:w="1980" w:type="dxa"/>
            <w:tcBorders>
              <w:top w:val="single" w:sz="6" w:space="0" w:color="auto"/>
              <w:bottom w:val="single" w:sz="6" w:space="0" w:color="auto"/>
              <w:right w:val="single" w:sz="6" w:space="0" w:color="auto"/>
            </w:tcBorders>
          </w:tcPr>
          <w:p w14:paraId="46B6FF52" w14:textId="5FB7CEAD" w:rsidR="10464009" w:rsidRDefault="00226B93" w:rsidP="10464009">
            <w:pPr>
              <w:tabs>
                <w:tab w:val="left" w:pos="1320"/>
              </w:tabs>
              <w:rPr>
                <w:rFonts w:eastAsia="Arial"/>
                <w:sz w:val="22"/>
                <w:szCs w:val="22"/>
              </w:rPr>
            </w:pPr>
            <w:r w:rsidRPr="756B6C3A">
              <w:rPr>
                <w:rFonts w:eastAsia="Arial"/>
                <w:sz w:val="22"/>
                <w:szCs w:val="22"/>
              </w:rPr>
              <w:t xml:space="preserve">December </w:t>
            </w:r>
            <w:r w:rsidR="014FBC66" w:rsidRPr="756B6C3A">
              <w:rPr>
                <w:rFonts w:eastAsia="Arial"/>
                <w:sz w:val="22"/>
                <w:szCs w:val="22"/>
              </w:rPr>
              <w:t>26</w:t>
            </w:r>
            <w:r w:rsidRPr="756B6C3A">
              <w:rPr>
                <w:rFonts w:eastAsia="Arial"/>
                <w:sz w:val="22"/>
                <w:szCs w:val="22"/>
                <w:vertAlign w:val="superscript"/>
              </w:rPr>
              <w:t>th</w:t>
            </w:r>
            <w:r w:rsidR="10464009" w:rsidRPr="756B6C3A">
              <w:rPr>
                <w:rFonts w:eastAsia="Arial"/>
                <w:sz w:val="22"/>
                <w:szCs w:val="22"/>
                <w:lang w:val="en-US"/>
              </w:rPr>
              <w:t xml:space="preserve">, </w:t>
            </w:r>
            <w:proofErr w:type="gramStart"/>
            <w:r w:rsidR="10464009" w:rsidRPr="756B6C3A">
              <w:rPr>
                <w:rFonts w:eastAsia="Arial"/>
                <w:sz w:val="22"/>
                <w:szCs w:val="22"/>
                <w:lang w:val="en-US"/>
              </w:rPr>
              <w:t>202</w:t>
            </w:r>
            <w:r w:rsidR="00E3082E" w:rsidRPr="756B6C3A">
              <w:rPr>
                <w:rFonts w:eastAsia="Arial"/>
                <w:sz w:val="22"/>
                <w:szCs w:val="22"/>
                <w:lang w:val="en-US"/>
              </w:rPr>
              <w:t>3</w:t>
            </w:r>
            <w:proofErr w:type="gramEnd"/>
            <w:r w:rsidR="10464009" w:rsidRPr="756B6C3A">
              <w:rPr>
                <w:rFonts w:eastAsia="Arial"/>
                <w:sz w:val="22"/>
                <w:szCs w:val="22"/>
              </w:rPr>
              <w:t> </w:t>
            </w:r>
          </w:p>
        </w:tc>
      </w:tr>
    </w:tbl>
    <w:p w14:paraId="2E7E83E6" w14:textId="1069EC89" w:rsidR="00624758" w:rsidRDefault="00624758" w:rsidP="10464009">
      <w:pPr>
        <w:tabs>
          <w:tab w:val="left" w:pos="1320"/>
        </w:tabs>
        <w:rPr>
          <w:sz w:val="22"/>
          <w:szCs w:val="22"/>
        </w:rPr>
      </w:pPr>
    </w:p>
    <w:p w14:paraId="74246CD4" w14:textId="11D0AFE6" w:rsidR="0026564B" w:rsidRPr="002B061D" w:rsidRDefault="0026564B" w:rsidP="0026564B">
      <w:pPr>
        <w:pStyle w:val="Heading2"/>
      </w:pPr>
      <w:r>
        <w:t xml:space="preserve">Bid </w:t>
      </w:r>
      <w:proofErr w:type="gramStart"/>
      <w:r>
        <w:t>requirements</w:t>
      </w:r>
      <w:proofErr w:type="gramEnd"/>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474FEE">
      <w:pPr>
        <w:numPr>
          <w:ilvl w:val="0"/>
          <w:numId w:val="6"/>
        </w:numPr>
        <w:tabs>
          <w:tab w:val="left" w:pos="1320"/>
        </w:tabs>
        <w:rPr>
          <w:sz w:val="22"/>
          <w:szCs w:val="22"/>
        </w:rPr>
      </w:pPr>
      <w:r w:rsidRPr="00C7783D">
        <w:rPr>
          <w:sz w:val="22"/>
          <w:szCs w:val="22"/>
        </w:rPr>
        <w:t>Organisational profile</w:t>
      </w:r>
    </w:p>
    <w:p w14:paraId="66A15498" w14:textId="4E54D083" w:rsidR="00C7783D" w:rsidRPr="00C7783D" w:rsidRDefault="00C7783D" w:rsidP="00474FEE">
      <w:pPr>
        <w:numPr>
          <w:ilvl w:val="0"/>
          <w:numId w:val="6"/>
        </w:numPr>
        <w:tabs>
          <w:tab w:val="left" w:pos="1320"/>
        </w:tabs>
        <w:rPr>
          <w:sz w:val="22"/>
          <w:szCs w:val="22"/>
        </w:rPr>
      </w:pPr>
      <w:r w:rsidRPr="00C7783D">
        <w:rPr>
          <w:sz w:val="22"/>
          <w:szCs w:val="22"/>
        </w:rPr>
        <w:t>Proposed solution</w:t>
      </w:r>
      <w:r w:rsidR="00E3082E">
        <w:rPr>
          <w:sz w:val="22"/>
          <w:szCs w:val="22"/>
        </w:rPr>
        <w:t xml:space="preserve"> / methodology</w:t>
      </w:r>
      <w:r w:rsidRPr="00C7783D">
        <w:rPr>
          <w:sz w:val="22"/>
          <w:szCs w:val="22"/>
        </w:rPr>
        <w:t xml:space="preserve"> and how it meets the specification </w:t>
      </w:r>
      <w:r w:rsidR="00226B93">
        <w:rPr>
          <w:sz w:val="22"/>
          <w:szCs w:val="22"/>
        </w:rPr>
        <w:t xml:space="preserve">set out in this </w:t>
      </w:r>
      <w:proofErr w:type="gramStart"/>
      <w:r w:rsidR="00226B93">
        <w:rPr>
          <w:sz w:val="22"/>
          <w:szCs w:val="22"/>
        </w:rPr>
        <w:t>ITT</w:t>
      </w:r>
      <w:proofErr w:type="gramEnd"/>
    </w:p>
    <w:p w14:paraId="563744E7" w14:textId="77777777" w:rsidR="00C7783D" w:rsidRPr="00C7783D" w:rsidRDefault="00C7783D" w:rsidP="00474FEE">
      <w:pPr>
        <w:numPr>
          <w:ilvl w:val="0"/>
          <w:numId w:val="6"/>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474FEE">
      <w:pPr>
        <w:numPr>
          <w:ilvl w:val="0"/>
          <w:numId w:val="6"/>
        </w:numPr>
        <w:tabs>
          <w:tab w:val="left" w:pos="1320"/>
        </w:tabs>
        <w:rPr>
          <w:sz w:val="22"/>
          <w:szCs w:val="22"/>
        </w:rPr>
      </w:pPr>
      <w:r w:rsidRPr="00C7783D">
        <w:rPr>
          <w:sz w:val="22"/>
          <w:szCs w:val="22"/>
        </w:rPr>
        <w:t xml:space="preserve">References </w:t>
      </w:r>
    </w:p>
    <w:p w14:paraId="2ABF9B9A" w14:textId="3684249E" w:rsidR="00A85741" w:rsidRPr="008A2AC2" w:rsidRDefault="00C7783D" w:rsidP="00474FEE">
      <w:pPr>
        <w:numPr>
          <w:ilvl w:val="0"/>
          <w:numId w:val="6"/>
        </w:numPr>
        <w:tabs>
          <w:tab w:val="left" w:pos="1320"/>
        </w:tabs>
        <w:rPr>
          <w:sz w:val="22"/>
          <w:szCs w:val="22"/>
        </w:rPr>
      </w:pPr>
      <w:r w:rsidRPr="00C7783D">
        <w:rPr>
          <w:sz w:val="22"/>
          <w:szCs w:val="22"/>
        </w:rPr>
        <w:lastRenderedPageBreak/>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226B93" w:rsidRDefault="00C7783D" w:rsidP="008A2AC2">
      <w:pPr>
        <w:pStyle w:val="Heading3"/>
        <w:rPr>
          <w:u w:val="single"/>
        </w:rPr>
      </w:pPr>
      <w:r w:rsidRPr="00226B93">
        <w:rPr>
          <w:u w:val="single"/>
        </w:rPr>
        <w:t xml:space="preserve">Organisational profile: </w:t>
      </w:r>
    </w:p>
    <w:p w14:paraId="45A824C4" w14:textId="77777777" w:rsidR="00C7783D" w:rsidRPr="00C7783D" w:rsidRDefault="00C7783D" w:rsidP="00474FEE">
      <w:pPr>
        <w:numPr>
          <w:ilvl w:val="0"/>
          <w:numId w:val="2"/>
        </w:numPr>
        <w:tabs>
          <w:tab w:val="left" w:pos="1320"/>
        </w:tabs>
        <w:ind w:left="709"/>
        <w:rPr>
          <w:sz w:val="22"/>
          <w:szCs w:val="22"/>
        </w:rPr>
      </w:pPr>
      <w:r w:rsidRPr="00C7783D">
        <w:rPr>
          <w:sz w:val="22"/>
          <w:szCs w:val="22"/>
        </w:rPr>
        <w:t xml:space="preserve">Company profile, including brief history and financial </w:t>
      </w:r>
      <w:proofErr w:type="gramStart"/>
      <w:r w:rsidRPr="00C7783D">
        <w:rPr>
          <w:sz w:val="22"/>
          <w:szCs w:val="22"/>
        </w:rPr>
        <w:t>overview</w:t>
      </w:r>
      <w:proofErr w:type="gramEnd"/>
    </w:p>
    <w:p w14:paraId="5E975B21" w14:textId="77777777" w:rsidR="00C7783D" w:rsidRPr="00C7783D" w:rsidRDefault="00C7783D" w:rsidP="00474FEE">
      <w:pPr>
        <w:numPr>
          <w:ilvl w:val="0"/>
          <w:numId w:val="2"/>
        </w:numPr>
        <w:tabs>
          <w:tab w:val="left" w:pos="1320"/>
        </w:tabs>
        <w:ind w:left="709"/>
        <w:rPr>
          <w:sz w:val="22"/>
          <w:szCs w:val="22"/>
        </w:rPr>
      </w:pPr>
      <w:r w:rsidRPr="00C7783D">
        <w:rPr>
          <w:sz w:val="22"/>
          <w:szCs w:val="22"/>
        </w:rPr>
        <w:t xml:space="preserve">Case studies/credentials demonstrating relevant experience and skills </w:t>
      </w:r>
      <w:proofErr w:type="gramStart"/>
      <w:r w:rsidRPr="00C7783D">
        <w:rPr>
          <w:sz w:val="22"/>
          <w:szCs w:val="22"/>
        </w:rPr>
        <w:t>profile</w:t>
      </w:r>
      <w:proofErr w:type="gramEnd"/>
      <w:r w:rsidRPr="00C7783D">
        <w:rPr>
          <w:sz w:val="22"/>
          <w:szCs w:val="22"/>
        </w:rPr>
        <w:t xml:space="preserve"> </w:t>
      </w:r>
    </w:p>
    <w:p w14:paraId="6F8FD85A" w14:textId="77777777" w:rsidR="00C7783D" w:rsidRPr="00C7783D" w:rsidRDefault="00C7783D" w:rsidP="00474FEE">
      <w:pPr>
        <w:numPr>
          <w:ilvl w:val="0"/>
          <w:numId w:val="2"/>
        </w:numPr>
        <w:tabs>
          <w:tab w:val="left" w:pos="1320"/>
        </w:tabs>
        <w:ind w:left="709"/>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226B93" w:rsidRDefault="00C7783D" w:rsidP="008A2AC2">
      <w:pPr>
        <w:pStyle w:val="Heading3"/>
        <w:rPr>
          <w:u w:val="single"/>
        </w:rPr>
      </w:pPr>
      <w:r w:rsidRPr="00226B93">
        <w:rPr>
          <w:u w:val="single"/>
        </w:rPr>
        <w:t xml:space="preserve">Proposed solution: </w:t>
      </w:r>
    </w:p>
    <w:p w14:paraId="46DAAAFF" w14:textId="77777777" w:rsidR="00C7783D" w:rsidRPr="00C7783D" w:rsidRDefault="00C7783D" w:rsidP="00474FEE">
      <w:pPr>
        <w:numPr>
          <w:ilvl w:val="0"/>
          <w:numId w:val="3"/>
        </w:numPr>
        <w:tabs>
          <w:tab w:val="left" w:pos="1320"/>
        </w:tabs>
        <w:ind w:left="709"/>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474FEE">
      <w:pPr>
        <w:numPr>
          <w:ilvl w:val="0"/>
          <w:numId w:val="3"/>
        </w:numPr>
        <w:tabs>
          <w:tab w:val="left" w:pos="1320"/>
        </w:tabs>
        <w:ind w:left="709"/>
        <w:rPr>
          <w:sz w:val="22"/>
          <w:szCs w:val="22"/>
        </w:rPr>
      </w:pPr>
      <w:r w:rsidRPr="00C7783D">
        <w:rPr>
          <w:sz w:val="22"/>
          <w:szCs w:val="22"/>
        </w:rPr>
        <w:t xml:space="preserve">Detailed project plan,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226B93" w:rsidRDefault="00C7783D" w:rsidP="008A2AC2">
      <w:pPr>
        <w:pStyle w:val="Heading3"/>
        <w:rPr>
          <w:u w:val="single"/>
        </w:rPr>
      </w:pPr>
      <w:r w:rsidRPr="00226B93">
        <w:rPr>
          <w:u w:val="single"/>
        </w:rPr>
        <w:t xml:space="preserve">Financial proposal: </w:t>
      </w:r>
    </w:p>
    <w:p w14:paraId="3F10096C" w14:textId="28F49374" w:rsidR="00C7783D" w:rsidRPr="00C7783D" w:rsidRDefault="00C7783D" w:rsidP="00474FEE">
      <w:pPr>
        <w:numPr>
          <w:ilvl w:val="0"/>
          <w:numId w:val="4"/>
        </w:numPr>
        <w:tabs>
          <w:tab w:val="left" w:pos="1320"/>
        </w:tabs>
        <w:ind w:left="709"/>
        <w:rPr>
          <w:sz w:val="22"/>
          <w:szCs w:val="22"/>
        </w:rPr>
      </w:pPr>
      <w:r w:rsidRPr="00C7783D">
        <w:rPr>
          <w:sz w:val="22"/>
          <w:szCs w:val="22"/>
        </w:rPr>
        <w:t xml:space="preserve">Full breakdown costings for the proposed solution in </w:t>
      </w:r>
      <w:r w:rsidRPr="002244F6">
        <w:rPr>
          <w:sz w:val="22"/>
          <w:szCs w:val="22"/>
        </w:rPr>
        <w:t>sterling</w:t>
      </w:r>
    </w:p>
    <w:p w14:paraId="65465CC2" w14:textId="77777777" w:rsidR="00C7783D" w:rsidRPr="00C7783D" w:rsidRDefault="00C7783D" w:rsidP="00474FEE">
      <w:pPr>
        <w:numPr>
          <w:ilvl w:val="0"/>
          <w:numId w:val="4"/>
        </w:numPr>
        <w:tabs>
          <w:tab w:val="left" w:pos="1320"/>
        </w:tabs>
        <w:ind w:left="709"/>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474FEE">
      <w:pPr>
        <w:numPr>
          <w:ilvl w:val="0"/>
          <w:numId w:val="4"/>
        </w:numPr>
        <w:tabs>
          <w:tab w:val="left" w:pos="1320"/>
        </w:tabs>
        <w:ind w:left="709"/>
        <w:rPr>
          <w:sz w:val="22"/>
          <w:szCs w:val="22"/>
        </w:rPr>
      </w:pPr>
      <w:r w:rsidRPr="00C7783D">
        <w:rPr>
          <w:sz w:val="22"/>
          <w:szCs w:val="22"/>
        </w:rPr>
        <w:t xml:space="preserve">Detailing of any discount applied in view of WFD’s not-for-profit status. </w:t>
      </w:r>
    </w:p>
    <w:p w14:paraId="4EC1F35C" w14:textId="65CD36C6" w:rsidR="00C7783D" w:rsidRPr="00226B93" w:rsidRDefault="00C7783D" w:rsidP="008A2AC2">
      <w:pPr>
        <w:pStyle w:val="Heading3"/>
        <w:rPr>
          <w:u w:val="single"/>
        </w:rPr>
      </w:pPr>
      <w:r w:rsidRPr="00226B93">
        <w:rPr>
          <w:u w:val="single"/>
        </w:rPr>
        <w:t>References:</w:t>
      </w:r>
    </w:p>
    <w:p w14:paraId="35034857" w14:textId="1B92EF2C" w:rsidR="00A85741" w:rsidRPr="008A2AC2" w:rsidRDefault="00C7783D" w:rsidP="00474FEE">
      <w:pPr>
        <w:numPr>
          <w:ilvl w:val="0"/>
          <w:numId w:val="5"/>
        </w:numPr>
        <w:tabs>
          <w:tab w:val="left" w:pos="1320"/>
        </w:tabs>
        <w:ind w:left="709"/>
        <w:rPr>
          <w:sz w:val="22"/>
          <w:szCs w:val="22"/>
        </w:rPr>
      </w:pPr>
      <w:r w:rsidRPr="00C7783D">
        <w:rPr>
          <w:sz w:val="22"/>
          <w:szCs w:val="22"/>
        </w:rPr>
        <w:t xml:space="preserve">The bid should include details of two references relating to similar goods/services provided in the last </w:t>
      </w:r>
      <w:r w:rsidR="00226B93">
        <w:rPr>
          <w:sz w:val="22"/>
          <w:szCs w:val="22"/>
        </w:rPr>
        <w:t>five</w:t>
      </w:r>
      <w:r w:rsidRPr="00C7783D">
        <w:rPr>
          <w:sz w:val="22"/>
          <w:szCs w:val="22"/>
        </w:rPr>
        <w:t xml:space="preserve"> years. Please note – referees will only be contacted once Preferred Bidder status is assigned.</w:t>
      </w:r>
    </w:p>
    <w:p w14:paraId="3F289588" w14:textId="60C4D712" w:rsidR="00C7783D" w:rsidRPr="00226B93" w:rsidRDefault="00C7783D" w:rsidP="008A2AC2">
      <w:pPr>
        <w:pStyle w:val="Heading3"/>
        <w:rPr>
          <w:u w:val="single"/>
        </w:rPr>
      </w:pPr>
      <w:r w:rsidRPr="00226B93">
        <w:rPr>
          <w:u w:val="single"/>
        </w:rPr>
        <w:t xml:space="preserve">Confirmation of acceptance of </w:t>
      </w:r>
      <w:r w:rsidR="00CE5BEC" w:rsidRPr="00226B93">
        <w:rPr>
          <w:u w:val="single"/>
        </w:rPr>
        <w:t xml:space="preserve">General Terms and </w:t>
      </w:r>
      <w:r w:rsidRPr="00226B93">
        <w:rPr>
          <w:u w:val="single"/>
        </w:rPr>
        <w:t xml:space="preserve">Conditions of Tendering: </w:t>
      </w:r>
    </w:p>
    <w:p w14:paraId="6A15EC29" w14:textId="5E40B1E2" w:rsidR="00CE5BEC" w:rsidRPr="008A2AC2" w:rsidRDefault="00C7783D" w:rsidP="00474FEE">
      <w:pPr>
        <w:numPr>
          <w:ilvl w:val="0"/>
          <w:numId w:val="5"/>
        </w:numPr>
        <w:tabs>
          <w:tab w:val="left" w:pos="1320"/>
        </w:tabs>
        <w:ind w:left="709"/>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226B93" w:rsidRDefault="00C7783D" w:rsidP="00C7783D">
      <w:pPr>
        <w:tabs>
          <w:tab w:val="left" w:pos="1320"/>
        </w:tabs>
        <w:rPr>
          <w:sz w:val="22"/>
          <w:szCs w:val="22"/>
          <w:u w:val="single"/>
        </w:rPr>
      </w:pPr>
      <w:r w:rsidRPr="00226B93">
        <w:rPr>
          <w:sz w:val="22"/>
          <w:szCs w:val="22"/>
          <w:u w:val="single"/>
        </w:rPr>
        <w:t xml:space="preserve">All bidders should also note the following: </w:t>
      </w:r>
    </w:p>
    <w:p w14:paraId="6904A31B" w14:textId="77777777" w:rsidR="00C7783D" w:rsidRPr="00C7783D" w:rsidRDefault="00C7783D" w:rsidP="00474FEE">
      <w:pPr>
        <w:numPr>
          <w:ilvl w:val="0"/>
          <w:numId w:val="5"/>
        </w:numPr>
        <w:tabs>
          <w:tab w:val="left" w:pos="1320"/>
        </w:tabs>
        <w:ind w:left="709"/>
        <w:rPr>
          <w:sz w:val="22"/>
          <w:szCs w:val="22"/>
        </w:rPr>
      </w:pPr>
      <w:r w:rsidRPr="00C7783D">
        <w:rPr>
          <w:sz w:val="22"/>
          <w:szCs w:val="22"/>
        </w:rPr>
        <w:t xml:space="preserve">all bids should be submitted in English; </w:t>
      </w:r>
    </w:p>
    <w:p w14:paraId="71F22004" w14:textId="4830B52F" w:rsidR="00C7783D" w:rsidRPr="00C7783D" w:rsidRDefault="00C7783D" w:rsidP="00474FEE">
      <w:pPr>
        <w:numPr>
          <w:ilvl w:val="0"/>
          <w:numId w:val="5"/>
        </w:numPr>
        <w:tabs>
          <w:tab w:val="left" w:pos="1320"/>
        </w:tabs>
        <w:ind w:left="709"/>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474FEE">
      <w:pPr>
        <w:numPr>
          <w:ilvl w:val="0"/>
          <w:numId w:val="5"/>
        </w:numPr>
        <w:tabs>
          <w:tab w:val="left" w:pos="1320"/>
        </w:tabs>
        <w:ind w:left="709"/>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474FEE">
      <w:pPr>
        <w:numPr>
          <w:ilvl w:val="0"/>
          <w:numId w:val="5"/>
        </w:numPr>
        <w:tabs>
          <w:tab w:val="left" w:pos="1320"/>
        </w:tabs>
        <w:ind w:left="709"/>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474FEE">
      <w:pPr>
        <w:numPr>
          <w:ilvl w:val="0"/>
          <w:numId w:val="5"/>
        </w:numPr>
        <w:tabs>
          <w:tab w:val="left" w:pos="1320"/>
        </w:tabs>
        <w:ind w:left="709"/>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474FEE">
      <w:pPr>
        <w:numPr>
          <w:ilvl w:val="0"/>
          <w:numId w:val="5"/>
        </w:numPr>
        <w:tabs>
          <w:tab w:val="left" w:pos="1320"/>
        </w:tabs>
        <w:ind w:left="709"/>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Default="00041EC1" w:rsidP="00041EC1">
      <w:pPr>
        <w:pStyle w:val="Heading2"/>
      </w:pPr>
      <w:r>
        <w:t>Evaluation criteria</w:t>
      </w:r>
    </w:p>
    <w:p w14:paraId="07CB58A8" w14:textId="77777777" w:rsidR="00457261" w:rsidRDefault="00457261" w:rsidP="00457261"/>
    <w:p w14:paraId="55BED444" w14:textId="6C14907B" w:rsidR="00B44495" w:rsidRPr="00F7655C" w:rsidRDefault="00A60B5D" w:rsidP="00F7655C">
      <w:pPr>
        <w:rPr>
          <w:sz w:val="22"/>
          <w:szCs w:val="22"/>
        </w:rPr>
      </w:pPr>
      <w:r>
        <w:lastRenderedPageBreak/>
        <w:t>WFD does not provide a mathematical formula by which bids will be weighted evaluated, but the procurement committee will usually consider the following criteria, among others in the evaluation of all responses:  </w:t>
      </w:r>
      <w:r w:rsidR="00B44495" w:rsidRPr="00F7655C">
        <w:rPr>
          <w:sz w:val="22"/>
          <w:szCs w:val="22"/>
        </w:rPr>
        <w:t xml:space="preserve">Quality of bid </w:t>
      </w:r>
      <w:proofErr w:type="gramStart"/>
      <w:r w:rsidR="00B44495" w:rsidRPr="00F7655C">
        <w:rPr>
          <w:sz w:val="22"/>
          <w:szCs w:val="22"/>
        </w:rPr>
        <w:t>document</w:t>
      </w:r>
      <w:proofErr w:type="gramEnd"/>
      <w:r w:rsidR="00B44495" w:rsidRPr="00F7655C">
        <w:rPr>
          <w:sz w:val="22"/>
          <w:szCs w:val="22"/>
        </w:rPr>
        <w:t xml:space="preserve"> </w:t>
      </w:r>
    </w:p>
    <w:p w14:paraId="5B45204E" w14:textId="1E82864C" w:rsidR="00624758" w:rsidRPr="005D792C" w:rsidRDefault="00B44495" w:rsidP="00474FEE">
      <w:pPr>
        <w:numPr>
          <w:ilvl w:val="0"/>
          <w:numId w:val="5"/>
        </w:numPr>
        <w:tabs>
          <w:tab w:val="left" w:pos="1320"/>
        </w:tabs>
        <w:ind w:left="709"/>
        <w:rPr>
          <w:sz w:val="22"/>
          <w:szCs w:val="22"/>
        </w:rPr>
      </w:pPr>
      <w:r w:rsidRPr="005D792C">
        <w:rPr>
          <w:sz w:val="22"/>
          <w:szCs w:val="22"/>
        </w:rPr>
        <w:t xml:space="preserve">Service offer and </w:t>
      </w:r>
      <w:r w:rsidR="00361B5E" w:rsidRPr="005D792C">
        <w:rPr>
          <w:sz w:val="22"/>
          <w:szCs w:val="22"/>
        </w:rPr>
        <w:t>s</w:t>
      </w:r>
      <w:r w:rsidR="00624758" w:rsidRPr="005D792C">
        <w:rPr>
          <w:sz w:val="22"/>
          <w:szCs w:val="22"/>
        </w:rPr>
        <w:t xml:space="preserve">olution fit </w:t>
      </w:r>
      <w:r w:rsidR="00361B5E" w:rsidRPr="005D792C">
        <w:rPr>
          <w:sz w:val="22"/>
          <w:szCs w:val="22"/>
        </w:rPr>
        <w:t xml:space="preserve">to </w:t>
      </w:r>
      <w:proofErr w:type="gramStart"/>
      <w:r w:rsidR="00361B5E" w:rsidRPr="005D792C">
        <w:rPr>
          <w:sz w:val="22"/>
          <w:szCs w:val="22"/>
        </w:rPr>
        <w:t>specification</w:t>
      </w:r>
      <w:proofErr w:type="gramEnd"/>
      <w:r w:rsidR="00361B5E" w:rsidRPr="005D792C">
        <w:rPr>
          <w:sz w:val="22"/>
          <w:szCs w:val="22"/>
        </w:rPr>
        <w:t xml:space="preserve"> </w:t>
      </w:r>
    </w:p>
    <w:p w14:paraId="05F52DC6" w14:textId="77777777" w:rsidR="00624758" w:rsidRPr="005D792C" w:rsidRDefault="00624758" w:rsidP="00474FEE">
      <w:pPr>
        <w:numPr>
          <w:ilvl w:val="0"/>
          <w:numId w:val="5"/>
        </w:numPr>
        <w:tabs>
          <w:tab w:val="left" w:pos="1320"/>
        </w:tabs>
        <w:ind w:left="709"/>
        <w:rPr>
          <w:sz w:val="22"/>
          <w:szCs w:val="22"/>
        </w:rPr>
      </w:pPr>
      <w:r w:rsidRPr="005D792C">
        <w:rPr>
          <w:sz w:val="22"/>
          <w:szCs w:val="22"/>
        </w:rPr>
        <w:t xml:space="preserve">Quality, capacity, and track-record of bidders based on </w:t>
      </w:r>
      <w:proofErr w:type="gramStart"/>
      <w:r w:rsidRPr="005D792C">
        <w:rPr>
          <w:sz w:val="22"/>
          <w:szCs w:val="22"/>
        </w:rPr>
        <w:t>references</w:t>
      </w:r>
      <w:proofErr w:type="gramEnd"/>
    </w:p>
    <w:p w14:paraId="29E9CBD0" w14:textId="2D3A358A" w:rsidR="00624758" w:rsidRPr="005D792C" w:rsidRDefault="00361B5E" w:rsidP="00474FEE">
      <w:pPr>
        <w:numPr>
          <w:ilvl w:val="0"/>
          <w:numId w:val="5"/>
        </w:numPr>
        <w:tabs>
          <w:tab w:val="left" w:pos="1320"/>
        </w:tabs>
        <w:ind w:left="709"/>
        <w:rPr>
          <w:sz w:val="22"/>
          <w:szCs w:val="22"/>
        </w:rPr>
      </w:pPr>
      <w:r w:rsidRPr="005D792C">
        <w:rPr>
          <w:sz w:val="22"/>
          <w:szCs w:val="22"/>
        </w:rPr>
        <w:t>Value for money and p</w:t>
      </w:r>
      <w:r w:rsidR="00624758" w:rsidRPr="005D792C">
        <w:rPr>
          <w:sz w:val="22"/>
          <w:szCs w:val="22"/>
        </w:rPr>
        <w:t>ricing factors</w:t>
      </w:r>
    </w:p>
    <w:p w14:paraId="093CBDF6" w14:textId="61FF1AB8" w:rsidR="00624758" w:rsidRPr="005D792C" w:rsidRDefault="00361B5E" w:rsidP="00474FEE">
      <w:pPr>
        <w:numPr>
          <w:ilvl w:val="0"/>
          <w:numId w:val="5"/>
        </w:numPr>
        <w:tabs>
          <w:tab w:val="left" w:pos="1320"/>
        </w:tabs>
        <w:ind w:left="709"/>
        <w:rPr>
          <w:sz w:val="22"/>
          <w:szCs w:val="22"/>
        </w:rPr>
      </w:pPr>
      <w:r w:rsidRPr="005D792C">
        <w:rPr>
          <w:sz w:val="22"/>
          <w:szCs w:val="22"/>
        </w:rPr>
        <w:t>Professional profile, track record, and references</w:t>
      </w:r>
    </w:p>
    <w:p w14:paraId="7A504035" w14:textId="186A0283" w:rsidR="00624758" w:rsidRPr="00624758" w:rsidRDefault="00361B5E" w:rsidP="00474FEE">
      <w:pPr>
        <w:numPr>
          <w:ilvl w:val="0"/>
          <w:numId w:val="5"/>
        </w:numPr>
        <w:tabs>
          <w:tab w:val="left" w:pos="1320"/>
        </w:tabs>
        <w:ind w:left="709"/>
        <w:rPr>
          <w:sz w:val="22"/>
          <w:szCs w:val="22"/>
        </w:rPr>
      </w:pPr>
      <w:r w:rsidRPr="005D792C">
        <w:rPr>
          <w:sz w:val="22"/>
          <w:szCs w:val="22"/>
        </w:rPr>
        <w:t xml:space="preserve">Relevant experience, including case </w:t>
      </w:r>
      <w:proofErr w:type="gramStart"/>
      <w:r w:rsidRPr="005D792C">
        <w:rPr>
          <w:sz w:val="22"/>
          <w:szCs w:val="22"/>
        </w:rPr>
        <w:t>studies</w:t>
      </w:r>
      <w:proofErr w:type="gramEnd"/>
    </w:p>
    <w:p w14:paraId="71C1664B" w14:textId="30B4799B" w:rsidR="00361B5E" w:rsidRDefault="00361B5E" w:rsidP="00624758">
      <w:pPr>
        <w:tabs>
          <w:tab w:val="left" w:pos="1320"/>
        </w:tabs>
        <w:rPr>
          <w:i/>
          <w:sz w:val="22"/>
          <w:szCs w:val="22"/>
        </w:rPr>
      </w:pPr>
    </w:p>
    <w:p w14:paraId="170F9840" w14:textId="4E99F581"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w:t>
            </w:r>
            <w:proofErr w:type="gramStart"/>
            <w:r w:rsidRPr="00624758">
              <w:rPr>
                <w:sz w:val="22"/>
                <w:szCs w:val="22"/>
              </w:rPr>
              <w:t>all of</w:t>
            </w:r>
            <w:proofErr w:type="gramEnd"/>
            <w:r w:rsidRPr="00624758">
              <w:rPr>
                <w:sz w:val="22"/>
                <w:szCs w:val="22"/>
              </w:rPr>
              <w:t xml:space="preserve">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5" w:name="_Toc356642502"/>
      <w:bookmarkStart w:id="6" w:name="_Toc409168489"/>
      <w:bookmarkStart w:id="7" w:name="_Toc454448743"/>
      <w:bookmarkStart w:id="8" w:name="_Toc534203565"/>
      <w:r w:rsidRPr="00C40058">
        <w:t>Tender Queries</w:t>
      </w:r>
      <w:bookmarkEnd w:id="5"/>
      <w:bookmarkEnd w:id="6"/>
      <w:bookmarkEnd w:id="7"/>
      <w:bookmarkEnd w:id="8"/>
    </w:p>
    <w:p w14:paraId="26EB5C3A" w14:textId="5A25782B" w:rsidR="00367963" w:rsidRPr="00361C69" w:rsidRDefault="00367963" w:rsidP="00367963">
      <w:pPr>
        <w:tabs>
          <w:tab w:val="left" w:pos="1134"/>
        </w:tabs>
        <w:rPr>
          <w:noProof/>
          <w:sz w:val="22"/>
          <w:lang w:eastAsia="en-GB"/>
        </w:rPr>
      </w:pPr>
      <w:r w:rsidRPr="00361C69">
        <w:rPr>
          <w:noProof/>
          <w:sz w:val="22"/>
          <w:lang w:eastAsia="en-GB"/>
        </w:rPr>
        <w:t xml:space="preserve">Any questions related to this tender should be addressed to </w:t>
      </w:r>
      <w:bookmarkStart w:id="9" w:name="_Toc356642503"/>
      <w:bookmarkStart w:id="10" w:name="_Toc409168490"/>
      <w:bookmarkStart w:id="11" w:name="_Toc454448744"/>
      <w:r w:rsidR="00D91D78">
        <w:rPr>
          <w:noProof/>
          <w:sz w:val="22"/>
          <w:lang w:eastAsia="en-GB"/>
        </w:rPr>
        <w:t xml:space="preserve">Ketevan </w:t>
      </w:r>
      <w:r w:rsidR="00226B93">
        <w:rPr>
          <w:noProof/>
          <w:sz w:val="22"/>
          <w:lang w:eastAsia="en-GB"/>
        </w:rPr>
        <w:t>Chaduneli</w:t>
      </w:r>
      <w:r w:rsidR="00D91D78">
        <w:rPr>
          <w:noProof/>
          <w:sz w:val="22"/>
          <w:lang w:eastAsia="en-GB"/>
        </w:rPr>
        <w:t xml:space="preserve"> at </w:t>
      </w:r>
      <w:hyperlink r:id="rId14" w:history="1">
        <w:r w:rsidR="001D0D8B" w:rsidRPr="004B2B4E">
          <w:rPr>
            <w:rStyle w:val="Hyperlink"/>
            <w:noProof/>
            <w:sz w:val="22"/>
            <w:lang w:eastAsia="en-GB"/>
          </w:rPr>
          <w:t>Ketevan.Chaduneli@wfd.org</w:t>
        </w:r>
      </w:hyperlink>
      <w:r w:rsidR="00D91D78">
        <w:rPr>
          <w:noProof/>
          <w:sz w:val="22"/>
          <w:lang w:eastAsia="en-GB"/>
        </w:rPr>
        <w:t xml:space="preserve"> </w:t>
      </w:r>
    </w:p>
    <w:p w14:paraId="2A9A4E2E" w14:textId="0CDF0490" w:rsidR="00367963" w:rsidRPr="00367963" w:rsidRDefault="00367963" w:rsidP="00367963">
      <w:pPr>
        <w:pStyle w:val="Heading2"/>
      </w:pPr>
      <w:r w:rsidRPr="00367963">
        <w:t>Equal Information</w:t>
      </w:r>
      <w:bookmarkEnd w:id="9"/>
      <w:bookmarkEnd w:id="10"/>
      <w:bookmarkEnd w:id="11"/>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12" w:name="_Toc356642504"/>
      <w:bookmarkStart w:id="13" w:name="_Toc409168491"/>
      <w:bookmarkStart w:id="14" w:name="_Toc454448745"/>
      <w:bookmarkStart w:id="15" w:name="_Toc534203566"/>
      <w:r w:rsidRPr="00C40058">
        <w:t>Annual reports</w:t>
      </w:r>
      <w:bookmarkEnd w:id="12"/>
      <w:bookmarkEnd w:id="13"/>
      <w:bookmarkEnd w:id="14"/>
      <w:bookmarkEnd w:id="15"/>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6" w:name="_Toc356642507"/>
      <w:bookmarkStart w:id="17" w:name="_Toc409168494"/>
      <w:bookmarkStart w:id="18" w:name="_Toc454448748"/>
    </w:p>
    <w:p w14:paraId="7B43EA34" w14:textId="041E635E" w:rsidR="00367963" w:rsidRPr="00367963" w:rsidRDefault="00367963" w:rsidP="00367963">
      <w:pPr>
        <w:pStyle w:val="Heading2"/>
      </w:pPr>
      <w:r w:rsidRPr="00367963">
        <w:t>Other information</w:t>
      </w:r>
      <w:bookmarkEnd w:id="16"/>
      <w:bookmarkEnd w:id="17"/>
      <w:bookmarkEnd w:id="18"/>
    </w:p>
    <w:p w14:paraId="777CCBD1" w14:textId="77777777" w:rsidR="00367963" w:rsidRPr="00C40058" w:rsidRDefault="00367963" w:rsidP="00367963">
      <w:pPr>
        <w:tabs>
          <w:tab w:val="left" w:pos="1134"/>
        </w:tabs>
        <w:rPr>
          <w:sz w:val="22"/>
          <w:lang w:eastAsia="en-GB"/>
        </w:rPr>
      </w:pPr>
      <w:r w:rsidRPr="00C40058">
        <w:rPr>
          <w:sz w:val="22"/>
          <w:lang w:eastAsia="en-GB"/>
        </w:rPr>
        <w:lastRenderedPageBreak/>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37CC" w14:textId="77777777" w:rsidR="006D5D29" w:rsidRDefault="006D5D29" w:rsidP="00944B8E">
      <w:r>
        <w:separator/>
      </w:r>
    </w:p>
  </w:endnote>
  <w:endnote w:type="continuationSeparator" w:id="0">
    <w:p w14:paraId="00DD891F" w14:textId="77777777" w:rsidR="006D5D29" w:rsidRDefault="006D5D29" w:rsidP="00944B8E">
      <w:r>
        <w:continuationSeparator/>
      </w:r>
    </w:p>
  </w:endnote>
  <w:endnote w:type="continuationNotice" w:id="1">
    <w:p w14:paraId="75E97559" w14:textId="77777777" w:rsidR="006D5D29" w:rsidRDefault="006D5D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752C" w14:textId="77777777" w:rsidR="006D5D29" w:rsidRDefault="006D5D29" w:rsidP="00944B8E">
      <w:r>
        <w:separator/>
      </w:r>
    </w:p>
  </w:footnote>
  <w:footnote w:type="continuationSeparator" w:id="0">
    <w:p w14:paraId="04C229E8" w14:textId="77777777" w:rsidR="006D5D29" w:rsidRDefault="006D5D29" w:rsidP="00944B8E">
      <w:r>
        <w:continuationSeparator/>
      </w:r>
    </w:p>
  </w:footnote>
  <w:footnote w:type="continuationNotice" w:id="1">
    <w:p w14:paraId="353ED3D4" w14:textId="77777777" w:rsidR="006D5D29" w:rsidRDefault="006D5D2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B10FA4"/>
    <w:multiLevelType w:val="hybridMultilevel"/>
    <w:tmpl w:val="8CF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28"/>
    <w:multiLevelType w:val="hybridMultilevel"/>
    <w:tmpl w:val="199C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D15AB"/>
    <w:multiLevelType w:val="hybridMultilevel"/>
    <w:tmpl w:val="1F96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249BC"/>
    <w:multiLevelType w:val="hybridMultilevel"/>
    <w:tmpl w:val="3D681F9A"/>
    <w:lvl w:ilvl="0" w:tplc="A4141DEE">
      <w:start w:val="1"/>
      <w:numFmt w:val="decimal"/>
      <w:lvlText w:val="Task %1."/>
      <w:lvlJc w:val="left"/>
      <w:pPr>
        <w:ind w:left="1287"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E43D98"/>
    <w:multiLevelType w:val="hybridMultilevel"/>
    <w:tmpl w:val="41C0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A0F71"/>
    <w:multiLevelType w:val="hybridMultilevel"/>
    <w:tmpl w:val="06868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84866150">
    <w:abstractNumId w:val="9"/>
  </w:num>
  <w:num w:numId="2" w16cid:durableId="1229532860">
    <w:abstractNumId w:val="0"/>
  </w:num>
  <w:num w:numId="3" w16cid:durableId="662657797">
    <w:abstractNumId w:val="2"/>
  </w:num>
  <w:num w:numId="4" w16cid:durableId="1209800525">
    <w:abstractNumId w:val="8"/>
  </w:num>
  <w:num w:numId="5" w16cid:durableId="495531817">
    <w:abstractNumId w:val="3"/>
  </w:num>
  <w:num w:numId="6" w16cid:durableId="1378122724">
    <w:abstractNumId w:val="1"/>
  </w:num>
  <w:num w:numId="7" w16cid:durableId="2081975800">
    <w:abstractNumId w:val="11"/>
  </w:num>
  <w:num w:numId="8" w16cid:durableId="672420855">
    <w:abstractNumId w:val="10"/>
  </w:num>
  <w:num w:numId="9" w16cid:durableId="1222520916">
    <w:abstractNumId w:val="5"/>
  </w:num>
  <w:num w:numId="10" w16cid:durableId="863445611">
    <w:abstractNumId w:val="6"/>
  </w:num>
  <w:num w:numId="11" w16cid:durableId="873425342">
    <w:abstractNumId w:val="7"/>
  </w:num>
  <w:num w:numId="12" w16cid:durableId="166346309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3737"/>
    <w:rsid w:val="00025824"/>
    <w:rsid w:val="00030000"/>
    <w:rsid w:val="000344E2"/>
    <w:rsid w:val="000353F6"/>
    <w:rsid w:val="00041EC1"/>
    <w:rsid w:val="00043E45"/>
    <w:rsid w:val="000566A4"/>
    <w:rsid w:val="000605DC"/>
    <w:rsid w:val="00064ABC"/>
    <w:rsid w:val="000711A1"/>
    <w:rsid w:val="00075014"/>
    <w:rsid w:val="00075FA5"/>
    <w:rsid w:val="00077213"/>
    <w:rsid w:val="000806DF"/>
    <w:rsid w:val="00082367"/>
    <w:rsid w:val="00092B1C"/>
    <w:rsid w:val="000965B8"/>
    <w:rsid w:val="0009789E"/>
    <w:rsid w:val="000A649C"/>
    <w:rsid w:val="000B0486"/>
    <w:rsid w:val="000B5999"/>
    <w:rsid w:val="000B6F99"/>
    <w:rsid w:val="000D1099"/>
    <w:rsid w:val="000D192F"/>
    <w:rsid w:val="000D6521"/>
    <w:rsid w:val="000E5154"/>
    <w:rsid w:val="000F0D07"/>
    <w:rsid w:val="000F2189"/>
    <w:rsid w:val="0010357A"/>
    <w:rsid w:val="00111C75"/>
    <w:rsid w:val="00116DB2"/>
    <w:rsid w:val="0012354B"/>
    <w:rsid w:val="00127BE0"/>
    <w:rsid w:val="0013123A"/>
    <w:rsid w:val="001330C3"/>
    <w:rsid w:val="001331A7"/>
    <w:rsid w:val="00134BCE"/>
    <w:rsid w:val="00157BE6"/>
    <w:rsid w:val="0016463C"/>
    <w:rsid w:val="00165556"/>
    <w:rsid w:val="00170A45"/>
    <w:rsid w:val="0018052D"/>
    <w:rsid w:val="00185A8B"/>
    <w:rsid w:val="0019389F"/>
    <w:rsid w:val="001A4440"/>
    <w:rsid w:val="001A570E"/>
    <w:rsid w:val="001B2B80"/>
    <w:rsid w:val="001B2CC4"/>
    <w:rsid w:val="001C35EE"/>
    <w:rsid w:val="001D0D8B"/>
    <w:rsid w:val="001D30F7"/>
    <w:rsid w:val="001E2D6F"/>
    <w:rsid w:val="001E5626"/>
    <w:rsid w:val="00204ECE"/>
    <w:rsid w:val="00214F88"/>
    <w:rsid w:val="00223C66"/>
    <w:rsid w:val="002244F6"/>
    <w:rsid w:val="00226B93"/>
    <w:rsid w:val="00226F69"/>
    <w:rsid w:val="002271F6"/>
    <w:rsid w:val="00235BA2"/>
    <w:rsid w:val="0026564B"/>
    <w:rsid w:val="00276EF8"/>
    <w:rsid w:val="00280758"/>
    <w:rsid w:val="00282CFB"/>
    <w:rsid w:val="002837D2"/>
    <w:rsid w:val="00284654"/>
    <w:rsid w:val="00287559"/>
    <w:rsid w:val="002922F9"/>
    <w:rsid w:val="00297AAE"/>
    <w:rsid w:val="002A26FB"/>
    <w:rsid w:val="002B061D"/>
    <w:rsid w:val="002B6DC0"/>
    <w:rsid w:val="002C5F29"/>
    <w:rsid w:val="002C5F6B"/>
    <w:rsid w:val="00305335"/>
    <w:rsid w:val="00312A49"/>
    <w:rsid w:val="0031437B"/>
    <w:rsid w:val="00317D33"/>
    <w:rsid w:val="00317E11"/>
    <w:rsid w:val="00323F9E"/>
    <w:rsid w:val="0034125B"/>
    <w:rsid w:val="00341753"/>
    <w:rsid w:val="0035041E"/>
    <w:rsid w:val="00361B5E"/>
    <w:rsid w:val="00367963"/>
    <w:rsid w:val="00370E93"/>
    <w:rsid w:val="00390685"/>
    <w:rsid w:val="00393335"/>
    <w:rsid w:val="003A016D"/>
    <w:rsid w:val="003C6456"/>
    <w:rsid w:val="003D5450"/>
    <w:rsid w:val="003E17E8"/>
    <w:rsid w:val="003E2CB6"/>
    <w:rsid w:val="003E4149"/>
    <w:rsid w:val="003F71A2"/>
    <w:rsid w:val="0040363B"/>
    <w:rsid w:val="0040672D"/>
    <w:rsid w:val="00407FE7"/>
    <w:rsid w:val="00452B4A"/>
    <w:rsid w:val="004558AD"/>
    <w:rsid w:val="00457261"/>
    <w:rsid w:val="0046709C"/>
    <w:rsid w:val="00474FEE"/>
    <w:rsid w:val="004837CC"/>
    <w:rsid w:val="004927A9"/>
    <w:rsid w:val="004930AD"/>
    <w:rsid w:val="00494B24"/>
    <w:rsid w:val="004A222E"/>
    <w:rsid w:val="004A6D35"/>
    <w:rsid w:val="004B40AE"/>
    <w:rsid w:val="004B765F"/>
    <w:rsid w:val="004C20D4"/>
    <w:rsid w:val="004D532A"/>
    <w:rsid w:val="004D638E"/>
    <w:rsid w:val="004F247D"/>
    <w:rsid w:val="004F4ABC"/>
    <w:rsid w:val="00513164"/>
    <w:rsid w:val="00516ECF"/>
    <w:rsid w:val="00536B71"/>
    <w:rsid w:val="00537018"/>
    <w:rsid w:val="00537191"/>
    <w:rsid w:val="005402A5"/>
    <w:rsid w:val="00540E11"/>
    <w:rsid w:val="00541F52"/>
    <w:rsid w:val="00542F16"/>
    <w:rsid w:val="00543022"/>
    <w:rsid w:val="00544584"/>
    <w:rsid w:val="00545E6B"/>
    <w:rsid w:val="00561883"/>
    <w:rsid w:val="00562BBA"/>
    <w:rsid w:val="00580FC8"/>
    <w:rsid w:val="00583D7E"/>
    <w:rsid w:val="0059623F"/>
    <w:rsid w:val="005A2922"/>
    <w:rsid w:val="005B7122"/>
    <w:rsid w:val="005C38A7"/>
    <w:rsid w:val="005C425F"/>
    <w:rsid w:val="005D2907"/>
    <w:rsid w:val="005D792C"/>
    <w:rsid w:val="005E4B8F"/>
    <w:rsid w:val="005E6753"/>
    <w:rsid w:val="005F4527"/>
    <w:rsid w:val="005F4DD7"/>
    <w:rsid w:val="006160C2"/>
    <w:rsid w:val="006204E5"/>
    <w:rsid w:val="00624758"/>
    <w:rsid w:val="00626768"/>
    <w:rsid w:val="00631182"/>
    <w:rsid w:val="006574C3"/>
    <w:rsid w:val="00660047"/>
    <w:rsid w:val="00662827"/>
    <w:rsid w:val="00672D2D"/>
    <w:rsid w:val="00672E52"/>
    <w:rsid w:val="00691977"/>
    <w:rsid w:val="006B3EBE"/>
    <w:rsid w:val="006B7308"/>
    <w:rsid w:val="006C0AC9"/>
    <w:rsid w:val="006C46F6"/>
    <w:rsid w:val="006C5D47"/>
    <w:rsid w:val="006D1852"/>
    <w:rsid w:val="006D5D29"/>
    <w:rsid w:val="006E051C"/>
    <w:rsid w:val="006F522E"/>
    <w:rsid w:val="006F751F"/>
    <w:rsid w:val="00704895"/>
    <w:rsid w:val="00705632"/>
    <w:rsid w:val="007103F3"/>
    <w:rsid w:val="007133B7"/>
    <w:rsid w:val="0071377D"/>
    <w:rsid w:val="00715D37"/>
    <w:rsid w:val="00716994"/>
    <w:rsid w:val="00727654"/>
    <w:rsid w:val="007330FA"/>
    <w:rsid w:val="007348A9"/>
    <w:rsid w:val="00750539"/>
    <w:rsid w:val="00753C87"/>
    <w:rsid w:val="0075443F"/>
    <w:rsid w:val="0076146C"/>
    <w:rsid w:val="007705A1"/>
    <w:rsid w:val="00782C79"/>
    <w:rsid w:val="00784A95"/>
    <w:rsid w:val="00795758"/>
    <w:rsid w:val="00795C83"/>
    <w:rsid w:val="007D0829"/>
    <w:rsid w:val="007D4EEA"/>
    <w:rsid w:val="007E170C"/>
    <w:rsid w:val="007E4D9A"/>
    <w:rsid w:val="007F614C"/>
    <w:rsid w:val="008011B6"/>
    <w:rsid w:val="008020F3"/>
    <w:rsid w:val="00814B61"/>
    <w:rsid w:val="00830584"/>
    <w:rsid w:val="0083193C"/>
    <w:rsid w:val="00843D18"/>
    <w:rsid w:val="0084618B"/>
    <w:rsid w:val="00852DA2"/>
    <w:rsid w:val="00871BF7"/>
    <w:rsid w:val="00875D57"/>
    <w:rsid w:val="00876581"/>
    <w:rsid w:val="00876CFE"/>
    <w:rsid w:val="008A0378"/>
    <w:rsid w:val="008A2AC2"/>
    <w:rsid w:val="008A3138"/>
    <w:rsid w:val="008B0FEA"/>
    <w:rsid w:val="008B55E2"/>
    <w:rsid w:val="008C0BFD"/>
    <w:rsid w:val="008D634C"/>
    <w:rsid w:val="008E4903"/>
    <w:rsid w:val="008F1769"/>
    <w:rsid w:val="008F2264"/>
    <w:rsid w:val="008F3F39"/>
    <w:rsid w:val="008F7302"/>
    <w:rsid w:val="00907E33"/>
    <w:rsid w:val="00924A56"/>
    <w:rsid w:val="00933915"/>
    <w:rsid w:val="0094289E"/>
    <w:rsid w:val="009447D7"/>
    <w:rsid w:val="00944B8E"/>
    <w:rsid w:val="00945A51"/>
    <w:rsid w:val="00964B9B"/>
    <w:rsid w:val="0096641F"/>
    <w:rsid w:val="009731F1"/>
    <w:rsid w:val="00982710"/>
    <w:rsid w:val="00984242"/>
    <w:rsid w:val="00991C10"/>
    <w:rsid w:val="009A453F"/>
    <w:rsid w:val="009A68D2"/>
    <w:rsid w:val="009B1181"/>
    <w:rsid w:val="009B223E"/>
    <w:rsid w:val="009B5320"/>
    <w:rsid w:val="009C5C59"/>
    <w:rsid w:val="009D037C"/>
    <w:rsid w:val="009D7C3F"/>
    <w:rsid w:val="009E4BBC"/>
    <w:rsid w:val="009E4D73"/>
    <w:rsid w:val="00A00FE7"/>
    <w:rsid w:val="00A043F8"/>
    <w:rsid w:val="00A06E02"/>
    <w:rsid w:val="00A166E7"/>
    <w:rsid w:val="00A17718"/>
    <w:rsid w:val="00A21D82"/>
    <w:rsid w:val="00A26993"/>
    <w:rsid w:val="00A30E62"/>
    <w:rsid w:val="00A60B5D"/>
    <w:rsid w:val="00A71546"/>
    <w:rsid w:val="00A80525"/>
    <w:rsid w:val="00A844AF"/>
    <w:rsid w:val="00A85170"/>
    <w:rsid w:val="00A85741"/>
    <w:rsid w:val="00A895A9"/>
    <w:rsid w:val="00AA0BA2"/>
    <w:rsid w:val="00AA4D81"/>
    <w:rsid w:val="00AF3814"/>
    <w:rsid w:val="00B12DA3"/>
    <w:rsid w:val="00B230F3"/>
    <w:rsid w:val="00B2765A"/>
    <w:rsid w:val="00B32E19"/>
    <w:rsid w:val="00B332F8"/>
    <w:rsid w:val="00B429AA"/>
    <w:rsid w:val="00B44495"/>
    <w:rsid w:val="00B56B30"/>
    <w:rsid w:val="00B626CD"/>
    <w:rsid w:val="00B62A04"/>
    <w:rsid w:val="00B66B1B"/>
    <w:rsid w:val="00B766E0"/>
    <w:rsid w:val="00B813BD"/>
    <w:rsid w:val="00B8196D"/>
    <w:rsid w:val="00B84452"/>
    <w:rsid w:val="00BA02DC"/>
    <w:rsid w:val="00BA1753"/>
    <w:rsid w:val="00BB6084"/>
    <w:rsid w:val="00BC0829"/>
    <w:rsid w:val="00BC3729"/>
    <w:rsid w:val="00BC7227"/>
    <w:rsid w:val="00BD4CE2"/>
    <w:rsid w:val="00BD7109"/>
    <w:rsid w:val="00BE0364"/>
    <w:rsid w:val="00BE0417"/>
    <w:rsid w:val="00BF110F"/>
    <w:rsid w:val="00C017CB"/>
    <w:rsid w:val="00C01883"/>
    <w:rsid w:val="00C040B3"/>
    <w:rsid w:val="00C10AFF"/>
    <w:rsid w:val="00C12DDC"/>
    <w:rsid w:val="00C134CB"/>
    <w:rsid w:val="00C2A6DF"/>
    <w:rsid w:val="00C476D4"/>
    <w:rsid w:val="00C52656"/>
    <w:rsid w:val="00C7783D"/>
    <w:rsid w:val="00CA6C0E"/>
    <w:rsid w:val="00CB7F3B"/>
    <w:rsid w:val="00CD33B1"/>
    <w:rsid w:val="00CD726A"/>
    <w:rsid w:val="00CE4B1C"/>
    <w:rsid w:val="00CE5BEC"/>
    <w:rsid w:val="00CE6DF7"/>
    <w:rsid w:val="00CE7815"/>
    <w:rsid w:val="00CE79AE"/>
    <w:rsid w:val="00D03A4C"/>
    <w:rsid w:val="00D05285"/>
    <w:rsid w:val="00D14A8A"/>
    <w:rsid w:val="00D171F6"/>
    <w:rsid w:val="00D34172"/>
    <w:rsid w:val="00D4328F"/>
    <w:rsid w:val="00D61972"/>
    <w:rsid w:val="00D76150"/>
    <w:rsid w:val="00D8174F"/>
    <w:rsid w:val="00D83212"/>
    <w:rsid w:val="00D91D78"/>
    <w:rsid w:val="00DA7FB5"/>
    <w:rsid w:val="00DC6C41"/>
    <w:rsid w:val="00DD6081"/>
    <w:rsid w:val="00DE2C47"/>
    <w:rsid w:val="00DE6EF4"/>
    <w:rsid w:val="00E14E28"/>
    <w:rsid w:val="00E15A40"/>
    <w:rsid w:val="00E2576E"/>
    <w:rsid w:val="00E3082E"/>
    <w:rsid w:val="00E37F4B"/>
    <w:rsid w:val="00E4444E"/>
    <w:rsid w:val="00E475EC"/>
    <w:rsid w:val="00E654F1"/>
    <w:rsid w:val="00E70A82"/>
    <w:rsid w:val="00E71B9B"/>
    <w:rsid w:val="00E80488"/>
    <w:rsid w:val="00E95C75"/>
    <w:rsid w:val="00EA2A79"/>
    <w:rsid w:val="00EA3E5A"/>
    <w:rsid w:val="00EA3E83"/>
    <w:rsid w:val="00EA5489"/>
    <w:rsid w:val="00EA5E18"/>
    <w:rsid w:val="00EB493C"/>
    <w:rsid w:val="00EC18C1"/>
    <w:rsid w:val="00EC2D50"/>
    <w:rsid w:val="00EC7466"/>
    <w:rsid w:val="00ED0611"/>
    <w:rsid w:val="00ED6028"/>
    <w:rsid w:val="00EE433E"/>
    <w:rsid w:val="00F0212F"/>
    <w:rsid w:val="00F17DF6"/>
    <w:rsid w:val="00F21380"/>
    <w:rsid w:val="00F2191B"/>
    <w:rsid w:val="00F24D1D"/>
    <w:rsid w:val="00F26B05"/>
    <w:rsid w:val="00F366D1"/>
    <w:rsid w:val="00F401C4"/>
    <w:rsid w:val="00F42004"/>
    <w:rsid w:val="00F52F83"/>
    <w:rsid w:val="00F64C2D"/>
    <w:rsid w:val="00F7655C"/>
    <w:rsid w:val="00F86740"/>
    <w:rsid w:val="00FB3540"/>
    <w:rsid w:val="00FC2E9A"/>
    <w:rsid w:val="00FC6F0D"/>
    <w:rsid w:val="00FC7577"/>
    <w:rsid w:val="00FD42E4"/>
    <w:rsid w:val="00FE2D0B"/>
    <w:rsid w:val="00FF1A64"/>
    <w:rsid w:val="00FF21F6"/>
    <w:rsid w:val="014FBC66"/>
    <w:rsid w:val="01BA3D49"/>
    <w:rsid w:val="02124550"/>
    <w:rsid w:val="026BACF9"/>
    <w:rsid w:val="0303ED10"/>
    <w:rsid w:val="04046994"/>
    <w:rsid w:val="0550C271"/>
    <w:rsid w:val="0599C0E0"/>
    <w:rsid w:val="069E912F"/>
    <w:rsid w:val="06AD2F3F"/>
    <w:rsid w:val="06F38171"/>
    <w:rsid w:val="076D577D"/>
    <w:rsid w:val="07A749A8"/>
    <w:rsid w:val="0838BE5B"/>
    <w:rsid w:val="08A8FBFF"/>
    <w:rsid w:val="09D6FE85"/>
    <w:rsid w:val="0A364F92"/>
    <w:rsid w:val="0A42E778"/>
    <w:rsid w:val="0A441E87"/>
    <w:rsid w:val="0ABEC761"/>
    <w:rsid w:val="0CC2783C"/>
    <w:rsid w:val="0D0E9F47"/>
    <w:rsid w:val="0D32AE9B"/>
    <w:rsid w:val="0D6F161D"/>
    <w:rsid w:val="0EAA6FA8"/>
    <w:rsid w:val="0EC66524"/>
    <w:rsid w:val="0F1615BD"/>
    <w:rsid w:val="0F293D53"/>
    <w:rsid w:val="0F78ADD9"/>
    <w:rsid w:val="10464009"/>
    <w:rsid w:val="110B7188"/>
    <w:rsid w:val="1134A5AC"/>
    <w:rsid w:val="1176B8ED"/>
    <w:rsid w:val="11D4A082"/>
    <w:rsid w:val="11FE05E6"/>
    <w:rsid w:val="137D63B7"/>
    <w:rsid w:val="15328CC8"/>
    <w:rsid w:val="1535A6A8"/>
    <w:rsid w:val="157A89B1"/>
    <w:rsid w:val="15B44F27"/>
    <w:rsid w:val="17165A12"/>
    <w:rsid w:val="19DEF395"/>
    <w:rsid w:val="1BA4E82C"/>
    <w:rsid w:val="1CF27882"/>
    <w:rsid w:val="1CF3AF91"/>
    <w:rsid w:val="1CFC576E"/>
    <w:rsid w:val="1D2CB097"/>
    <w:rsid w:val="1E2C8DFA"/>
    <w:rsid w:val="1E77D711"/>
    <w:rsid w:val="2013A772"/>
    <w:rsid w:val="20645159"/>
    <w:rsid w:val="215DAFD6"/>
    <w:rsid w:val="216EF62E"/>
    <w:rsid w:val="21778F3C"/>
    <w:rsid w:val="21A087A9"/>
    <w:rsid w:val="23E21ACB"/>
    <w:rsid w:val="242DC4D9"/>
    <w:rsid w:val="249BCF7E"/>
    <w:rsid w:val="24A98012"/>
    <w:rsid w:val="24CC6AFF"/>
    <w:rsid w:val="255BD5ED"/>
    <w:rsid w:val="25C1393B"/>
    <w:rsid w:val="26006748"/>
    <w:rsid w:val="261AD807"/>
    <w:rsid w:val="27C4463A"/>
    <w:rsid w:val="27DAAAC4"/>
    <w:rsid w:val="28563415"/>
    <w:rsid w:val="29127C4A"/>
    <w:rsid w:val="295E05CA"/>
    <w:rsid w:val="29C2773E"/>
    <w:rsid w:val="29DEED4C"/>
    <w:rsid w:val="2A1C48F9"/>
    <w:rsid w:val="2ACF14E7"/>
    <w:rsid w:val="2AF074DF"/>
    <w:rsid w:val="2B0A5445"/>
    <w:rsid w:val="2C6AE548"/>
    <w:rsid w:val="2C7453B1"/>
    <w:rsid w:val="2D30B174"/>
    <w:rsid w:val="2E13DA8E"/>
    <w:rsid w:val="2E438656"/>
    <w:rsid w:val="307CBE9B"/>
    <w:rsid w:val="30BBDC73"/>
    <w:rsid w:val="30C2254B"/>
    <w:rsid w:val="32A369B9"/>
    <w:rsid w:val="33EE6167"/>
    <w:rsid w:val="340E77EF"/>
    <w:rsid w:val="3427CCD7"/>
    <w:rsid w:val="344564B1"/>
    <w:rsid w:val="34571F48"/>
    <w:rsid w:val="348CB07B"/>
    <w:rsid w:val="34B9E0CE"/>
    <w:rsid w:val="35A4D30F"/>
    <w:rsid w:val="363C88D2"/>
    <w:rsid w:val="36A0FA46"/>
    <w:rsid w:val="37F18190"/>
    <w:rsid w:val="3A3F37A3"/>
    <w:rsid w:val="3B7E2E5F"/>
    <w:rsid w:val="3D63DEFE"/>
    <w:rsid w:val="40303BA7"/>
    <w:rsid w:val="404BAC96"/>
    <w:rsid w:val="40AC97A9"/>
    <w:rsid w:val="418728FF"/>
    <w:rsid w:val="41C08DF3"/>
    <w:rsid w:val="41DE919F"/>
    <w:rsid w:val="41FA0447"/>
    <w:rsid w:val="434BBB54"/>
    <w:rsid w:val="4429C72F"/>
    <w:rsid w:val="443B5D7B"/>
    <w:rsid w:val="445A17E4"/>
    <w:rsid w:val="44BEC9C1"/>
    <w:rsid w:val="45514B48"/>
    <w:rsid w:val="45B0B020"/>
    <w:rsid w:val="45F365D7"/>
    <w:rsid w:val="46261B07"/>
    <w:rsid w:val="469F7D2B"/>
    <w:rsid w:val="47B6FCA6"/>
    <w:rsid w:val="47DBB1BC"/>
    <w:rsid w:val="47F66A83"/>
    <w:rsid w:val="480780E5"/>
    <w:rsid w:val="498ECC6E"/>
    <w:rsid w:val="4ABBE267"/>
    <w:rsid w:val="4AC95968"/>
    <w:rsid w:val="4B074F3C"/>
    <w:rsid w:val="4B2BDCF6"/>
    <w:rsid w:val="4B773C35"/>
    <w:rsid w:val="4BB7E1AC"/>
    <w:rsid w:val="4C13FB4E"/>
    <w:rsid w:val="4C14FFE6"/>
    <w:rsid w:val="4C252D9B"/>
    <w:rsid w:val="4C5F8B16"/>
    <w:rsid w:val="4DCE2284"/>
    <w:rsid w:val="4E2BF697"/>
    <w:rsid w:val="4E5437E3"/>
    <w:rsid w:val="4EEE570F"/>
    <w:rsid w:val="50D42978"/>
    <w:rsid w:val="521E371D"/>
    <w:rsid w:val="526D9DC3"/>
    <w:rsid w:val="52A6B5CB"/>
    <w:rsid w:val="53D93BF8"/>
    <w:rsid w:val="5484296E"/>
    <w:rsid w:val="54B13EE7"/>
    <w:rsid w:val="54BC0556"/>
    <w:rsid w:val="55A79A9B"/>
    <w:rsid w:val="55C0C2F8"/>
    <w:rsid w:val="56FFA86C"/>
    <w:rsid w:val="577CAA30"/>
    <w:rsid w:val="589E2240"/>
    <w:rsid w:val="59044F7C"/>
    <w:rsid w:val="5AD3CB94"/>
    <w:rsid w:val="5B6FC3AA"/>
    <w:rsid w:val="5B9894C2"/>
    <w:rsid w:val="5BC25E65"/>
    <w:rsid w:val="5C7F1D9D"/>
    <w:rsid w:val="5E1AEDFE"/>
    <w:rsid w:val="5E730139"/>
    <w:rsid w:val="5EC38C58"/>
    <w:rsid w:val="5ED8901F"/>
    <w:rsid w:val="5EEC1536"/>
    <w:rsid w:val="5F23A9D3"/>
    <w:rsid w:val="5F566A67"/>
    <w:rsid w:val="5FB6BE5F"/>
    <w:rsid w:val="602B2BED"/>
    <w:rsid w:val="6093B234"/>
    <w:rsid w:val="60EBA089"/>
    <w:rsid w:val="6109D2A2"/>
    <w:rsid w:val="61FF1E68"/>
    <w:rsid w:val="62735262"/>
    <w:rsid w:val="62B8CAA4"/>
    <w:rsid w:val="636884D9"/>
    <w:rsid w:val="6461857D"/>
    <w:rsid w:val="65BC8D8A"/>
    <w:rsid w:val="66A16D5D"/>
    <w:rsid w:val="66ED59E3"/>
    <w:rsid w:val="67617C4C"/>
    <w:rsid w:val="67A0C5EA"/>
    <w:rsid w:val="68FD4CAD"/>
    <w:rsid w:val="698E8314"/>
    <w:rsid w:val="69BC3CE2"/>
    <w:rsid w:val="6A6BECBB"/>
    <w:rsid w:val="6B41EDF1"/>
    <w:rsid w:val="6BD596A5"/>
    <w:rsid w:val="6C07BD1C"/>
    <w:rsid w:val="6D84CE4A"/>
    <w:rsid w:val="6E08CE46"/>
    <w:rsid w:val="6E7BAFEB"/>
    <w:rsid w:val="6F84C071"/>
    <w:rsid w:val="6FB95EC0"/>
    <w:rsid w:val="6FD4CFAF"/>
    <w:rsid w:val="7096D960"/>
    <w:rsid w:val="716D573C"/>
    <w:rsid w:val="737CBFD5"/>
    <w:rsid w:val="73E14D53"/>
    <w:rsid w:val="752321BD"/>
    <w:rsid w:val="7531B6D5"/>
    <w:rsid w:val="756B6C3A"/>
    <w:rsid w:val="757EC348"/>
    <w:rsid w:val="76544DBE"/>
    <w:rsid w:val="7656E510"/>
    <w:rsid w:val="7778EF5F"/>
    <w:rsid w:val="7841297E"/>
    <w:rsid w:val="7895C162"/>
    <w:rsid w:val="798E45C3"/>
    <w:rsid w:val="7A395424"/>
    <w:rsid w:val="7A5056F4"/>
    <w:rsid w:val="7ADEEE91"/>
    <w:rsid w:val="7B78DB1A"/>
    <w:rsid w:val="7BC78A38"/>
    <w:rsid w:val="7C260F53"/>
    <w:rsid w:val="7C462229"/>
    <w:rsid w:val="7CF469D1"/>
    <w:rsid w:val="7D3ED42C"/>
    <w:rsid w:val="7E644BB0"/>
    <w:rsid w:val="7E7EEE6F"/>
    <w:rsid w:val="7F56BE5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F65C9C13-7D38-4474-9711-D4973EBA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626768"/>
    <w:pPr>
      <w:spacing w:before="100" w:beforeAutospacing="1" w:after="100" w:afterAutospacing="1"/>
    </w:pPr>
    <w:rPr>
      <w:rFonts w:ascii="Times New Roman" w:eastAsia="Times New Roman" w:hAnsi="Times New Roman" w:cs="Times New Roman"/>
      <w:bCs w:val="0"/>
      <w:color w:val="auto"/>
      <w:lang w:eastAsia="zh-TW"/>
    </w:rPr>
  </w:style>
  <w:style w:type="character" w:customStyle="1" w:styleId="eop">
    <w:name w:val="eop"/>
    <w:basedOn w:val="DefaultParagraphFont"/>
    <w:rsid w:val="00626768"/>
  </w:style>
  <w:style w:type="paragraph" w:styleId="NormalWeb">
    <w:name w:val="Normal (Web)"/>
    <w:basedOn w:val="Normal"/>
    <w:uiPriority w:val="99"/>
    <w:unhideWhenUsed/>
    <w:rsid w:val="00672D2D"/>
    <w:pPr>
      <w:spacing w:before="100" w:beforeAutospacing="1" w:after="100" w:afterAutospacing="1"/>
    </w:pPr>
    <w:rPr>
      <w:rFonts w:ascii="Times New Roman" w:eastAsia="Times New Roman" w:hAnsi="Times New Roman" w:cs="Times New Roman"/>
      <w:bCs w:val="0"/>
      <w:color w:val="auto"/>
      <w:lang w:val="en-US"/>
    </w:rPr>
  </w:style>
  <w:style w:type="paragraph" w:styleId="Revision">
    <w:name w:val="Revision"/>
    <w:hidden/>
    <w:uiPriority w:val="99"/>
    <w:semiHidden/>
    <w:rsid w:val="00542F16"/>
    <w:pPr>
      <w:spacing w:after="0" w:line="240" w:lineRule="auto"/>
    </w:pPr>
    <w:rPr>
      <w:rFonts w:ascii="Arial" w:hAnsi="Arial" w:cs="Arial"/>
      <w:bCs/>
      <w:color w:val="000000" w:themeColor="text1"/>
      <w:sz w:val="24"/>
      <w:szCs w:val="24"/>
    </w:rPr>
  </w:style>
  <w:style w:type="character" w:styleId="FollowedHyperlink">
    <w:name w:val="FollowedHyperlink"/>
    <w:basedOn w:val="DefaultParagraphFont"/>
    <w:uiPriority w:val="99"/>
    <w:semiHidden/>
    <w:unhideWhenUsed/>
    <w:rsid w:val="00075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89597590">
      <w:bodyDiv w:val="1"/>
      <w:marLeft w:val="0"/>
      <w:marRight w:val="0"/>
      <w:marTop w:val="0"/>
      <w:marBottom w:val="0"/>
      <w:divBdr>
        <w:top w:val="none" w:sz="0" w:space="0" w:color="auto"/>
        <w:left w:val="none" w:sz="0" w:space="0" w:color="auto"/>
        <w:bottom w:val="none" w:sz="0" w:space="0" w:color="auto"/>
        <w:right w:val="none" w:sz="0" w:space="0" w:color="auto"/>
      </w:divBdr>
      <w:divsChild>
        <w:div w:id="489100369">
          <w:marLeft w:val="0"/>
          <w:marRight w:val="0"/>
          <w:marTop w:val="0"/>
          <w:marBottom w:val="0"/>
          <w:divBdr>
            <w:top w:val="none" w:sz="0" w:space="0" w:color="auto"/>
            <w:left w:val="none" w:sz="0" w:space="0" w:color="auto"/>
            <w:bottom w:val="none" w:sz="0" w:space="0" w:color="auto"/>
            <w:right w:val="none" w:sz="0" w:space="0" w:color="auto"/>
          </w:divBdr>
          <w:divsChild>
            <w:div w:id="240453640">
              <w:marLeft w:val="0"/>
              <w:marRight w:val="0"/>
              <w:marTop w:val="30"/>
              <w:marBottom w:val="30"/>
              <w:divBdr>
                <w:top w:val="none" w:sz="0" w:space="0" w:color="auto"/>
                <w:left w:val="none" w:sz="0" w:space="0" w:color="auto"/>
                <w:bottom w:val="none" w:sz="0" w:space="0" w:color="auto"/>
                <w:right w:val="none" w:sz="0" w:space="0" w:color="auto"/>
              </w:divBdr>
              <w:divsChild>
                <w:div w:id="137578517">
                  <w:marLeft w:val="0"/>
                  <w:marRight w:val="0"/>
                  <w:marTop w:val="0"/>
                  <w:marBottom w:val="0"/>
                  <w:divBdr>
                    <w:top w:val="none" w:sz="0" w:space="0" w:color="auto"/>
                    <w:left w:val="none" w:sz="0" w:space="0" w:color="auto"/>
                    <w:bottom w:val="none" w:sz="0" w:space="0" w:color="auto"/>
                    <w:right w:val="none" w:sz="0" w:space="0" w:color="auto"/>
                  </w:divBdr>
                  <w:divsChild>
                    <w:div w:id="1746563744">
                      <w:marLeft w:val="0"/>
                      <w:marRight w:val="0"/>
                      <w:marTop w:val="0"/>
                      <w:marBottom w:val="0"/>
                      <w:divBdr>
                        <w:top w:val="none" w:sz="0" w:space="0" w:color="auto"/>
                        <w:left w:val="none" w:sz="0" w:space="0" w:color="auto"/>
                        <w:bottom w:val="none" w:sz="0" w:space="0" w:color="auto"/>
                        <w:right w:val="none" w:sz="0" w:space="0" w:color="auto"/>
                      </w:divBdr>
                    </w:div>
                  </w:divsChild>
                </w:div>
                <w:div w:id="192379557">
                  <w:marLeft w:val="0"/>
                  <w:marRight w:val="0"/>
                  <w:marTop w:val="0"/>
                  <w:marBottom w:val="0"/>
                  <w:divBdr>
                    <w:top w:val="none" w:sz="0" w:space="0" w:color="auto"/>
                    <w:left w:val="none" w:sz="0" w:space="0" w:color="auto"/>
                    <w:bottom w:val="none" w:sz="0" w:space="0" w:color="auto"/>
                    <w:right w:val="none" w:sz="0" w:space="0" w:color="auto"/>
                  </w:divBdr>
                  <w:divsChild>
                    <w:div w:id="1321612465">
                      <w:marLeft w:val="0"/>
                      <w:marRight w:val="0"/>
                      <w:marTop w:val="0"/>
                      <w:marBottom w:val="0"/>
                      <w:divBdr>
                        <w:top w:val="none" w:sz="0" w:space="0" w:color="auto"/>
                        <w:left w:val="none" w:sz="0" w:space="0" w:color="auto"/>
                        <w:bottom w:val="none" w:sz="0" w:space="0" w:color="auto"/>
                        <w:right w:val="none" w:sz="0" w:space="0" w:color="auto"/>
                      </w:divBdr>
                    </w:div>
                  </w:divsChild>
                </w:div>
                <w:div w:id="793524427">
                  <w:marLeft w:val="0"/>
                  <w:marRight w:val="0"/>
                  <w:marTop w:val="0"/>
                  <w:marBottom w:val="0"/>
                  <w:divBdr>
                    <w:top w:val="none" w:sz="0" w:space="0" w:color="auto"/>
                    <w:left w:val="none" w:sz="0" w:space="0" w:color="auto"/>
                    <w:bottom w:val="none" w:sz="0" w:space="0" w:color="auto"/>
                    <w:right w:val="none" w:sz="0" w:space="0" w:color="auto"/>
                  </w:divBdr>
                  <w:divsChild>
                    <w:div w:id="2048406820">
                      <w:marLeft w:val="0"/>
                      <w:marRight w:val="0"/>
                      <w:marTop w:val="0"/>
                      <w:marBottom w:val="0"/>
                      <w:divBdr>
                        <w:top w:val="none" w:sz="0" w:space="0" w:color="auto"/>
                        <w:left w:val="none" w:sz="0" w:space="0" w:color="auto"/>
                        <w:bottom w:val="none" w:sz="0" w:space="0" w:color="auto"/>
                        <w:right w:val="none" w:sz="0" w:space="0" w:color="auto"/>
                      </w:divBdr>
                    </w:div>
                  </w:divsChild>
                </w:div>
                <w:div w:id="882404921">
                  <w:marLeft w:val="0"/>
                  <w:marRight w:val="0"/>
                  <w:marTop w:val="0"/>
                  <w:marBottom w:val="0"/>
                  <w:divBdr>
                    <w:top w:val="none" w:sz="0" w:space="0" w:color="auto"/>
                    <w:left w:val="none" w:sz="0" w:space="0" w:color="auto"/>
                    <w:bottom w:val="none" w:sz="0" w:space="0" w:color="auto"/>
                    <w:right w:val="none" w:sz="0" w:space="0" w:color="auto"/>
                  </w:divBdr>
                  <w:divsChild>
                    <w:div w:id="1847863580">
                      <w:marLeft w:val="0"/>
                      <w:marRight w:val="0"/>
                      <w:marTop w:val="0"/>
                      <w:marBottom w:val="0"/>
                      <w:divBdr>
                        <w:top w:val="none" w:sz="0" w:space="0" w:color="auto"/>
                        <w:left w:val="none" w:sz="0" w:space="0" w:color="auto"/>
                        <w:bottom w:val="none" w:sz="0" w:space="0" w:color="auto"/>
                        <w:right w:val="none" w:sz="0" w:space="0" w:color="auto"/>
                      </w:divBdr>
                    </w:div>
                  </w:divsChild>
                </w:div>
                <w:div w:id="1076588471">
                  <w:marLeft w:val="0"/>
                  <w:marRight w:val="0"/>
                  <w:marTop w:val="0"/>
                  <w:marBottom w:val="0"/>
                  <w:divBdr>
                    <w:top w:val="none" w:sz="0" w:space="0" w:color="auto"/>
                    <w:left w:val="none" w:sz="0" w:space="0" w:color="auto"/>
                    <w:bottom w:val="none" w:sz="0" w:space="0" w:color="auto"/>
                    <w:right w:val="none" w:sz="0" w:space="0" w:color="auto"/>
                  </w:divBdr>
                  <w:divsChild>
                    <w:div w:id="346644021">
                      <w:marLeft w:val="0"/>
                      <w:marRight w:val="0"/>
                      <w:marTop w:val="0"/>
                      <w:marBottom w:val="0"/>
                      <w:divBdr>
                        <w:top w:val="none" w:sz="0" w:space="0" w:color="auto"/>
                        <w:left w:val="none" w:sz="0" w:space="0" w:color="auto"/>
                        <w:bottom w:val="none" w:sz="0" w:space="0" w:color="auto"/>
                        <w:right w:val="none" w:sz="0" w:space="0" w:color="auto"/>
                      </w:divBdr>
                    </w:div>
                  </w:divsChild>
                </w:div>
                <w:div w:id="1082070915">
                  <w:marLeft w:val="0"/>
                  <w:marRight w:val="0"/>
                  <w:marTop w:val="0"/>
                  <w:marBottom w:val="0"/>
                  <w:divBdr>
                    <w:top w:val="none" w:sz="0" w:space="0" w:color="auto"/>
                    <w:left w:val="none" w:sz="0" w:space="0" w:color="auto"/>
                    <w:bottom w:val="none" w:sz="0" w:space="0" w:color="auto"/>
                    <w:right w:val="none" w:sz="0" w:space="0" w:color="auto"/>
                  </w:divBdr>
                  <w:divsChild>
                    <w:div w:id="1590775255">
                      <w:marLeft w:val="0"/>
                      <w:marRight w:val="0"/>
                      <w:marTop w:val="0"/>
                      <w:marBottom w:val="0"/>
                      <w:divBdr>
                        <w:top w:val="none" w:sz="0" w:space="0" w:color="auto"/>
                        <w:left w:val="none" w:sz="0" w:space="0" w:color="auto"/>
                        <w:bottom w:val="none" w:sz="0" w:space="0" w:color="auto"/>
                        <w:right w:val="none" w:sz="0" w:space="0" w:color="auto"/>
                      </w:divBdr>
                    </w:div>
                  </w:divsChild>
                </w:div>
                <w:div w:id="1208686651">
                  <w:marLeft w:val="0"/>
                  <w:marRight w:val="0"/>
                  <w:marTop w:val="0"/>
                  <w:marBottom w:val="0"/>
                  <w:divBdr>
                    <w:top w:val="none" w:sz="0" w:space="0" w:color="auto"/>
                    <w:left w:val="none" w:sz="0" w:space="0" w:color="auto"/>
                    <w:bottom w:val="none" w:sz="0" w:space="0" w:color="auto"/>
                    <w:right w:val="none" w:sz="0" w:space="0" w:color="auto"/>
                  </w:divBdr>
                  <w:divsChild>
                    <w:div w:id="1616712280">
                      <w:marLeft w:val="0"/>
                      <w:marRight w:val="0"/>
                      <w:marTop w:val="0"/>
                      <w:marBottom w:val="0"/>
                      <w:divBdr>
                        <w:top w:val="none" w:sz="0" w:space="0" w:color="auto"/>
                        <w:left w:val="none" w:sz="0" w:space="0" w:color="auto"/>
                        <w:bottom w:val="none" w:sz="0" w:space="0" w:color="auto"/>
                        <w:right w:val="none" w:sz="0" w:space="0" w:color="auto"/>
                      </w:divBdr>
                    </w:div>
                  </w:divsChild>
                </w:div>
                <w:div w:id="1225487541">
                  <w:marLeft w:val="0"/>
                  <w:marRight w:val="0"/>
                  <w:marTop w:val="0"/>
                  <w:marBottom w:val="0"/>
                  <w:divBdr>
                    <w:top w:val="none" w:sz="0" w:space="0" w:color="auto"/>
                    <w:left w:val="none" w:sz="0" w:space="0" w:color="auto"/>
                    <w:bottom w:val="none" w:sz="0" w:space="0" w:color="auto"/>
                    <w:right w:val="none" w:sz="0" w:space="0" w:color="auto"/>
                  </w:divBdr>
                  <w:divsChild>
                    <w:div w:id="2054230149">
                      <w:marLeft w:val="0"/>
                      <w:marRight w:val="0"/>
                      <w:marTop w:val="0"/>
                      <w:marBottom w:val="0"/>
                      <w:divBdr>
                        <w:top w:val="none" w:sz="0" w:space="0" w:color="auto"/>
                        <w:left w:val="none" w:sz="0" w:space="0" w:color="auto"/>
                        <w:bottom w:val="none" w:sz="0" w:space="0" w:color="auto"/>
                        <w:right w:val="none" w:sz="0" w:space="0" w:color="auto"/>
                      </w:divBdr>
                    </w:div>
                  </w:divsChild>
                </w:div>
                <w:div w:id="1401446833">
                  <w:marLeft w:val="0"/>
                  <w:marRight w:val="0"/>
                  <w:marTop w:val="0"/>
                  <w:marBottom w:val="0"/>
                  <w:divBdr>
                    <w:top w:val="none" w:sz="0" w:space="0" w:color="auto"/>
                    <w:left w:val="none" w:sz="0" w:space="0" w:color="auto"/>
                    <w:bottom w:val="none" w:sz="0" w:space="0" w:color="auto"/>
                    <w:right w:val="none" w:sz="0" w:space="0" w:color="auto"/>
                  </w:divBdr>
                  <w:divsChild>
                    <w:div w:id="1557080950">
                      <w:marLeft w:val="0"/>
                      <w:marRight w:val="0"/>
                      <w:marTop w:val="0"/>
                      <w:marBottom w:val="0"/>
                      <w:divBdr>
                        <w:top w:val="none" w:sz="0" w:space="0" w:color="auto"/>
                        <w:left w:val="none" w:sz="0" w:space="0" w:color="auto"/>
                        <w:bottom w:val="none" w:sz="0" w:space="0" w:color="auto"/>
                        <w:right w:val="none" w:sz="0" w:space="0" w:color="auto"/>
                      </w:divBdr>
                    </w:div>
                  </w:divsChild>
                </w:div>
                <w:div w:id="1458985534">
                  <w:marLeft w:val="0"/>
                  <w:marRight w:val="0"/>
                  <w:marTop w:val="0"/>
                  <w:marBottom w:val="0"/>
                  <w:divBdr>
                    <w:top w:val="none" w:sz="0" w:space="0" w:color="auto"/>
                    <w:left w:val="none" w:sz="0" w:space="0" w:color="auto"/>
                    <w:bottom w:val="none" w:sz="0" w:space="0" w:color="auto"/>
                    <w:right w:val="none" w:sz="0" w:space="0" w:color="auto"/>
                  </w:divBdr>
                  <w:divsChild>
                    <w:div w:id="848787647">
                      <w:marLeft w:val="0"/>
                      <w:marRight w:val="0"/>
                      <w:marTop w:val="0"/>
                      <w:marBottom w:val="0"/>
                      <w:divBdr>
                        <w:top w:val="none" w:sz="0" w:space="0" w:color="auto"/>
                        <w:left w:val="none" w:sz="0" w:space="0" w:color="auto"/>
                        <w:bottom w:val="none" w:sz="0" w:space="0" w:color="auto"/>
                        <w:right w:val="none" w:sz="0" w:space="0" w:color="auto"/>
                      </w:divBdr>
                    </w:div>
                  </w:divsChild>
                </w:div>
                <w:div w:id="1459715127">
                  <w:marLeft w:val="0"/>
                  <w:marRight w:val="0"/>
                  <w:marTop w:val="0"/>
                  <w:marBottom w:val="0"/>
                  <w:divBdr>
                    <w:top w:val="none" w:sz="0" w:space="0" w:color="auto"/>
                    <w:left w:val="none" w:sz="0" w:space="0" w:color="auto"/>
                    <w:bottom w:val="none" w:sz="0" w:space="0" w:color="auto"/>
                    <w:right w:val="none" w:sz="0" w:space="0" w:color="auto"/>
                  </w:divBdr>
                  <w:divsChild>
                    <w:div w:id="1167523962">
                      <w:marLeft w:val="0"/>
                      <w:marRight w:val="0"/>
                      <w:marTop w:val="0"/>
                      <w:marBottom w:val="0"/>
                      <w:divBdr>
                        <w:top w:val="none" w:sz="0" w:space="0" w:color="auto"/>
                        <w:left w:val="none" w:sz="0" w:space="0" w:color="auto"/>
                        <w:bottom w:val="none" w:sz="0" w:space="0" w:color="auto"/>
                        <w:right w:val="none" w:sz="0" w:space="0" w:color="auto"/>
                      </w:divBdr>
                    </w:div>
                  </w:divsChild>
                </w:div>
                <w:div w:id="1592273561">
                  <w:marLeft w:val="0"/>
                  <w:marRight w:val="0"/>
                  <w:marTop w:val="0"/>
                  <w:marBottom w:val="0"/>
                  <w:divBdr>
                    <w:top w:val="none" w:sz="0" w:space="0" w:color="auto"/>
                    <w:left w:val="none" w:sz="0" w:space="0" w:color="auto"/>
                    <w:bottom w:val="none" w:sz="0" w:space="0" w:color="auto"/>
                    <w:right w:val="none" w:sz="0" w:space="0" w:color="auto"/>
                  </w:divBdr>
                  <w:divsChild>
                    <w:div w:id="1318150290">
                      <w:marLeft w:val="0"/>
                      <w:marRight w:val="0"/>
                      <w:marTop w:val="0"/>
                      <w:marBottom w:val="0"/>
                      <w:divBdr>
                        <w:top w:val="none" w:sz="0" w:space="0" w:color="auto"/>
                        <w:left w:val="none" w:sz="0" w:space="0" w:color="auto"/>
                        <w:bottom w:val="none" w:sz="0" w:space="0" w:color="auto"/>
                        <w:right w:val="none" w:sz="0" w:space="0" w:color="auto"/>
                      </w:divBdr>
                    </w:div>
                  </w:divsChild>
                </w:div>
                <w:div w:id="1642923114">
                  <w:marLeft w:val="0"/>
                  <w:marRight w:val="0"/>
                  <w:marTop w:val="0"/>
                  <w:marBottom w:val="0"/>
                  <w:divBdr>
                    <w:top w:val="none" w:sz="0" w:space="0" w:color="auto"/>
                    <w:left w:val="none" w:sz="0" w:space="0" w:color="auto"/>
                    <w:bottom w:val="none" w:sz="0" w:space="0" w:color="auto"/>
                    <w:right w:val="none" w:sz="0" w:space="0" w:color="auto"/>
                  </w:divBdr>
                  <w:divsChild>
                    <w:div w:id="469204930">
                      <w:marLeft w:val="0"/>
                      <w:marRight w:val="0"/>
                      <w:marTop w:val="0"/>
                      <w:marBottom w:val="0"/>
                      <w:divBdr>
                        <w:top w:val="none" w:sz="0" w:space="0" w:color="auto"/>
                        <w:left w:val="none" w:sz="0" w:space="0" w:color="auto"/>
                        <w:bottom w:val="none" w:sz="0" w:space="0" w:color="auto"/>
                        <w:right w:val="none" w:sz="0" w:space="0" w:color="auto"/>
                      </w:divBdr>
                    </w:div>
                  </w:divsChild>
                </w:div>
                <w:div w:id="1718965653">
                  <w:marLeft w:val="0"/>
                  <w:marRight w:val="0"/>
                  <w:marTop w:val="0"/>
                  <w:marBottom w:val="0"/>
                  <w:divBdr>
                    <w:top w:val="none" w:sz="0" w:space="0" w:color="auto"/>
                    <w:left w:val="none" w:sz="0" w:space="0" w:color="auto"/>
                    <w:bottom w:val="none" w:sz="0" w:space="0" w:color="auto"/>
                    <w:right w:val="none" w:sz="0" w:space="0" w:color="auto"/>
                  </w:divBdr>
                  <w:divsChild>
                    <w:div w:id="553348169">
                      <w:marLeft w:val="0"/>
                      <w:marRight w:val="0"/>
                      <w:marTop w:val="0"/>
                      <w:marBottom w:val="0"/>
                      <w:divBdr>
                        <w:top w:val="none" w:sz="0" w:space="0" w:color="auto"/>
                        <w:left w:val="none" w:sz="0" w:space="0" w:color="auto"/>
                        <w:bottom w:val="none" w:sz="0" w:space="0" w:color="auto"/>
                        <w:right w:val="none" w:sz="0" w:space="0" w:color="auto"/>
                      </w:divBdr>
                    </w:div>
                  </w:divsChild>
                </w:div>
                <w:div w:id="1758405212">
                  <w:marLeft w:val="0"/>
                  <w:marRight w:val="0"/>
                  <w:marTop w:val="0"/>
                  <w:marBottom w:val="0"/>
                  <w:divBdr>
                    <w:top w:val="none" w:sz="0" w:space="0" w:color="auto"/>
                    <w:left w:val="none" w:sz="0" w:space="0" w:color="auto"/>
                    <w:bottom w:val="none" w:sz="0" w:space="0" w:color="auto"/>
                    <w:right w:val="none" w:sz="0" w:space="0" w:color="auto"/>
                  </w:divBdr>
                  <w:divsChild>
                    <w:div w:id="1764716918">
                      <w:marLeft w:val="0"/>
                      <w:marRight w:val="0"/>
                      <w:marTop w:val="0"/>
                      <w:marBottom w:val="0"/>
                      <w:divBdr>
                        <w:top w:val="none" w:sz="0" w:space="0" w:color="auto"/>
                        <w:left w:val="none" w:sz="0" w:space="0" w:color="auto"/>
                        <w:bottom w:val="none" w:sz="0" w:space="0" w:color="auto"/>
                        <w:right w:val="none" w:sz="0" w:space="0" w:color="auto"/>
                      </w:divBdr>
                    </w:div>
                  </w:divsChild>
                </w:div>
                <w:div w:id="2004316393">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4052">
          <w:marLeft w:val="0"/>
          <w:marRight w:val="0"/>
          <w:marTop w:val="0"/>
          <w:marBottom w:val="0"/>
          <w:divBdr>
            <w:top w:val="none" w:sz="0" w:space="0" w:color="auto"/>
            <w:left w:val="none" w:sz="0" w:space="0" w:color="auto"/>
            <w:bottom w:val="none" w:sz="0" w:space="0" w:color="auto"/>
            <w:right w:val="none" w:sz="0" w:space="0" w:color="auto"/>
          </w:divBdr>
        </w:div>
        <w:div w:id="1266116009">
          <w:marLeft w:val="0"/>
          <w:marRight w:val="0"/>
          <w:marTop w:val="0"/>
          <w:marBottom w:val="0"/>
          <w:divBdr>
            <w:top w:val="none" w:sz="0" w:space="0" w:color="auto"/>
            <w:left w:val="none" w:sz="0" w:space="0" w:color="auto"/>
            <w:bottom w:val="none" w:sz="0" w:space="0" w:color="auto"/>
            <w:right w:val="none" w:sz="0" w:space="0" w:color="auto"/>
          </w:divBdr>
        </w:div>
      </w:divsChild>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procurement-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tevan.Chaduneli@wf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tevan.Chaduneli@wf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19" ma:contentTypeDescription="Create a new document." ma:contentTypeScope="" ma:versionID="e67e54a3484dcbbd08bf8305dd73e34a">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da809d4e341a179d77ac5ae0c9ad7a1d"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SharedWithUsers xmlns="07ca6121-0cc2-477f-9d57-316cba39f8ca">
      <UserInfo>
        <DisplayName>Lasha Nakashidze</DisplayName>
        <AccountId>420</AccountId>
        <AccountType/>
      </UserInfo>
      <UserInfo>
        <DisplayName>Tom Cousins</DisplayName>
        <AccountId>1396</AccountId>
        <AccountType/>
      </UserInfo>
      <UserInfo>
        <DisplayName>Selina Anand</DisplayName>
        <AccountId>31</AccountId>
        <AccountType/>
      </UserInfo>
      <UserInfo>
        <DisplayName>Ketevan Chaduneli</DisplayName>
        <AccountId>217</AccountId>
        <AccountType/>
      </UserInfo>
      <UserInfo>
        <DisplayName>Miranda Apakidze</DisplayName>
        <AccountId>4366</AccountId>
        <AccountType/>
      </UserInfo>
      <UserInfo>
        <DisplayName>Rob van Leeuwen</DisplayName>
        <AccountId>13</AccountId>
        <AccountType/>
      </UserInfo>
      <UserInfo>
        <DisplayName>Douglas Smith</DisplayName>
        <AccountId>1637</AccountId>
        <AccountType/>
      </UserInfo>
    </SharedWithUsers>
  </documentManagement>
</p:properties>
</file>

<file path=customXml/itemProps1.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2.xml><?xml version="1.0" encoding="utf-8"?>
<ds:datastoreItem xmlns:ds="http://schemas.openxmlformats.org/officeDocument/2006/customXml" ds:itemID="{D156C31A-2774-4EC2-9D34-96939FFDE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4.xml><?xml version="1.0" encoding="utf-8"?>
<ds:datastoreItem xmlns:ds="http://schemas.openxmlformats.org/officeDocument/2006/customXml" ds:itemID="{9B3F944B-26BD-4A83-A644-B141F0205112}">
  <ds:schemaRefs>
    <ds:schemaRef ds:uri="http://purl.org/dc/dcmitype/"/>
    <ds:schemaRef ds:uri="ac9f13bf-1da4-4cb2-b93e-4ea0e98c4de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07ca6121-0cc2-477f-9d57-316cba39f8ca"/>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2611</Words>
  <Characters>14885</Characters>
  <Application>Microsoft Office Word</Application>
  <DocSecurity>0</DocSecurity>
  <Lines>124</Lines>
  <Paragraphs>34</Paragraphs>
  <ScaleCrop>false</ScaleCrop>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2023-12-08T12:23:00Z</dcterms:created>
  <dcterms:modified xsi:type="dcterms:W3CDTF">2023-12-08T12:23:00Z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