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26C03A5A" w14:textId="77777777" w:rsidR="00297AD2" w:rsidRPr="004A7A3A" w:rsidRDefault="00297AD2" w:rsidP="00297AD2">
      <w:pPr>
        <w:rPr>
          <w:rFonts w:ascii="Arial" w:hAnsi="Arial" w:cs="Arial"/>
          <w:sz w:val="24"/>
          <w:szCs w:val="24"/>
        </w:rPr>
      </w:pPr>
    </w:p>
    <w:p w14:paraId="45755879"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Project Title: NHS National Framework Agreement for the supply of products for the treatment of Blood Disorders including Haemophilia A and B - July 2024</w:t>
      </w:r>
    </w:p>
    <w:p w14:paraId="41D005A1"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 </w:t>
      </w:r>
    </w:p>
    <w:p w14:paraId="6474CC00"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Offer reference number: CM/PHS/22/5561</w:t>
      </w:r>
    </w:p>
    <w:p w14:paraId="6FC30605"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 </w:t>
      </w:r>
    </w:p>
    <w:p w14:paraId="27CAEED8" w14:textId="77777777" w:rsidR="00332029" w:rsidRDefault="00332029" w:rsidP="00332029">
      <w:pPr>
        <w:pStyle w:val="NormalWeb"/>
        <w:spacing w:before="0" w:beforeAutospacing="0" w:after="0" w:afterAutospacing="0"/>
        <w:rPr>
          <w:rFonts w:ascii="Calibri" w:hAnsi="Calibri" w:cs="Calibri"/>
        </w:rPr>
      </w:pPr>
      <w:r>
        <w:rPr>
          <w:rFonts w:ascii="Arial" w:hAnsi="Arial" w:cs="Arial"/>
          <w:b/>
          <w:bCs/>
        </w:rPr>
        <w:t xml:space="preserve">Period of framework: 1 July 2024 to 30 April 2027 with an option or options to extend (at the Authority’s discretion) for a period or periods up to a total of 14 months.  </w:t>
      </w:r>
      <w:r>
        <w:rPr>
          <w:b/>
          <w:bCs/>
        </w:rPr>
        <w:t> </w:t>
      </w:r>
    </w:p>
    <w:p w14:paraId="2F39A638" w14:textId="77777777" w:rsidR="00332029" w:rsidRDefault="00332029" w:rsidP="00332029">
      <w:pPr>
        <w:pStyle w:val="NormalWeb"/>
        <w:spacing w:before="0" w:beforeAutospacing="0" w:after="0" w:afterAutospacing="0"/>
      </w:pPr>
      <w:r>
        <w:t> </w:t>
      </w:r>
    </w:p>
    <w:p w14:paraId="51AA6C56"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Published By: Medicines Procurement and Supply Chain – NHS Medicines Value &amp; Access, NHS England</w:t>
      </w:r>
    </w:p>
    <w:p w14:paraId="42D47FF9" w14:textId="77777777" w:rsidR="00BF16F9" w:rsidRDefault="00BF16F9" w:rsidP="00BF16F9">
      <w:pPr>
        <w:rPr>
          <w:rFonts w:ascii="Calibri" w:hAnsi="Calibri" w:cs="Calibri"/>
          <w:sz w:val="22"/>
          <w:szCs w:val="22"/>
          <w:lang w:eastAsia="en-GB"/>
        </w:rPr>
      </w:pPr>
    </w:p>
    <w:p w14:paraId="7C19F149" w14:textId="77777777" w:rsidR="0057443A" w:rsidRDefault="0057443A" w:rsidP="00BF16F9">
      <w:pPr>
        <w:rPr>
          <w:rFonts w:ascii="Calibri" w:hAnsi="Calibri" w:cs="Calibri"/>
          <w:sz w:val="22"/>
          <w:szCs w:val="22"/>
          <w:lang w:eastAsia="en-GB"/>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299F8D06" w:rsidR="00BF16F9" w:rsidRDefault="000138B5" w:rsidP="000138B5">
      <w:pPr>
        <w:tabs>
          <w:tab w:val="left" w:pos="5013"/>
        </w:tabs>
        <w:jc w:val="both"/>
        <w:rPr>
          <w:rFonts w:ascii="Arial" w:hAnsi="Arial" w:cs="Arial"/>
          <w:b/>
          <w:sz w:val="28"/>
          <w:szCs w:val="28"/>
        </w:rPr>
      </w:pPr>
      <w:r>
        <w:rPr>
          <w:rFonts w:ascii="Arial" w:hAnsi="Arial" w:cs="Arial"/>
          <w:b/>
          <w:sz w:val="28"/>
          <w:szCs w:val="28"/>
        </w:rPr>
        <w:tab/>
      </w:r>
    </w:p>
    <w:p w14:paraId="01D01E8B" w14:textId="77777777" w:rsidR="00BF16F9" w:rsidRDefault="00BF16F9" w:rsidP="00280F75">
      <w:pPr>
        <w:jc w:val="both"/>
        <w:rPr>
          <w:rFonts w:ascii="Arial" w:hAnsi="Arial" w:cs="Arial"/>
          <w:b/>
          <w:sz w:val="28"/>
          <w:szCs w:val="28"/>
        </w:rPr>
      </w:pPr>
    </w:p>
    <w:p w14:paraId="631D7078" w14:textId="77777777" w:rsidR="00BF16F9" w:rsidRDefault="00BF16F9" w:rsidP="00280F75">
      <w:pPr>
        <w:jc w:val="both"/>
        <w:rPr>
          <w:rFonts w:ascii="Arial" w:hAnsi="Arial" w:cs="Arial"/>
          <w:b/>
          <w:sz w:val="28"/>
          <w:szCs w:val="28"/>
        </w:rPr>
      </w:pPr>
    </w:p>
    <w:p w14:paraId="2887B04E" w14:textId="77777777" w:rsidR="00BF16F9" w:rsidRDefault="00BF16F9" w:rsidP="00280F75">
      <w:pPr>
        <w:jc w:val="both"/>
        <w:rPr>
          <w:rFonts w:ascii="Arial" w:hAnsi="Arial" w:cs="Arial"/>
          <w:b/>
          <w:sz w:val="28"/>
          <w:szCs w:val="28"/>
        </w:rPr>
      </w:pPr>
    </w:p>
    <w:p w14:paraId="65D36EF3" w14:textId="77777777" w:rsidR="00BF16F9" w:rsidRDefault="00BF16F9" w:rsidP="00280F75">
      <w:pPr>
        <w:jc w:val="both"/>
        <w:rPr>
          <w:rFonts w:ascii="Arial" w:hAnsi="Arial" w:cs="Arial"/>
          <w:b/>
          <w:sz w:val="28"/>
          <w:szCs w:val="28"/>
        </w:rPr>
      </w:pPr>
    </w:p>
    <w:p w14:paraId="6D7F31F1" w14:textId="77777777" w:rsidR="00BF16F9" w:rsidRDefault="00BF16F9" w:rsidP="00280F75">
      <w:pPr>
        <w:jc w:val="both"/>
        <w:rPr>
          <w:rFonts w:ascii="Arial" w:hAnsi="Arial" w:cs="Arial"/>
          <w:b/>
          <w:sz w:val="28"/>
          <w:szCs w:val="28"/>
        </w:rPr>
      </w:pPr>
    </w:p>
    <w:p w14:paraId="032CF387" w14:textId="74C4394C" w:rsidR="00565E19" w:rsidRPr="00950AEE" w:rsidRDefault="00A33BC8" w:rsidP="00950AEE">
      <w:pPr>
        <w:tabs>
          <w:tab w:val="left" w:pos="1950"/>
        </w:tabs>
        <w:jc w:val="both"/>
        <w:rPr>
          <w:rFonts w:ascii="Arial" w:hAnsi="Arial" w:cs="Arial"/>
          <w:b/>
          <w:sz w:val="28"/>
          <w:szCs w:val="28"/>
        </w:rPr>
      </w:pPr>
      <w:r>
        <w:rPr>
          <w:rFonts w:ascii="Arial" w:hAnsi="Arial" w:cs="Arial"/>
          <w:b/>
          <w:sz w:val="28"/>
          <w:szCs w:val="28"/>
        </w:rPr>
        <w:lastRenderedPageBreak/>
        <w:tab/>
      </w: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0"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1" w:name="_Hlk109816662"/>
      <w:bookmarkEnd w:id="0"/>
    </w:p>
    <w:bookmarkEnd w:id="1"/>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9" o:title=""/>
          </v:shape>
          <o:OLEObject Type="Embed" ProgID="Acrobat.Document.DC" ShapeID="_x0000_i1025" DrawAspect="Icon" ObjectID="_1769950053"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497A236B" w:rsidR="00FA5310" w:rsidRPr="00130F2D" w:rsidRDefault="00FA5310" w:rsidP="00EF48E6">
      <w:pPr>
        <w:pStyle w:val="BodyText2"/>
        <w:jc w:val="both"/>
        <w:rPr>
          <w:rFonts w:cs="Arial"/>
          <w:bCs/>
          <w:color w:val="auto"/>
          <w:sz w:val="24"/>
        </w:rPr>
      </w:pPr>
      <w:r w:rsidRPr="006B1432">
        <w:rPr>
          <w:rFonts w:cs="Arial"/>
          <w:bCs/>
          <w:color w:val="auto"/>
          <w:sz w:val="24"/>
        </w:rPr>
        <w:t xml:space="preserve">Awards for these </w:t>
      </w:r>
      <w:r w:rsidRPr="00130F2D">
        <w:rPr>
          <w:rFonts w:cs="Arial"/>
          <w:bCs/>
          <w:color w:val="auto"/>
          <w:sz w:val="24"/>
        </w:rPr>
        <w:t xml:space="preserve">products will be made, where possible, to offers meeting the additional specification (subject to the offers meeting all other </w:t>
      </w:r>
      <w:r w:rsidR="0057443A" w:rsidRPr="00130F2D">
        <w:rPr>
          <w:rFonts w:cs="Arial"/>
          <w:bCs/>
          <w:color w:val="auto"/>
          <w:sz w:val="24"/>
        </w:rPr>
        <w:t xml:space="preserve">contract </w:t>
      </w:r>
      <w:r w:rsidRPr="00130F2D">
        <w:rPr>
          <w:rFonts w:cs="Arial"/>
          <w:bCs/>
          <w:color w:val="auto"/>
          <w:sz w:val="24"/>
        </w:rPr>
        <w:t>award criteria</w:t>
      </w:r>
      <w:r w:rsidR="0057443A" w:rsidRPr="00130F2D">
        <w:rPr>
          <w:rFonts w:cs="Arial"/>
          <w:bCs/>
          <w:color w:val="auto"/>
          <w:sz w:val="24"/>
        </w:rPr>
        <w:t xml:space="preserve"> </w:t>
      </w:r>
      <w:r w:rsidRPr="00130F2D">
        <w:rPr>
          <w:rFonts w:cs="Arial"/>
          <w:bCs/>
          <w:color w:val="auto"/>
          <w:sz w:val="24"/>
        </w:rPr>
        <w:t xml:space="preserve">stated in paragraph </w:t>
      </w:r>
      <w:r w:rsidR="003A50CE">
        <w:rPr>
          <w:rFonts w:cs="Arial"/>
          <w:bCs/>
          <w:color w:val="auto"/>
          <w:sz w:val="24"/>
        </w:rPr>
        <w:t>12</w:t>
      </w:r>
      <w:r w:rsidRPr="00130F2D">
        <w:rPr>
          <w:rFonts w:cs="Arial"/>
          <w:bCs/>
          <w:color w:val="auto"/>
          <w:sz w:val="24"/>
        </w:rPr>
        <w:t xml:space="preserve"> of Document No. 02 – Terms of Offer).  </w:t>
      </w:r>
    </w:p>
    <w:p w14:paraId="2009C9F1" w14:textId="2CAEA9CF" w:rsidR="00FA5310" w:rsidRPr="006B1432" w:rsidRDefault="00FA5310" w:rsidP="00CE1D87">
      <w:pPr>
        <w:pStyle w:val="BodyText2"/>
        <w:jc w:val="both"/>
        <w:rPr>
          <w:rFonts w:cs="Arial"/>
          <w:bCs/>
          <w:color w:val="auto"/>
          <w:sz w:val="24"/>
        </w:rPr>
      </w:pPr>
      <w:r w:rsidRPr="00130F2D">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3A50CE">
        <w:rPr>
          <w:rFonts w:cs="Arial"/>
          <w:bCs/>
          <w:color w:val="auto"/>
          <w:sz w:val="24"/>
        </w:rPr>
        <w:t>12</w:t>
      </w:r>
      <w:r w:rsidRPr="00130F2D">
        <w:rPr>
          <w:rFonts w:cs="Arial"/>
          <w:bCs/>
          <w:color w:val="auto"/>
          <w:sz w:val="24"/>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Offerors product information within </w:t>
      </w:r>
      <w:proofErr w:type="spellStart"/>
      <w:r w:rsidRPr="006B1432">
        <w:rPr>
          <w:rFonts w:cs="Arial"/>
          <w:bCs/>
          <w:color w:val="auto"/>
          <w:sz w:val="24"/>
        </w:rPr>
        <w:t>PharmaQC</w:t>
      </w:r>
      <w:proofErr w:type="spellEnd"/>
      <w:r w:rsidRPr="006B1432">
        <w:rPr>
          <w:rFonts w:cs="Arial"/>
          <w:bCs/>
          <w:color w:val="auto"/>
          <w:sz w:val="24"/>
        </w:rPr>
        <w:t xml:space="preserve">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03FB1F2F" w14:textId="77777777" w:rsidR="0057443A" w:rsidRDefault="0057443A" w:rsidP="00CE1D87">
      <w:pPr>
        <w:pStyle w:val="BodyText2"/>
        <w:jc w:val="both"/>
        <w:rPr>
          <w:rFonts w:cs="Arial"/>
          <w:bCs/>
          <w:color w:val="auto"/>
          <w:sz w:val="24"/>
        </w:rPr>
      </w:pPr>
    </w:p>
    <w:p w14:paraId="0628D48E" w14:textId="2705BBBB" w:rsidR="0057443A" w:rsidRPr="004B6A03" w:rsidRDefault="00130F2D" w:rsidP="00CE1D87">
      <w:pPr>
        <w:pStyle w:val="BodyText2"/>
        <w:jc w:val="both"/>
        <w:rPr>
          <w:rFonts w:cs="Arial"/>
          <w:bCs/>
          <w:color w:val="auto"/>
          <w:sz w:val="24"/>
        </w:rPr>
      </w:pPr>
      <w:r>
        <w:rPr>
          <w:rFonts w:cs="Arial"/>
          <w:bCs/>
          <w:color w:val="auto"/>
          <w:sz w:val="24"/>
        </w:rPr>
        <w:t>N/A</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29661A" w:rsidRDefault="00FA5310" w:rsidP="00280F75">
      <w:pPr>
        <w:pStyle w:val="BodyText2"/>
        <w:ind w:left="-567"/>
        <w:jc w:val="both"/>
        <w:rPr>
          <w:rFonts w:cs="Arial"/>
          <w:b/>
          <w:color w:val="auto"/>
          <w:sz w:val="24"/>
        </w:rPr>
      </w:pPr>
    </w:p>
    <w:p w14:paraId="4A099FB9" w14:textId="1E00AFDA" w:rsidR="0057443A" w:rsidRPr="004B6A03" w:rsidRDefault="00B621A0" w:rsidP="0057443A">
      <w:pPr>
        <w:pStyle w:val="BodyText2"/>
        <w:jc w:val="both"/>
        <w:rPr>
          <w:rFonts w:cs="Arial"/>
          <w:bCs/>
          <w:color w:val="auto"/>
          <w:sz w:val="24"/>
        </w:rPr>
      </w:pPr>
      <w:r>
        <w:rPr>
          <w:rFonts w:cs="Arial"/>
          <w:bCs/>
          <w:color w:val="auto"/>
          <w:sz w:val="24"/>
        </w:rPr>
        <w:t>N/A</w:t>
      </w:r>
    </w:p>
    <w:p w14:paraId="37FF2488" w14:textId="77777777" w:rsidR="00094C15" w:rsidRDefault="00094C15" w:rsidP="00280F75">
      <w:pPr>
        <w:pStyle w:val="BodyText2"/>
        <w:ind w:left="-567"/>
        <w:jc w:val="both"/>
        <w:rPr>
          <w:rFonts w:cs="Arial"/>
          <w:bCs/>
          <w:color w:val="auto"/>
          <w:sz w:val="24"/>
        </w:rPr>
      </w:pPr>
    </w:p>
    <w:p w14:paraId="16258F18" w14:textId="4221CFFC"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6E4167E0" w14:textId="3A945A70" w:rsidR="0057443A" w:rsidRPr="004B6A03" w:rsidRDefault="00130F2D" w:rsidP="0057443A">
      <w:pPr>
        <w:pStyle w:val="BodyText2"/>
        <w:jc w:val="both"/>
        <w:rPr>
          <w:rFonts w:cs="Arial"/>
          <w:bCs/>
          <w:color w:val="auto"/>
          <w:sz w:val="24"/>
        </w:rPr>
      </w:pPr>
      <w:r>
        <w:rPr>
          <w:rFonts w:cs="Arial"/>
          <w:bCs/>
          <w:color w:val="auto"/>
          <w:sz w:val="24"/>
        </w:rPr>
        <w:t>N/A</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5E3AFD40" w14:textId="6461E32E" w:rsidR="0057443A" w:rsidRPr="004B6A03" w:rsidRDefault="00130F2D" w:rsidP="0057443A">
      <w:pPr>
        <w:pStyle w:val="BodyText2"/>
        <w:jc w:val="both"/>
        <w:rPr>
          <w:rFonts w:cs="Arial"/>
          <w:bCs/>
          <w:color w:val="auto"/>
          <w:sz w:val="24"/>
        </w:rPr>
      </w:pPr>
      <w:r>
        <w:rPr>
          <w:rFonts w:cs="Arial"/>
          <w:bCs/>
          <w:color w:val="auto"/>
          <w:sz w:val="24"/>
        </w:rPr>
        <w:t>N/A</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18126A47" w14:textId="1E514F55" w:rsidR="0057443A" w:rsidRPr="004B6A03" w:rsidRDefault="00130F2D" w:rsidP="0057443A">
      <w:pPr>
        <w:pStyle w:val="BodyText2"/>
        <w:jc w:val="both"/>
        <w:rPr>
          <w:rFonts w:cs="Arial"/>
          <w:bCs/>
          <w:color w:val="auto"/>
          <w:sz w:val="24"/>
        </w:rPr>
      </w:pPr>
      <w:r>
        <w:rPr>
          <w:rFonts w:cs="Arial"/>
          <w:bCs/>
          <w:color w:val="auto"/>
          <w:sz w:val="24"/>
        </w:rPr>
        <w:t>N/A</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p w14:paraId="2314529F" w14:textId="0D7C29AB" w:rsidR="0057443A" w:rsidRPr="004B6A03" w:rsidRDefault="000D7C92" w:rsidP="0057443A">
      <w:pPr>
        <w:pStyle w:val="BodyText2"/>
        <w:jc w:val="both"/>
        <w:rPr>
          <w:rFonts w:cs="Arial"/>
          <w:bCs/>
          <w:color w:val="auto"/>
          <w:sz w:val="24"/>
        </w:rPr>
      </w:pPr>
      <w:r>
        <w:rPr>
          <w:rFonts w:cs="Arial"/>
          <w:bCs/>
          <w:color w:val="auto"/>
          <w:sz w:val="24"/>
        </w:rPr>
        <w:t>N/A</w:t>
      </w:r>
    </w:p>
    <w:p w14:paraId="2B4E5832" w14:textId="77777777" w:rsidR="00E17C73" w:rsidRPr="00E17C73" w:rsidRDefault="00E17C73" w:rsidP="00E17C73">
      <w:pPr>
        <w:pStyle w:val="BodyText2"/>
        <w:ind w:left="-567" w:firstLine="567"/>
        <w:jc w:val="both"/>
        <w:rPr>
          <w:rFonts w:cs="Arial"/>
          <w:color w:val="auto"/>
          <w:sz w:val="24"/>
        </w:rPr>
      </w:pPr>
    </w:p>
    <w:p w14:paraId="7A9C7333" w14:textId="7B8A8CD0" w:rsidR="00094C15" w:rsidRDefault="00FA5310" w:rsidP="00CE1D87">
      <w:pPr>
        <w:pStyle w:val="BodyText2"/>
        <w:jc w:val="both"/>
        <w:rPr>
          <w:rFonts w:cs="Arial"/>
          <w:color w:val="auto"/>
          <w:sz w:val="24"/>
        </w:rPr>
      </w:pPr>
      <w:r w:rsidRPr="004B6A03">
        <w:rPr>
          <w:rFonts w:cs="Arial"/>
          <w:bCs/>
          <w:color w:val="auto"/>
          <w:sz w:val="24"/>
        </w:rPr>
        <w:t xml:space="preserve">Where no offered product includes a </w:t>
      </w:r>
      <w:proofErr w:type="gramStart"/>
      <w:r w:rsidRPr="004B6A03">
        <w:rPr>
          <w:rFonts w:cs="Arial"/>
          <w:bCs/>
          <w:color w:val="auto"/>
          <w:sz w:val="24"/>
        </w:rPr>
        <w:t>CRC</w:t>
      </w:r>
      <w:proofErr w:type="gramEnd"/>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3E5056F8" w:rsidR="00FA5310" w:rsidRDefault="00FA5310" w:rsidP="00CE1D87">
      <w:pPr>
        <w:pStyle w:val="BodyText2"/>
        <w:jc w:val="both"/>
        <w:rPr>
          <w:rFonts w:cs="Arial"/>
          <w:bCs/>
          <w:color w:val="auto"/>
          <w:sz w:val="24"/>
        </w:rPr>
      </w:pPr>
      <w:r w:rsidRPr="004B6A03">
        <w:rPr>
          <w:rFonts w:cs="Arial"/>
          <w:bCs/>
          <w:color w:val="auto"/>
          <w:sz w:val="24"/>
        </w:rPr>
        <w:t xml:space="preserve">Where offers are received for tablets or capsules or oral solutions/suspensions which do not represent the tendered pack size but represent a suitable alternative patient pack for dispensing awards will be made to the lowest-priced offered patient pack </w:t>
      </w:r>
      <w:r w:rsidRPr="00130F2D">
        <w:rPr>
          <w:rFonts w:cs="Arial"/>
          <w:bCs/>
          <w:color w:val="auto"/>
          <w:sz w:val="24"/>
        </w:rPr>
        <w:t xml:space="preserve">(subject to the offers meeting all other award criteria stated in criteria stated in paragraph </w:t>
      </w:r>
      <w:r w:rsidR="003A50CE">
        <w:rPr>
          <w:rFonts w:cs="Arial"/>
          <w:bCs/>
          <w:color w:val="auto"/>
          <w:sz w:val="24"/>
        </w:rPr>
        <w:t>12</w:t>
      </w:r>
      <w:r w:rsidR="00BC775E" w:rsidRPr="00130F2D">
        <w:rPr>
          <w:rFonts w:cs="Arial"/>
          <w:bCs/>
          <w:color w:val="auto"/>
          <w:sz w:val="24"/>
        </w:rPr>
        <w:t xml:space="preserve"> </w:t>
      </w:r>
      <w:r w:rsidRPr="00130F2D">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 xml:space="preserve">The NPC descriptor ‘form’ may indicate any of the following terms: suspension, oral solution, </w:t>
      </w:r>
      <w:proofErr w:type="gramStart"/>
      <w:r w:rsidRPr="00E51A40">
        <w:rPr>
          <w:rFonts w:ascii="Arial" w:hAnsi="Arial" w:cs="Arial"/>
        </w:rPr>
        <w:t>syrup</w:t>
      </w:r>
      <w:proofErr w:type="gramEnd"/>
      <w:r w:rsidRPr="00E51A40">
        <w:rPr>
          <w:rFonts w:ascii="Arial" w:hAnsi="Arial" w:cs="Arial"/>
        </w:rPr>
        <w:t xml:space="preserve"> or elixir. Regardless of the term used, </w:t>
      </w:r>
      <w:proofErr w:type="gramStart"/>
      <w:r w:rsidRPr="00E51A40">
        <w:rPr>
          <w:rFonts w:ascii="Arial" w:hAnsi="Arial" w:cs="Arial"/>
        </w:rPr>
        <w:t>as long as</w:t>
      </w:r>
      <w:proofErr w:type="gramEnd"/>
      <w:r w:rsidRPr="00E51A40">
        <w:rPr>
          <w:rFonts w:ascii="Arial" w:hAnsi="Arial" w:cs="Arial"/>
        </w:rPr>
        <w:t xml:space="preserve">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 xml:space="preserve">Perindopril - For perindopril </w:t>
      </w:r>
      <w:proofErr w:type="spellStart"/>
      <w:r w:rsidRPr="00FF3D6E">
        <w:rPr>
          <w:rFonts w:ascii="Arial" w:hAnsi="Arial" w:cs="Arial"/>
        </w:rPr>
        <w:t>erbumine</w:t>
      </w:r>
      <w:proofErr w:type="spellEnd"/>
      <w:r w:rsidRPr="00FF3D6E">
        <w:rPr>
          <w:rFonts w:ascii="Arial" w:hAnsi="Arial" w:cs="Arial"/>
        </w:rPr>
        <w:t xml:space="preserve">, any products labelled as 'Perindopril Tert-Butylamine' are acceptable. </w:t>
      </w:r>
      <w:proofErr w:type="spellStart"/>
      <w:r w:rsidRPr="00FF3D6E">
        <w:rPr>
          <w:rFonts w:ascii="Arial" w:hAnsi="Arial" w:cs="Arial"/>
        </w:rPr>
        <w:t>Erbumine</w:t>
      </w:r>
      <w:proofErr w:type="spellEnd"/>
      <w:r w:rsidRPr="00FF3D6E">
        <w:rPr>
          <w:rFonts w:ascii="Arial" w:hAnsi="Arial" w:cs="Arial"/>
        </w:rPr>
        <w:t xml:space="preserv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2" w:name="_Hlk148459927"/>
      <w:r w:rsidRPr="0036183C">
        <w:rPr>
          <w:rFonts w:ascii="Arial" w:hAnsi="Arial" w:cs="Arial"/>
          <w:b/>
          <w:bCs/>
        </w:rPr>
        <w:t xml:space="preserve">Products with labels applied over any original </w:t>
      </w:r>
      <w:proofErr w:type="gramStart"/>
      <w:r w:rsidRPr="0036183C">
        <w:rPr>
          <w:rFonts w:ascii="Arial" w:hAnsi="Arial" w:cs="Arial"/>
          <w:b/>
          <w:bCs/>
        </w:rPr>
        <w:t>packaging</w:t>
      </w:r>
      <w:proofErr w:type="gramEnd"/>
    </w:p>
    <w:p w14:paraId="4526003D" w14:textId="77777777" w:rsidR="008B07AC" w:rsidRDefault="008B07AC" w:rsidP="008B07AC">
      <w:pPr>
        <w:jc w:val="both"/>
        <w:rPr>
          <w:rFonts w:ascii="Arial" w:hAnsi="Arial" w:cs="Arial"/>
        </w:rPr>
      </w:pPr>
    </w:p>
    <w:p w14:paraId="5C792C3C" w14:textId="1357081C" w:rsidR="008B07AC" w:rsidRDefault="0036183C" w:rsidP="008B07AC">
      <w:pPr>
        <w:jc w:val="both"/>
        <w:rPr>
          <w:rFonts w:ascii="Arial" w:hAnsi="Arial" w:cs="Arial"/>
          <w:sz w:val="24"/>
          <w:szCs w:val="24"/>
        </w:rPr>
      </w:pPr>
      <w:r>
        <w:rPr>
          <w:rFonts w:ascii="Arial" w:hAnsi="Arial" w:cs="Arial"/>
          <w:sz w:val="24"/>
          <w:szCs w:val="24"/>
        </w:rPr>
        <w:t xml:space="preserve">The following products are those which are used in an aseptic setting and will receive a ‘Critical’ QA score if the product offered is supplied as re-boxed with an </w:t>
      </w:r>
      <w:proofErr w:type="spellStart"/>
      <w:r>
        <w:rPr>
          <w:rFonts w:ascii="Arial" w:hAnsi="Arial" w:cs="Arial"/>
          <w:sz w:val="24"/>
          <w:szCs w:val="24"/>
        </w:rPr>
        <w:t>overlabelled</w:t>
      </w:r>
      <w:proofErr w:type="spellEnd"/>
      <w:r>
        <w:rPr>
          <w:rFonts w:ascii="Arial" w:hAnsi="Arial" w:cs="Arial"/>
          <w:sz w:val="24"/>
          <w:szCs w:val="24"/>
        </w:rPr>
        <w:t xml:space="preserve"> primary container, or entirely over-labelled with </w:t>
      </w:r>
      <w:proofErr w:type="gramStart"/>
      <w:r>
        <w:rPr>
          <w:rFonts w:ascii="Arial" w:hAnsi="Arial" w:cs="Arial"/>
          <w:sz w:val="24"/>
          <w:szCs w:val="24"/>
        </w:rPr>
        <w:t>a  label</w:t>
      </w:r>
      <w:proofErr w:type="gramEnd"/>
      <w:r>
        <w:rPr>
          <w:rFonts w:ascii="Arial" w:hAnsi="Arial" w:cs="Arial"/>
          <w:sz w:val="24"/>
          <w:szCs w:val="24"/>
        </w:rPr>
        <w:t xml:space="preserve"> in English that obscures or partly obscures the original text in another language.</w:t>
      </w:r>
    </w:p>
    <w:p w14:paraId="342393D2" w14:textId="77777777" w:rsidR="00BC775E" w:rsidRDefault="00BC775E" w:rsidP="008B07AC">
      <w:pPr>
        <w:jc w:val="both"/>
        <w:rPr>
          <w:rFonts w:ascii="Arial" w:hAnsi="Arial" w:cs="Arial"/>
          <w:sz w:val="24"/>
          <w:szCs w:val="24"/>
        </w:rPr>
      </w:pPr>
    </w:p>
    <w:p w14:paraId="758FA571" w14:textId="6B2B4048" w:rsidR="00FB0E38" w:rsidRPr="00BC775E" w:rsidRDefault="00130F2D" w:rsidP="00EF48E6">
      <w:pPr>
        <w:pStyle w:val="BodyText2"/>
        <w:jc w:val="both"/>
        <w:rPr>
          <w:rFonts w:cs="Arial"/>
          <w:szCs w:val="22"/>
        </w:rPr>
      </w:pPr>
      <w:r>
        <w:rPr>
          <w:rFonts w:cs="Arial"/>
          <w:bCs/>
          <w:color w:val="auto"/>
          <w:sz w:val="24"/>
        </w:rPr>
        <w:t>N/A</w:t>
      </w:r>
      <w:r w:rsidR="00BC775E">
        <w:rPr>
          <w:rFonts w:cs="Arial"/>
          <w:bCs/>
          <w:color w:val="auto"/>
          <w:sz w:val="24"/>
        </w:rPr>
        <w:t xml:space="preserve"> </w:t>
      </w:r>
      <w:bookmarkEnd w:id="2"/>
    </w:p>
    <w:sectPr w:rsidR="00FB0E38" w:rsidRPr="00BC775E" w:rsidSect="00577E45">
      <w:headerReference w:type="default" r:id="rId12"/>
      <w:footerReference w:type="even" r:id="rId13"/>
      <w:footerReference w:type="default" r:id="rId14"/>
      <w:headerReference w:type="first" r:id="rId15"/>
      <w:footerReference w:type="first" r:id="rId16"/>
      <w:pgSz w:w="11906" w:h="16838"/>
      <w:pgMar w:top="1440" w:right="1440" w:bottom="1440" w:left="156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3A87" w14:textId="77777777" w:rsidR="00976B15" w:rsidRDefault="00976B15">
      <w:r>
        <w:separator/>
      </w:r>
    </w:p>
  </w:endnote>
  <w:endnote w:type="continuationSeparator" w:id="0">
    <w:p w14:paraId="10AA7265" w14:textId="77777777" w:rsidR="00976B15" w:rsidRDefault="0097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2567" w14:textId="77777777" w:rsidR="00577E45" w:rsidRPr="004D03D6" w:rsidRDefault="00577E45" w:rsidP="00577E45">
    <w:pPr>
      <w:pStyle w:val="Footer"/>
      <w:pBdr>
        <w:top w:val="single" w:sz="4" w:space="1" w:color="005EB8"/>
      </w:pBdr>
      <w:rPr>
        <w:sz w:val="10"/>
        <w:szCs w:val="6"/>
      </w:rPr>
    </w:pPr>
  </w:p>
  <w:p w14:paraId="22431E6C" w14:textId="77777777" w:rsidR="00577E45" w:rsidRPr="00A9376B" w:rsidRDefault="00577E45" w:rsidP="00577E45">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008D0275" w14:textId="77777777" w:rsidR="00577E45" w:rsidRPr="00577E45" w:rsidRDefault="00577E45" w:rsidP="00577E45">
    <w:pPr>
      <w:rPr>
        <w:rFonts w:ascii="Arial" w:hAnsi="Arial" w:cs="Arial"/>
      </w:rPr>
    </w:pPr>
    <w:r w:rsidRPr="00577E45">
      <w:rPr>
        <w:rFonts w:ascii="Arial" w:hAnsi="Arial" w:cs="Arial"/>
      </w:rPr>
      <w:t>© NHS England 2024</w:t>
    </w:r>
  </w:p>
  <w:p w14:paraId="33A1BC29" w14:textId="12527631" w:rsidR="00577E45" w:rsidRPr="004D03D6" w:rsidRDefault="00577E45" w:rsidP="00577E45">
    <w:pPr>
      <w:rPr>
        <w:rFonts w:ascii="Arial" w:hAnsi="Arial" w:cs="Arial"/>
        <w:sz w:val="24"/>
        <w:szCs w:val="24"/>
      </w:rPr>
    </w:pPr>
    <w:r w:rsidRPr="00577E45">
      <w:rPr>
        <w:rFonts w:ascii="Arial" w:hAnsi="Arial" w:cs="Arial"/>
        <w:color w:val="000000"/>
        <w:lang w:eastAsia="en-GB"/>
      </w:rPr>
      <w:t>© NHS Pharmaceutical Quality Assurance Committee</w:t>
    </w:r>
    <w:r w:rsidRPr="00577E45">
      <w:rPr>
        <w:rFonts w:ascii="Arial" w:hAnsi="Arial" w:cs="Arial"/>
        <w:color w:val="000000"/>
        <w:lang w:eastAsia="en-GB"/>
      </w:rPr>
      <w:tab/>
    </w:r>
    <w:r>
      <w:rPr>
        <w:rFonts w:ascii="Arial" w:hAnsi="Arial" w:cs="Arial"/>
        <w:color w:val="000000"/>
        <w:lang w:eastAsia="en-GB"/>
      </w:rPr>
      <w:tab/>
    </w:r>
    <w:r>
      <w:rPr>
        <w:rFonts w:ascii="Arial" w:hAnsi="Arial" w:cs="Arial"/>
        <w:color w:val="000000"/>
        <w:lang w:eastAsia="en-GB"/>
      </w:rPr>
      <w:tab/>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7C5E" w14:textId="77777777" w:rsidR="00976B15" w:rsidRDefault="00976B15">
      <w:r>
        <w:separator/>
      </w:r>
    </w:p>
  </w:footnote>
  <w:footnote w:type="continuationSeparator" w:id="0">
    <w:p w14:paraId="68434F2A" w14:textId="77777777" w:rsidR="00976B15" w:rsidRDefault="0097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2DC9" w14:textId="69099491" w:rsidR="00577E45" w:rsidRPr="004D03D6" w:rsidRDefault="00577E45" w:rsidP="00577E45">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8240" behindDoc="1" locked="1" layoutInCell="1" allowOverlap="0" wp14:anchorId="53401B64" wp14:editId="29FD0113">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535963011" name="Picture 535963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Pr="00577E45">
      <w:rPr>
        <w:rFonts w:ascii="Arial" w:hAnsi="Arial" w:cs="Arial"/>
      </w:rPr>
      <w:t>Assessment Criteria, Stability Protocol and Additional Specification Requirements</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138B5"/>
    <w:rsid w:val="00033083"/>
    <w:rsid w:val="00040D4A"/>
    <w:rsid w:val="00053EE1"/>
    <w:rsid w:val="00070B1C"/>
    <w:rsid w:val="000801D7"/>
    <w:rsid w:val="00094C15"/>
    <w:rsid w:val="000A65CD"/>
    <w:rsid w:val="000D152D"/>
    <w:rsid w:val="000D7C92"/>
    <w:rsid w:val="000E0676"/>
    <w:rsid w:val="00104B58"/>
    <w:rsid w:val="001078AE"/>
    <w:rsid w:val="00130F2D"/>
    <w:rsid w:val="00141E8F"/>
    <w:rsid w:val="00147E8E"/>
    <w:rsid w:val="00153C52"/>
    <w:rsid w:val="001958FC"/>
    <w:rsid w:val="001D3310"/>
    <w:rsid w:val="00275407"/>
    <w:rsid w:val="00280F75"/>
    <w:rsid w:val="00290025"/>
    <w:rsid w:val="0029661A"/>
    <w:rsid w:val="00297AD2"/>
    <w:rsid w:val="00332029"/>
    <w:rsid w:val="00354B17"/>
    <w:rsid w:val="0036183C"/>
    <w:rsid w:val="0036312E"/>
    <w:rsid w:val="003844C7"/>
    <w:rsid w:val="00384769"/>
    <w:rsid w:val="003A0D1D"/>
    <w:rsid w:val="003A50CE"/>
    <w:rsid w:val="003B5CF9"/>
    <w:rsid w:val="003D34C1"/>
    <w:rsid w:val="004014C5"/>
    <w:rsid w:val="004126E9"/>
    <w:rsid w:val="00420F30"/>
    <w:rsid w:val="00421FD9"/>
    <w:rsid w:val="00424B8F"/>
    <w:rsid w:val="00436749"/>
    <w:rsid w:val="00450FDA"/>
    <w:rsid w:val="00475F64"/>
    <w:rsid w:val="004A416B"/>
    <w:rsid w:val="004B6A03"/>
    <w:rsid w:val="004C4ABF"/>
    <w:rsid w:val="00510EA7"/>
    <w:rsid w:val="00514CC1"/>
    <w:rsid w:val="00525B7F"/>
    <w:rsid w:val="00565E19"/>
    <w:rsid w:val="0057443A"/>
    <w:rsid w:val="00577E45"/>
    <w:rsid w:val="005A1502"/>
    <w:rsid w:val="005F15E2"/>
    <w:rsid w:val="005F72E3"/>
    <w:rsid w:val="006173AA"/>
    <w:rsid w:val="00627F6A"/>
    <w:rsid w:val="0063526E"/>
    <w:rsid w:val="0065532E"/>
    <w:rsid w:val="00667DD7"/>
    <w:rsid w:val="006849E3"/>
    <w:rsid w:val="006B1432"/>
    <w:rsid w:val="006B198F"/>
    <w:rsid w:val="006B3F7B"/>
    <w:rsid w:val="006C24F8"/>
    <w:rsid w:val="00715C18"/>
    <w:rsid w:val="00717A09"/>
    <w:rsid w:val="007371F6"/>
    <w:rsid w:val="00742D79"/>
    <w:rsid w:val="00774A4B"/>
    <w:rsid w:val="007F2EAC"/>
    <w:rsid w:val="007F53D3"/>
    <w:rsid w:val="00823894"/>
    <w:rsid w:val="00834A61"/>
    <w:rsid w:val="00845E71"/>
    <w:rsid w:val="008504E4"/>
    <w:rsid w:val="0085481E"/>
    <w:rsid w:val="00856C42"/>
    <w:rsid w:val="0086353E"/>
    <w:rsid w:val="00863F7B"/>
    <w:rsid w:val="008B07AC"/>
    <w:rsid w:val="008E5DE7"/>
    <w:rsid w:val="008F6A42"/>
    <w:rsid w:val="00905462"/>
    <w:rsid w:val="00940521"/>
    <w:rsid w:val="00950AEE"/>
    <w:rsid w:val="00972EC2"/>
    <w:rsid w:val="00976B15"/>
    <w:rsid w:val="009939FF"/>
    <w:rsid w:val="009A2A94"/>
    <w:rsid w:val="009E3E1C"/>
    <w:rsid w:val="00A130CA"/>
    <w:rsid w:val="00A1460D"/>
    <w:rsid w:val="00A21EBD"/>
    <w:rsid w:val="00A33BC8"/>
    <w:rsid w:val="00A4719C"/>
    <w:rsid w:val="00AB7823"/>
    <w:rsid w:val="00AC2D71"/>
    <w:rsid w:val="00AC75B2"/>
    <w:rsid w:val="00AF378F"/>
    <w:rsid w:val="00B01AAC"/>
    <w:rsid w:val="00B32BC4"/>
    <w:rsid w:val="00B330A0"/>
    <w:rsid w:val="00B3311E"/>
    <w:rsid w:val="00B53B0A"/>
    <w:rsid w:val="00B621A0"/>
    <w:rsid w:val="00B95AD2"/>
    <w:rsid w:val="00BA6942"/>
    <w:rsid w:val="00BB2078"/>
    <w:rsid w:val="00BB5ABE"/>
    <w:rsid w:val="00BC775E"/>
    <w:rsid w:val="00BD5790"/>
    <w:rsid w:val="00BF16F9"/>
    <w:rsid w:val="00C36CF8"/>
    <w:rsid w:val="00C4533D"/>
    <w:rsid w:val="00C80CEC"/>
    <w:rsid w:val="00CD3D68"/>
    <w:rsid w:val="00CD7213"/>
    <w:rsid w:val="00CE1D87"/>
    <w:rsid w:val="00CE3AD7"/>
    <w:rsid w:val="00CF69BF"/>
    <w:rsid w:val="00D15315"/>
    <w:rsid w:val="00D155FB"/>
    <w:rsid w:val="00D21313"/>
    <w:rsid w:val="00D23375"/>
    <w:rsid w:val="00D3464C"/>
    <w:rsid w:val="00D55F07"/>
    <w:rsid w:val="00D6098B"/>
    <w:rsid w:val="00D7523F"/>
    <w:rsid w:val="00DA7EB4"/>
    <w:rsid w:val="00DB38A4"/>
    <w:rsid w:val="00DD7280"/>
    <w:rsid w:val="00DF16A5"/>
    <w:rsid w:val="00DF5748"/>
    <w:rsid w:val="00E17C73"/>
    <w:rsid w:val="00E2267A"/>
    <w:rsid w:val="00E357B5"/>
    <w:rsid w:val="00E50CD9"/>
    <w:rsid w:val="00E51A40"/>
    <w:rsid w:val="00E6091B"/>
    <w:rsid w:val="00E66219"/>
    <w:rsid w:val="00E67E63"/>
    <w:rsid w:val="00E95DF6"/>
    <w:rsid w:val="00EB1D87"/>
    <w:rsid w:val="00EE0453"/>
    <w:rsid w:val="00EE11CD"/>
    <w:rsid w:val="00EF48E6"/>
    <w:rsid w:val="00F2005F"/>
    <w:rsid w:val="00F47AA4"/>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 w:type="paragraph" w:styleId="NormalWeb">
    <w:name w:val="Normal (Web)"/>
    <w:basedOn w:val="Normal"/>
    <w:uiPriority w:val="99"/>
    <w:semiHidden/>
    <w:unhideWhenUsed/>
    <w:rsid w:val="00332029"/>
    <w:pPr>
      <w:spacing w:before="100" w:beforeAutospacing="1" w:after="100" w:afterAutospacing="1"/>
    </w:pPr>
    <w:rPr>
      <w:sz w:val="24"/>
      <w:szCs w:val="24"/>
      <w:lang w:eastAsia="en-GB"/>
    </w:rPr>
  </w:style>
  <w:style w:type="paragraph" w:styleId="Revision">
    <w:name w:val="Revision"/>
    <w:hidden/>
    <w:uiPriority w:val="99"/>
    <w:semiHidden/>
    <w:rsid w:val="00CD721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428087879">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58e2d34eb46f432b"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A2783970</value>
    </field>
    <field name="Objective-Title">
      <value order="0">Document No. 04b - Assessment Criteria, Stability Protocol and Additional Specification Requirements CM-PHS-22-5561 v2</value>
    </field>
    <field name="Objective-Description">
      <value order="0"/>
    </field>
    <field name="Objective-CreationStamp">
      <value order="0">2024-02-20T11:44:56Z</value>
    </field>
    <field name="Objective-IsApproved">
      <value order="0">false</value>
    </field>
    <field name="Objective-IsPublished">
      <value order="0">true</value>
    </field>
    <field name="Objective-DatePublished">
      <value order="0">2024-02-20T16:02:05Z</value>
    </field>
    <field name="Objective-ModificationStamp">
      <value order="0">2024-02-20T16:02:05Z</value>
    </field>
    <field name="Objective-Owner">
      <value order="0">Noonan, Katie</value>
    </field>
    <field name="Objective-Path">
      <value order="0">Global Folder:05 Blood Products Team Projects and Contracts:Live Projects:23 Specialised Pharmaceutical projects and contracts 2023:CM/PHS/22/5561 - Products for the treatment of Bleeding Disorders including Haemophilia A and B:03 Tender:02 ITO Documents:00 ITO Docs - PUBLISHED:01 Revised Documents Proposed</value>
    </field>
    <field name="Objective-Parent">
      <value order="0">01 Revised Documents Proposed</value>
    </field>
    <field name="Objective-State">
      <value order="0">Published</value>
    </field>
    <field name="Objective-VersionId">
      <value order="0">vA4279819</value>
    </field>
    <field name="Objective-Version">
      <value order="0">2.0</value>
    </field>
    <field name="Objective-VersionNumber">
      <value order="0">2</value>
    </field>
    <field name="Objective-VersionComment">
      <value order="0"/>
    </field>
    <field name="Objective-FileNumber">
      <value order="0">qA18978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Karen Bell</cp:lastModifiedBy>
  <cp:revision>5</cp:revision>
  <dcterms:created xsi:type="dcterms:W3CDTF">2024-02-20T11:17:00Z</dcterms:created>
  <dcterms:modified xsi:type="dcterms:W3CDTF">2024-02-20T16:01:00Z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A2783970</vt:lpwstr>
  </property>
  <property fmtid="{D5CDD505-2E9C-101B-9397-08002B2CF9AE}" pid="4" name="Objective-Title">
    <vt:lpwstr>Document No. 04b - Assessment Criteria, Stability Protocol and Additional Specification Requirements CM-PHS-22-5561 v2</vt:lpwstr>
  </property>
  <property fmtid="{D5CDD505-2E9C-101B-9397-08002B2CF9AE}" pid="5" name="Objective-Description">
    <vt:lpwstr/>
  </property>
  <property fmtid="{D5CDD505-2E9C-101B-9397-08002B2CF9AE}" pid="6" name="Objective-CreationStamp">
    <vt:filetime>2024-02-20T11:44:56Z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2024-02-20T16:02:05Z</vt:filetime>
  </property>
  <property fmtid="{D5CDD505-2E9C-101B-9397-08002B2CF9AE}" pid="10" name="Objective-ModificationStamp">
    <vt:filetime>2024-02-20T16:02:05Z</vt:filetime>
  </property>
  <property fmtid="{D5CDD505-2E9C-101B-9397-08002B2CF9AE}" pid="11" name="Objective-Owner">
    <vt:lpwstr>Noonan, Katie</vt:lpwstr>
  </property>
  <property fmtid="{D5CDD505-2E9C-101B-9397-08002B2CF9AE}" pid="12" name="Objective-Path">
    <vt:lpwstr>Global Folder:05 Blood Products Team Projects and Contracts:Live Projects:23 Specialised Pharmaceutical projects and contracts 2023:CM/PHS/22/5561 - Products for the treatment of Bleeding Disorders including Haemophilia A and B:03 Tender:02 ITO Documents:00 ITO Docs - PUBLISHED:01 Revised Documents Proposed</vt:lpwstr>
  </property>
  <property fmtid="{D5CDD505-2E9C-101B-9397-08002B2CF9AE}" pid="13" name="Objective-Parent">
    <vt:lpwstr>01 Revised Documents Proposed</vt:lpwstr>
  </property>
  <property fmtid="{D5CDD505-2E9C-101B-9397-08002B2CF9AE}" pid="14" name="Objective-State">
    <vt:lpwstr>Published</vt:lpwstr>
  </property>
  <property fmtid="{D5CDD505-2E9C-101B-9397-08002B2CF9AE}" pid="15" name="Objective-VersionId">
    <vt:lpwstr>vA4279819</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qA18978</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