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598B89D4" w:rsidR="000A3E97" w:rsidRDefault="007C1A6A" w:rsidP="006268C8">
      <w:pPr>
        <w:pStyle w:val="BodyText"/>
        <w:kinsoku w:val="0"/>
        <w:overflowPunct w:val="0"/>
        <w:spacing w:before="11"/>
        <w:ind w:left="567" w:right="-53" w:firstLine="0"/>
        <w:jc w:val="center"/>
        <w:rPr>
          <w:b/>
          <w:bCs/>
          <w:spacing w:val="-1"/>
          <w:sz w:val="36"/>
          <w:szCs w:val="36"/>
        </w:rPr>
      </w:pPr>
      <w:bookmarkStart w:id="0" w:name="_Hlk163142570"/>
      <w:r w:rsidRPr="007C1A6A">
        <w:rPr>
          <w:b/>
          <w:bCs/>
          <w:spacing w:val="-1"/>
          <w:sz w:val="36"/>
          <w:szCs w:val="36"/>
        </w:rPr>
        <w:t>Mawgan-in-</w:t>
      </w:r>
      <w:proofErr w:type="spellStart"/>
      <w:r w:rsidRPr="007C1A6A">
        <w:rPr>
          <w:b/>
          <w:bCs/>
          <w:spacing w:val="-1"/>
          <w:sz w:val="36"/>
          <w:szCs w:val="36"/>
        </w:rPr>
        <w:t>Meneage</w:t>
      </w:r>
      <w:proofErr w:type="spellEnd"/>
      <w:r>
        <w:rPr>
          <w:b/>
          <w:bCs/>
          <w:spacing w:val="-1"/>
          <w:sz w:val="36"/>
          <w:szCs w:val="36"/>
        </w:rPr>
        <w:t>, Cornwall</w:t>
      </w:r>
      <w:r w:rsidRPr="007C1A6A">
        <w:rPr>
          <w:b/>
          <w:bCs/>
          <w:spacing w:val="-1"/>
          <w:sz w:val="36"/>
          <w:szCs w:val="36"/>
        </w:rPr>
        <w:t xml:space="preserve"> Recreation Hall</w:t>
      </w:r>
      <w:r>
        <w:rPr>
          <w:b/>
          <w:bCs/>
          <w:spacing w:val="-1"/>
          <w:sz w:val="36"/>
          <w:szCs w:val="36"/>
        </w:rPr>
        <w:t xml:space="preserve"> Renovation</w:t>
      </w:r>
    </w:p>
    <w:bookmarkEnd w:id="0"/>
    <w:p w14:paraId="1290FE3C" w14:textId="77777777" w:rsidR="007C1A6A" w:rsidRPr="00421CBC" w:rsidRDefault="007C1A6A" w:rsidP="006268C8">
      <w:pPr>
        <w:pStyle w:val="BodyText"/>
        <w:kinsoku w:val="0"/>
        <w:overflowPunct w:val="0"/>
        <w:spacing w:before="11"/>
        <w:ind w:left="567" w:right="-53" w:firstLine="0"/>
        <w:jc w:val="center"/>
        <w:rPr>
          <w:b/>
          <w:bCs/>
          <w:color w:val="FF0000"/>
          <w:sz w:val="36"/>
          <w:szCs w:val="36"/>
        </w:rPr>
      </w:pPr>
    </w:p>
    <w:p w14:paraId="04157EBD" w14:textId="53FB9F4F" w:rsidR="000A3E97"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7C1A6A">
        <w:rPr>
          <w:b/>
          <w:bCs/>
          <w:sz w:val="36"/>
          <w:szCs w:val="36"/>
        </w:rPr>
        <w:t xml:space="preserve"> CLUP</w:t>
      </w:r>
      <w:r w:rsidR="0082709A">
        <w:rPr>
          <w:b/>
          <w:bCs/>
          <w:sz w:val="36"/>
          <w:szCs w:val="36"/>
        </w:rPr>
        <w:t>_01 (re-advert of CLUP)</w:t>
      </w:r>
    </w:p>
    <w:p w14:paraId="798589A1" w14:textId="12FDF055" w:rsidR="0082709A" w:rsidRDefault="0082709A" w:rsidP="006268C8">
      <w:pPr>
        <w:pStyle w:val="BodyText"/>
        <w:kinsoku w:val="0"/>
        <w:overflowPunct w:val="0"/>
        <w:spacing w:before="2"/>
        <w:ind w:left="567" w:right="-53" w:firstLine="0"/>
        <w:jc w:val="center"/>
        <w:rPr>
          <w:b/>
          <w:bCs/>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8D17E24" w14:textId="74F203F1" w:rsidR="0082709A" w:rsidRDefault="0082709A" w:rsidP="00F91691">
      <w:pPr>
        <w:pStyle w:val="Heading1"/>
      </w:pPr>
      <w:r w:rsidRPr="0082709A">
        <w:lastRenderedPageBreak/>
        <w:t>This is the same ITT as previously advertised with reference CLUP. No budget chan</w:t>
      </w:r>
      <w:r>
        <w:t xml:space="preserve">ges have been made only change is the start and completion </w:t>
      </w:r>
      <w:proofErr w:type="gramStart"/>
      <w:r>
        <w:t>dates</w:t>
      </w:r>
      <w:proofErr w:type="gramEnd"/>
    </w:p>
    <w:p w14:paraId="6C981349" w14:textId="77777777" w:rsidR="0082709A" w:rsidRDefault="0082709A" w:rsidP="00F91691">
      <w:pPr>
        <w:pStyle w:val="Heading1"/>
      </w:pPr>
    </w:p>
    <w:p w14:paraId="3FBF7DD0" w14:textId="57E0F807" w:rsidR="008B4124" w:rsidRPr="004A562D" w:rsidRDefault="008B4124" w:rsidP="00F91691">
      <w:pPr>
        <w:pStyle w:val="Heading1"/>
      </w:pPr>
      <w:r w:rsidRPr="004A562D">
        <w:t xml:space="preserve">1. </w:t>
      </w:r>
      <w:r w:rsidR="003D4F03">
        <w:tab/>
      </w:r>
      <w:r w:rsidR="000A3E97" w:rsidRPr="004A562D">
        <w:t xml:space="preserve">About </w:t>
      </w:r>
      <w:bookmarkStart w:id="1" w:name="_Hlk163142550"/>
      <w:r w:rsidR="007A16D8">
        <w:t>Mawgan-in-</w:t>
      </w:r>
      <w:proofErr w:type="spellStart"/>
      <w:r w:rsidR="007A16D8">
        <w:t>Meneage</w:t>
      </w:r>
      <w:proofErr w:type="spellEnd"/>
      <w:r w:rsidR="007A16D8">
        <w:t xml:space="preserve"> Parish Council</w:t>
      </w:r>
      <w:bookmarkEnd w:id="1"/>
    </w:p>
    <w:p w14:paraId="3266C288" w14:textId="77777777" w:rsidR="007A16D8" w:rsidRDefault="007A16D8" w:rsidP="007A16D8">
      <w:pPr>
        <w:rPr>
          <w:rFonts w:ascii="Verdana" w:hAnsi="Verdana"/>
          <w:sz w:val="22"/>
          <w:szCs w:val="22"/>
        </w:rPr>
      </w:pPr>
    </w:p>
    <w:p w14:paraId="34E30C19" w14:textId="77777777" w:rsidR="007A16D8" w:rsidRPr="007A16D8" w:rsidRDefault="007A16D8" w:rsidP="007A16D8">
      <w:pPr>
        <w:rPr>
          <w:rFonts w:ascii="Verdana" w:hAnsi="Verdana"/>
          <w:sz w:val="22"/>
          <w:szCs w:val="22"/>
        </w:rPr>
      </w:pPr>
      <w:r w:rsidRPr="007A16D8">
        <w:rPr>
          <w:rFonts w:ascii="Verdana" w:hAnsi="Verdana"/>
          <w:sz w:val="22"/>
          <w:szCs w:val="22"/>
        </w:rPr>
        <w:t>The parish of Mawgan-in-</w:t>
      </w:r>
      <w:proofErr w:type="spellStart"/>
      <w:r w:rsidRPr="007A16D8">
        <w:rPr>
          <w:rFonts w:ascii="Verdana" w:hAnsi="Verdana"/>
          <w:sz w:val="22"/>
          <w:szCs w:val="22"/>
        </w:rPr>
        <w:t>Meneage</w:t>
      </w:r>
      <w:proofErr w:type="spellEnd"/>
      <w:r w:rsidRPr="007A16D8">
        <w:rPr>
          <w:rFonts w:ascii="Verdana" w:hAnsi="Verdana"/>
          <w:sz w:val="22"/>
          <w:szCs w:val="22"/>
        </w:rPr>
        <w:t xml:space="preserve"> is a largely rural area situated to the south of Helston in the </w:t>
      </w:r>
      <w:proofErr w:type="spellStart"/>
      <w:r w:rsidRPr="007A16D8">
        <w:rPr>
          <w:rFonts w:ascii="Verdana" w:hAnsi="Verdana"/>
          <w:sz w:val="22"/>
          <w:szCs w:val="22"/>
        </w:rPr>
        <w:t>Meneage</w:t>
      </w:r>
      <w:proofErr w:type="spellEnd"/>
      <w:r w:rsidRPr="007A16D8">
        <w:rPr>
          <w:rFonts w:ascii="Verdana" w:hAnsi="Verdana"/>
          <w:sz w:val="22"/>
          <w:szCs w:val="22"/>
        </w:rPr>
        <w:t xml:space="preserve"> area of the Lizard Peninsula.   Mawgan village and the hamlet of </w:t>
      </w:r>
      <w:proofErr w:type="spellStart"/>
      <w:r w:rsidRPr="007A16D8">
        <w:rPr>
          <w:rFonts w:ascii="Verdana" w:hAnsi="Verdana"/>
          <w:sz w:val="22"/>
          <w:szCs w:val="22"/>
        </w:rPr>
        <w:t>Garras</w:t>
      </w:r>
      <w:proofErr w:type="spellEnd"/>
      <w:r w:rsidRPr="007A16D8">
        <w:rPr>
          <w:rFonts w:ascii="Verdana" w:hAnsi="Verdana"/>
          <w:sz w:val="22"/>
          <w:szCs w:val="22"/>
        </w:rPr>
        <w:t xml:space="preserve"> are the principal areas of habitation and the population as at the 2011 census was 1437 of which 736 live at RNAS Culdrose.</w:t>
      </w:r>
    </w:p>
    <w:p w14:paraId="0553DE12" w14:textId="77777777" w:rsidR="007A16D8" w:rsidRPr="007A16D8" w:rsidRDefault="007A16D8" w:rsidP="007A16D8">
      <w:pPr>
        <w:rPr>
          <w:rFonts w:ascii="Verdana" w:hAnsi="Verdana"/>
          <w:sz w:val="22"/>
          <w:szCs w:val="22"/>
        </w:rPr>
      </w:pPr>
    </w:p>
    <w:p w14:paraId="7D7B1AD9" w14:textId="77777777" w:rsidR="007A16D8" w:rsidRPr="007A16D8" w:rsidRDefault="007A16D8" w:rsidP="007A16D8">
      <w:pPr>
        <w:rPr>
          <w:rFonts w:ascii="Verdana" w:hAnsi="Verdana"/>
          <w:sz w:val="22"/>
          <w:szCs w:val="22"/>
        </w:rPr>
      </w:pPr>
      <w:r w:rsidRPr="007A16D8">
        <w:rPr>
          <w:rFonts w:ascii="Verdana" w:hAnsi="Verdana"/>
          <w:sz w:val="22"/>
          <w:szCs w:val="22"/>
        </w:rPr>
        <w:t xml:space="preserve">The parish lies within the Cornwall Area of Outstanding Natural Beauty and the intertidal SSSI touches the parish at </w:t>
      </w:r>
      <w:proofErr w:type="spellStart"/>
      <w:r w:rsidRPr="007A16D8">
        <w:rPr>
          <w:rFonts w:ascii="Verdana" w:hAnsi="Verdana"/>
          <w:sz w:val="22"/>
          <w:szCs w:val="22"/>
        </w:rPr>
        <w:t>Trelowarren</w:t>
      </w:r>
      <w:proofErr w:type="spellEnd"/>
      <w:r w:rsidRPr="007A16D8">
        <w:rPr>
          <w:rFonts w:ascii="Verdana" w:hAnsi="Verdana"/>
          <w:sz w:val="22"/>
          <w:szCs w:val="22"/>
        </w:rPr>
        <w:t xml:space="preserve"> Mill.</w:t>
      </w:r>
    </w:p>
    <w:p w14:paraId="76C1ED84" w14:textId="77777777" w:rsidR="007A16D8" w:rsidRPr="007A16D8" w:rsidRDefault="007A16D8" w:rsidP="007A16D8">
      <w:pPr>
        <w:rPr>
          <w:rFonts w:ascii="Verdana" w:hAnsi="Verdana"/>
          <w:sz w:val="22"/>
          <w:szCs w:val="22"/>
        </w:rPr>
      </w:pPr>
    </w:p>
    <w:p w14:paraId="05444862" w14:textId="1E48074A" w:rsidR="007A16D8" w:rsidRPr="007A16D8" w:rsidRDefault="007A16D8" w:rsidP="007A16D8">
      <w:pPr>
        <w:rPr>
          <w:rFonts w:ascii="Verdana" w:hAnsi="Verdana"/>
          <w:sz w:val="22"/>
          <w:szCs w:val="22"/>
        </w:rPr>
      </w:pPr>
      <w:r w:rsidRPr="007A16D8">
        <w:rPr>
          <w:rFonts w:ascii="Verdana" w:hAnsi="Verdana"/>
          <w:sz w:val="22"/>
          <w:szCs w:val="22"/>
        </w:rPr>
        <w:t>Mawgan-in-</w:t>
      </w:r>
      <w:proofErr w:type="spellStart"/>
      <w:r w:rsidRPr="007A16D8">
        <w:rPr>
          <w:rFonts w:ascii="Verdana" w:hAnsi="Verdana"/>
          <w:sz w:val="22"/>
          <w:szCs w:val="22"/>
        </w:rPr>
        <w:t>Meneage</w:t>
      </w:r>
      <w:proofErr w:type="spellEnd"/>
      <w:r w:rsidRPr="007A16D8">
        <w:rPr>
          <w:rFonts w:ascii="Verdana" w:hAnsi="Verdana"/>
          <w:sz w:val="22"/>
          <w:szCs w:val="22"/>
        </w:rPr>
        <w:t xml:space="preserve"> Recreation Hall has been serving Mawgan and its surrounding communities on the Lizard peninsula since 1983 with continuous involvement from the local community and volunteers. The Trustees of the Hall, in collaboration with the Parish Council and with input from the wider community have identified that it requires expansion and modernisation </w:t>
      </w:r>
      <w:proofErr w:type="gramStart"/>
      <w:r w:rsidRPr="007A16D8">
        <w:rPr>
          <w:rFonts w:ascii="Verdana" w:hAnsi="Verdana"/>
          <w:sz w:val="22"/>
          <w:szCs w:val="22"/>
        </w:rPr>
        <w:t>to:</w:t>
      </w:r>
      <w:proofErr w:type="gramEnd"/>
      <w:r w:rsidRPr="007A16D8">
        <w:rPr>
          <w:rFonts w:ascii="Verdana" w:hAnsi="Verdana"/>
          <w:sz w:val="22"/>
          <w:szCs w:val="22"/>
        </w:rPr>
        <w:t xml:space="preserve"> i) meet current community user needs; ii) evolve (and future-proof) in line with the needs of a diverse range of community members across generational groups; iii) bring new users into the community to boost local pride and the local economy. </w:t>
      </w:r>
    </w:p>
    <w:p w14:paraId="279983A9" w14:textId="77777777" w:rsidR="007A16D8" w:rsidRPr="007A16D8" w:rsidRDefault="007A16D8" w:rsidP="007A16D8">
      <w:pPr>
        <w:rPr>
          <w:rFonts w:ascii="Verdana" w:hAnsi="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6169D00C" w14:textId="6D9FEA5C" w:rsidR="007C1A6A" w:rsidRPr="007C1A6A" w:rsidRDefault="007C1A6A" w:rsidP="007C1A6A">
      <w:pPr>
        <w:widowControl/>
        <w:autoSpaceDE/>
        <w:autoSpaceDN/>
        <w:adjustRightInd/>
        <w:spacing w:after="200" w:line="276" w:lineRule="auto"/>
        <w:rPr>
          <w:rFonts w:ascii="Verdana" w:eastAsia="Calibri" w:hAnsi="Verdana"/>
          <w:sz w:val="22"/>
          <w:szCs w:val="22"/>
          <w:lang w:eastAsia="en-US"/>
        </w:rPr>
      </w:pPr>
      <w:r w:rsidRPr="007C1A6A">
        <w:rPr>
          <w:rFonts w:ascii="Verdana" w:eastAsia="Calibri" w:hAnsi="Verdana"/>
          <w:sz w:val="22"/>
          <w:szCs w:val="22"/>
          <w:lang w:eastAsia="en-US"/>
        </w:rPr>
        <w:t xml:space="preserve">The Hall has not been renovated for forty years and has recently suffered damage to its floors and ceilings due to a water tank leak in the roof space. The period when the Hall was out-of-action really highlighted community reliance on the hall as a space to gather, collaborate, share, and celebrate. Without investment in this vital piece of community infrastructure, the hall will continue to deteriorate, and along with it a central community space. This was highlighted as there has been a fall in hall bookings. </w:t>
      </w:r>
      <w:r>
        <w:rPr>
          <w:rFonts w:ascii="Verdana" w:eastAsia="Calibri" w:hAnsi="Verdana"/>
          <w:sz w:val="22"/>
          <w:szCs w:val="22"/>
          <w:lang w:eastAsia="en-US"/>
        </w:rPr>
        <w:t>There is a need</w:t>
      </w:r>
      <w:r w:rsidRPr="007C1A6A">
        <w:rPr>
          <w:rFonts w:ascii="Verdana" w:eastAsia="Calibri" w:hAnsi="Verdana"/>
          <w:sz w:val="22"/>
          <w:szCs w:val="22"/>
          <w:lang w:eastAsia="en-US"/>
        </w:rPr>
        <w:t xml:space="preserve"> to act now to undertake much needed improvements to the community hall infrastructure, this funding will allow current community members’ needs to be met and avoid any further deterioration of the building.</w:t>
      </w:r>
    </w:p>
    <w:p w14:paraId="10D35A95" w14:textId="6ACB24DD" w:rsidR="007A16D8" w:rsidRDefault="007C1A6A" w:rsidP="007C1A6A">
      <w:pPr>
        <w:widowControl/>
        <w:autoSpaceDE/>
        <w:autoSpaceDN/>
        <w:adjustRightInd/>
        <w:spacing w:after="200" w:line="276" w:lineRule="auto"/>
        <w:rPr>
          <w:rFonts w:ascii="Verdana" w:eastAsia="Calibri" w:hAnsi="Verdana"/>
          <w:sz w:val="22"/>
          <w:szCs w:val="22"/>
          <w:lang w:eastAsia="en-US"/>
        </w:rPr>
      </w:pPr>
      <w:r w:rsidRPr="007C1A6A">
        <w:rPr>
          <w:rFonts w:ascii="Verdana" w:eastAsia="Calibri" w:hAnsi="Verdana"/>
          <w:sz w:val="22"/>
          <w:szCs w:val="22"/>
          <w:lang w:eastAsia="en-US"/>
        </w:rPr>
        <w:t>Physical renovation of the Village Hall will include extending the space by building an extension; enabling disabled access and use; fitting sustainable heating systems; bringing the Hall up to modern technology specifications (</w:t>
      </w:r>
      <w:proofErr w:type="gramStart"/>
      <w:r w:rsidRPr="007C1A6A">
        <w:rPr>
          <w:rFonts w:ascii="Verdana" w:eastAsia="Calibri" w:hAnsi="Verdana"/>
          <w:sz w:val="22"/>
          <w:szCs w:val="22"/>
          <w:lang w:eastAsia="en-US"/>
        </w:rPr>
        <w:t>e.g.</w:t>
      </w:r>
      <w:proofErr w:type="gramEnd"/>
      <w:r w:rsidRPr="007C1A6A">
        <w:rPr>
          <w:rFonts w:ascii="Verdana" w:eastAsia="Calibri" w:hAnsi="Verdana"/>
          <w:sz w:val="22"/>
          <w:szCs w:val="22"/>
          <w:lang w:eastAsia="en-US"/>
        </w:rPr>
        <w:t xml:space="preserve"> projector system and </w:t>
      </w:r>
      <w:proofErr w:type="spellStart"/>
      <w:r w:rsidRPr="007C1A6A">
        <w:rPr>
          <w:rFonts w:ascii="Verdana" w:eastAsia="Calibri" w:hAnsi="Verdana"/>
          <w:sz w:val="22"/>
          <w:szCs w:val="22"/>
          <w:lang w:eastAsia="en-US"/>
        </w:rPr>
        <w:t>Wifi</w:t>
      </w:r>
      <w:proofErr w:type="spellEnd"/>
      <w:r w:rsidRPr="007C1A6A">
        <w:rPr>
          <w:rFonts w:ascii="Verdana" w:eastAsia="Calibri" w:hAnsi="Verdana"/>
          <w:sz w:val="22"/>
          <w:szCs w:val="22"/>
          <w:lang w:eastAsia="en-US"/>
        </w:rPr>
        <w:t xml:space="preserve">); resurfacing the carpark and refitting the kitchen. There will also be some demolition of internal walls, new openings formed within the original structure and reconfiguration and new installation of the toilet facilities to include </w:t>
      </w:r>
      <w:proofErr w:type="gramStart"/>
      <w:r w:rsidRPr="007C1A6A">
        <w:rPr>
          <w:rFonts w:ascii="Verdana" w:eastAsia="Calibri" w:hAnsi="Verdana"/>
          <w:sz w:val="22"/>
          <w:szCs w:val="22"/>
          <w:lang w:eastAsia="en-US"/>
        </w:rPr>
        <w:t>multi user</w:t>
      </w:r>
      <w:proofErr w:type="gramEnd"/>
      <w:r w:rsidRPr="007C1A6A">
        <w:rPr>
          <w:rFonts w:ascii="Verdana" w:eastAsia="Calibri" w:hAnsi="Verdana"/>
          <w:sz w:val="22"/>
          <w:szCs w:val="22"/>
          <w:lang w:eastAsia="en-US"/>
        </w:rPr>
        <w:t xml:space="preserve"> facilities.</w:t>
      </w:r>
    </w:p>
    <w:p w14:paraId="481D0496" w14:textId="0D3A1D50" w:rsidR="007A16D8" w:rsidRPr="007A16D8" w:rsidRDefault="007A16D8" w:rsidP="007C1A6A">
      <w:pPr>
        <w:spacing w:line="276" w:lineRule="auto"/>
        <w:rPr>
          <w:rFonts w:ascii="Verdana" w:eastAsia="Calibri" w:hAnsi="Verdana"/>
          <w:sz w:val="22"/>
          <w:szCs w:val="22"/>
          <w:lang w:eastAsia="en-US"/>
        </w:rPr>
      </w:pPr>
      <w:r w:rsidRPr="007A16D8">
        <w:rPr>
          <w:rFonts w:ascii="Verdana" w:eastAsia="Calibri" w:hAnsi="Verdana"/>
          <w:sz w:val="22"/>
          <w:szCs w:val="22"/>
          <w:lang w:eastAsia="en-US"/>
        </w:rPr>
        <w:t xml:space="preserve">The project will consist of the works to renovate the community hall to a good standard including extending the current space, enabling disabled access and use, fitting a sustainable heating system, updating technology to modern specifications, to include a projector system and WIFI, resurfacing the carpark and refitting the kitchen. The </w:t>
      </w:r>
      <w:r>
        <w:rPr>
          <w:rFonts w:ascii="Verdana" w:eastAsia="Calibri" w:hAnsi="Verdana"/>
          <w:sz w:val="22"/>
          <w:szCs w:val="22"/>
          <w:lang w:eastAsia="en-US"/>
        </w:rPr>
        <w:t>project</w:t>
      </w:r>
      <w:r w:rsidRPr="007A16D8">
        <w:rPr>
          <w:rFonts w:ascii="Verdana" w:eastAsia="Calibri" w:hAnsi="Verdana"/>
          <w:sz w:val="22"/>
          <w:szCs w:val="22"/>
          <w:lang w:eastAsia="en-US"/>
        </w:rPr>
        <w:t xml:space="preserve"> also include</w:t>
      </w:r>
      <w:r>
        <w:rPr>
          <w:rFonts w:ascii="Verdana" w:eastAsia="Calibri" w:hAnsi="Verdana"/>
          <w:sz w:val="22"/>
          <w:szCs w:val="22"/>
          <w:lang w:eastAsia="en-US"/>
        </w:rPr>
        <w:t>s</w:t>
      </w:r>
      <w:r w:rsidRPr="007A16D8">
        <w:rPr>
          <w:rFonts w:ascii="Verdana" w:eastAsia="Calibri" w:hAnsi="Verdana"/>
          <w:sz w:val="22"/>
          <w:szCs w:val="22"/>
          <w:lang w:eastAsia="en-US"/>
        </w:rPr>
        <w:t xml:space="preserve"> the purchase of items needed </w:t>
      </w:r>
      <w:r w:rsidRPr="007A16D8">
        <w:rPr>
          <w:rFonts w:ascii="Verdana" w:eastAsia="Calibri" w:hAnsi="Verdana"/>
          <w:sz w:val="22"/>
          <w:szCs w:val="22"/>
          <w:lang w:eastAsia="en-US"/>
        </w:rPr>
        <w:lastRenderedPageBreak/>
        <w:t xml:space="preserve">within the hall to ensure it has all facilities in place to allow for prolonged community use. </w:t>
      </w:r>
    </w:p>
    <w:p w14:paraId="567A945C" w14:textId="77777777" w:rsidR="003724CF" w:rsidRDefault="003724CF" w:rsidP="002D4526">
      <w:pPr>
        <w:widowControl/>
        <w:autoSpaceDE/>
        <w:autoSpaceDN/>
        <w:adjustRightInd/>
        <w:spacing w:after="200" w:line="276" w:lineRule="auto"/>
        <w:rPr>
          <w:rFonts w:ascii="Verdana" w:eastAsia="Calibri" w:hAnsi="Verdana"/>
          <w:sz w:val="22"/>
          <w:szCs w:val="22"/>
          <w:lang w:eastAsia="en-US"/>
        </w:rPr>
      </w:pPr>
    </w:p>
    <w:p w14:paraId="75016FC5" w14:textId="0E405E9E"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1DBC249F" w:rsidR="002E2791" w:rsidRDefault="00C21622" w:rsidP="007B27FE">
      <w:pPr>
        <w:pStyle w:val="Neading3"/>
        <w:rPr>
          <w:b/>
          <w:bCs/>
        </w:rPr>
      </w:pPr>
      <w:bookmarkStart w:id="2"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55D5BC94" w14:textId="77777777" w:rsidR="00763BAA" w:rsidRPr="007B27FE" w:rsidRDefault="00763BAA" w:rsidP="007B27FE">
      <w:pPr>
        <w:pStyle w:val="Neading3"/>
        <w:rPr>
          <w:b/>
          <w:bCs/>
        </w:rPr>
      </w:pPr>
    </w:p>
    <w:p w14:paraId="4BF81CEE" w14:textId="3BFAC09D" w:rsidR="007B27FE" w:rsidRDefault="00763BAA" w:rsidP="007B27FE">
      <w:pPr>
        <w:pStyle w:val="Neading3"/>
      </w:pPr>
      <w:r>
        <w:rPr>
          <w:noProof/>
        </w:rPr>
        <w:drawing>
          <wp:inline distT="0" distB="0" distL="0" distR="0" wp14:anchorId="3718D478" wp14:editId="40F96DEC">
            <wp:extent cx="3364865" cy="219710"/>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4865" cy="219710"/>
                    </a:xfrm>
                    <a:prstGeom prst="rect">
                      <a:avLst/>
                    </a:prstGeom>
                    <a:noFill/>
                    <a:ln>
                      <a:noFill/>
                    </a:ln>
                  </pic:spPr>
                </pic:pic>
              </a:graphicData>
            </a:graphic>
          </wp:inline>
        </w:drawing>
      </w:r>
    </w:p>
    <w:p w14:paraId="38E7EAEB" w14:textId="77777777" w:rsidR="007B27FE" w:rsidRDefault="007B27FE" w:rsidP="007B27FE">
      <w:pPr>
        <w:pStyle w:val="Neading3"/>
      </w:pPr>
    </w:p>
    <w:p w14:paraId="2548B335" w14:textId="41D2203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352A0E08" w14:textId="77777777" w:rsidR="00763BAA" w:rsidRDefault="00763BAA" w:rsidP="007B27FE">
      <w:pPr>
        <w:pStyle w:val="Neading3"/>
        <w:rPr>
          <w:b/>
          <w:bCs/>
        </w:rPr>
      </w:pPr>
    </w:p>
    <w:p w14:paraId="0B2688F1" w14:textId="1A8A2C4C" w:rsidR="007B27FE" w:rsidRDefault="00763BAA" w:rsidP="007B27FE">
      <w:pPr>
        <w:pStyle w:val="Neading3"/>
        <w:rPr>
          <w:b/>
          <w:bCs/>
        </w:rPr>
      </w:pPr>
      <w:r>
        <w:rPr>
          <w:b/>
          <w:bCs/>
          <w:noProof/>
        </w:rPr>
        <w:drawing>
          <wp:inline distT="0" distB="0" distL="0" distR="0" wp14:anchorId="21A0E7D7" wp14:editId="49995622">
            <wp:extent cx="5010785" cy="4418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785" cy="4418330"/>
                    </a:xfrm>
                    <a:prstGeom prst="rect">
                      <a:avLst/>
                    </a:prstGeom>
                    <a:noFill/>
                    <a:ln>
                      <a:noFill/>
                    </a:ln>
                  </pic:spPr>
                </pic:pic>
              </a:graphicData>
            </a:graphic>
          </wp:inline>
        </w:drawing>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272B1987" w:rsidR="007B27FE" w:rsidRPr="00C20407" w:rsidRDefault="00C20407" w:rsidP="000319AB">
      <w:pPr>
        <w:widowControl/>
        <w:tabs>
          <w:tab w:val="left" w:pos="851"/>
        </w:tabs>
        <w:autoSpaceDE/>
        <w:autoSpaceDN/>
        <w:adjustRightInd/>
        <w:spacing w:after="200"/>
        <w:ind w:left="-142"/>
        <w:rPr>
          <w:rFonts w:ascii="Verdana" w:eastAsia="Calibri" w:hAnsi="Verdana" w:cs="Arial"/>
          <w:bCs/>
          <w:sz w:val="22"/>
          <w:szCs w:val="22"/>
          <w:lang w:eastAsia="en-US"/>
        </w:rPr>
      </w:pPr>
      <w:r w:rsidRPr="00C20407">
        <w:rPr>
          <w:rFonts w:ascii="Verdana" w:eastAsia="Calibri" w:hAnsi="Verdana" w:cs="Arial"/>
          <w:bCs/>
          <w:sz w:val="22"/>
          <w:szCs w:val="22"/>
          <w:lang w:eastAsia="en-US"/>
        </w:rPr>
        <w:t xml:space="preserve"> </w:t>
      </w:r>
      <w:r w:rsidR="000319AB">
        <w:rPr>
          <w:rFonts w:ascii="Verdana" w:eastAsia="Calibri" w:hAnsi="Verdana" w:cs="Arial"/>
          <w:bCs/>
          <w:noProof/>
          <w:sz w:val="22"/>
          <w:szCs w:val="22"/>
          <w:lang w:eastAsia="en-US"/>
        </w:rPr>
        <w:drawing>
          <wp:inline distT="0" distB="0" distL="0" distR="0" wp14:anchorId="56CEC5A4" wp14:editId="20E25D89">
            <wp:extent cx="303593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935" cy="190500"/>
                    </a:xfrm>
                    <a:prstGeom prst="rect">
                      <a:avLst/>
                    </a:prstGeom>
                    <a:noFill/>
                    <a:ln>
                      <a:noFill/>
                    </a:ln>
                  </pic:spPr>
                </pic:pic>
              </a:graphicData>
            </a:graphic>
          </wp:inline>
        </w:drawing>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7928E89C" w:rsidR="00C20407" w:rsidRPr="00C20407" w:rsidRDefault="000319AB"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Completed </w:t>
      </w:r>
      <w:r>
        <w:rPr>
          <w:rFonts w:ascii="Verdana" w:eastAsia="Calibri" w:hAnsi="Verdana" w:cs="Arial"/>
          <w:bCs/>
          <w:noProof/>
          <w:sz w:val="22"/>
          <w:szCs w:val="22"/>
          <w:lang w:eastAsia="en-US"/>
        </w:rPr>
        <w:drawing>
          <wp:anchor distT="0" distB="0" distL="114300" distR="114300" simplePos="0" relativeHeight="251658240" behindDoc="0" locked="0" layoutInCell="1" allowOverlap="1" wp14:anchorId="6F8F333A" wp14:editId="71AD9412">
            <wp:simplePos x="0" y="0"/>
            <wp:positionH relativeFrom="column">
              <wp:posOffset>804545</wp:posOffset>
            </wp:positionH>
            <wp:positionV relativeFrom="paragraph">
              <wp:posOffset>-3810</wp:posOffset>
            </wp:positionV>
            <wp:extent cx="3065145" cy="204470"/>
            <wp:effectExtent l="0" t="0" r="190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5145" cy="204470"/>
                    </a:xfrm>
                    <a:prstGeom prst="rect">
                      <a:avLst/>
                    </a:prstGeom>
                    <a:noFill/>
                    <a:ln>
                      <a:noFill/>
                    </a:ln>
                  </pic:spPr>
                </pic:pic>
              </a:graphicData>
            </a:graphic>
          </wp:anchor>
        </w:drawing>
      </w:r>
    </w:p>
    <w:p w14:paraId="50C96996" w14:textId="2B166942"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15D0C00D" w14:textId="7BB1B8EF" w:rsidR="000319AB" w:rsidRDefault="000319AB"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noProof/>
          <w:sz w:val="22"/>
          <w:szCs w:val="22"/>
          <w:lang w:eastAsia="en-US"/>
        </w:rPr>
        <w:lastRenderedPageBreak/>
        <w:drawing>
          <wp:inline distT="0" distB="0" distL="0" distR="0" wp14:anchorId="71548C42" wp14:editId="6A95462A">
            <wp:extent cx="29260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6080" cy="182880"/>
                    </a:xfrm>
                    <a:prstGeom prst="rect">
                      <a:avLst/>
                    </a:prstGeom>
                    <a:noFill/>
                    <a:ln>
                      <a:noFill/>
                    </a:ln>
                  </pic:spPr>
                </pic:pic>
              </a:graphicData>
            </a:graphic>
          </wp:inline>
        </w:drawing>
      </w:r>
    </w:p>
    <w:bookmarkEnd w:id="2"/>
    <w:p w14:paraId="04E25A6B" w14:textId="59C31467"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722DEB">
        <w:rPr>
          <w:rFonts w:ascii="Verdana" w:eastAsia="Calibri" w:hAnsi="Verdana"/>
          <w:sz w:val="22"/>
          <w:szCs w:val="22"/>
          <w:lang w:eastAsia="en-US"/>
        </w:rPr>
        <w:t>26</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60C12B5D" w:rsidR="005663C5" w:rsidRPr="005663C5" w:rsidRDefault="002F60F5" w:rsidP="007B27FE">
      <w:pPr>
        <w:pStyle w:val="Neading3"/>
      </w:pPr>
      <w:r w:rsidRPr="00C20407">
        <w:rPr>
          <w:rFonts w:cs="Arial"/>
          <w:b/>
          <w:bCs/>
        </w:rPr>
        <w:t>3.</w:t>
      </w:r>
      <w:r w:rsidR="006255A8">
        <w:rPr>
          <w:rFonts w:cs="Arial"/>
          <w:b/>
          <w:bCs/>
        </w:rPr>
        <w:t>7</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7AEA7C32" w14:textId="1E85998C" w:rsidR="002F60F5" w:rsidRPr="00C30B0B" w:rsidRDefault="007A16D8"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Mawgan-in-</w:t>
      </w:r>
      <w:proofErr w:type="spellStart"/>
      <w:r>
        <w:rPr>
          <w:rFonts w:ascii="Verdana" w:eastAsia="Calibri" w:hAnsi="Verdana" w:cs="Arial"/>
          <w:bCs/>
          <w:sz w:val="22"/>
          <w:szCs w:val="22"/>
          <w:lang w:eastAsia="en-US"/>
        </w:rPr>
        <w:t>Meneage</w:t>
      </w:r>
      <w:proofErr w:type="spellEnd"/>
      <w:r>
        <w:rPr>
          <w:rFonts w:ascii="Verdana" w:eastAsia="Calibri" w:hAnsi="Verdana" w:cs="Arial"/>
          <w:bCs/>
          <w:sz w:val="22"/>
          <w:szCs w:val="22"/>
          <w:lang w:eastAsia="en-US"/>
        </w:rPr>
        <w:t xml:space="preserve"> Parish Council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4421A355" w:rsidR="007B44AD" w:rsidRDefault="00722DEB" w:rsidP="00F138F1">
      <w:pPr>
        <w:widowControl/>
        <w:kinsoku w:val="0"/>
        <w:overflowPunct w:val="0"/>
        <w:autoSpaceDE/>
        <w:autoSpaceDN/>
        <w:adjustRightInd/>
        <w:textAlignment w:val="baseline"/>
        <w:rPr>
          <w:rStyle w:val="Heading1Char"/>
        </w:rPr>
      </w:pPr>
      <w:r>
        <w:rPr>
          <w:rStyle w:val="Heading1Char"/>
        </w:rPr>
        <w:lastRenderedPageBreak/>
        <w:br/>
      </w: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82ACF7B"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7C1A6A" w:rsidRPr="007C1A6A">
        <w:rPr>
          <w:rFonts w:ascii="Verdana" w:hAnsi="Verdana"/>
          <w:color w:val="auto"/>
          <w:sz w:val="22"/>
          <w:szCs w:val="22"/>
        </w:rPr>
        <w:t>255</w:t>
      </w:r>
      <w:r w:rsidR="00C20407" w:rsidRPr="007C1A6A">
        <w:rPr>
          <w:rFonts w:ascii="Verdana" w:hAnsi="Verdana"/>
          <w:color w:val="auto"/>
          <w:sz w:val="22"/>
          <w:szCs w:val="22"/>
        </w:rPr>
        <w:t>,</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2D6681E5" w14:textId="5091EA5C" w:rsidR="007C1A6A" w:rsidRDefault="007C1A6A" w:rsidP="00F138F1">
      <w:pPr>
        <w:pStyle w:val="Default"/>
        <w:rPr>
          <w:rFonts w:ascii="Verdana" w:hAnsi="Verdana"/>
          <w:color w:val="auto"/>
          <w:sz w:val="22"/>
          <w:szCs w:val="22"/>
        </w:rPr>
      </w:pPr>
    </w:p>
    <w:p w14:paraId="08D89FCB" w14:textId="6EB91DE9" w:rsidR="007C1A6A" w:rsidRPr="007C1A6A" w:rsidRDefault="007C1A6A" w:rsidP="00F138F1">
      <w:pPr>
        <w:pStyle w:val="Default"/>
        <w:rPr>
          <w:rFonts w:ascii="Verdana" w:hAnsi="Verdana"/>
          <w:b/>
          <w:bCs/>
          <w:color w:val="auto"/>
          <w:sz w:val="22"/>
          <w:szCs w:val="22"/>
        </w:rPr>
      </w:pPr>
      <w:r w:rsidRPr="007C1A6A">
        <w:rPr>
          <w:rFonts w:ascii="Verdana" w:hAnsi="Verdana"/>
          <w:b/>
          <w:bCs/>
          <w:color w:val="auto"/>
          <w:sz w:val="22"/>
          <w:szCs w:val="22"/>
        </w:rPr>
        <w:t xml:space="preserve">Budgets that exceed this will be deemed </w:t>
      </w:r>
      <w:r>
        <w:rPr>
          <w:rFonts w:ascii="Verdana" w:hAnsi="Verdana"/>
          <w:b/>
          <w:bCs/>
          <w:color w:val="auto"/>
          <w:sz w:val="22"/>
          <w:szCs w:val="22"/>
        </w:rPr>
        <w:t>non-</w:t>
      </w:r>
      <w:r w:rsidRPr="007C1A6A">
        <w:rPr>
          <w:rFonts w:ascii="Verdana" w:hAnsi="Verdana"/>
          <w:b/>
          <w:bCs/>
          <w:color w:val="auto"/>
          <w:sz w:val="22"/>
          <w:szCs w:val="22"/>
        </w:rPr>
        <w:t>compliant and will not be assessed</w:t>
      </w:r>
      <w:r>
        <w:rPr>
          <w:rFonts w:ascii="Verdana" w:hAnsi="Verdana"/>
          <w:b/>
          <w:bCs/>
          <w:color w:val="auto"/>
          <w:sz w:val="22"/>
          <w:szCs w:val="22"/>
        </w:rPr>
        <w:t>.</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70BA65E"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the </w:t>
      </w:r>
      <w:r w:rsidR="007A16D8" w:rsidRPr="007A16D8">
        <w:rPr>
          <w:rFonts w:ascii="Verdana" w:hAnsi="Verdana"/>
          <w:sz w:val="22"/>
          <w:szCs w:val="22"/>
        </w:rPr>
        <w:t>JCT 2016 Standard Building Contract Without Quants SBC/XQ 2016</w:t>
      </w:r>
      <w:r w:rsidR="007A16D8">
        <w:rPr>
          <w:rFonts w:ascii="Verdana" w:hAnsi="Verdana"/>
          <w:sz w:val="22"/>
          <w:szCs w:val="22"/>
        </w:rPr>
        <w:t xml:space="preserve"> </w:t>
      </w:r>
      <w:r w:rsidR="0030497B">
        <w:rPr>
          <w:rFonts w:ascii="Verdana" w:hAnsi="Verdana"/>
          <w:sz w:val="22"/>
          <w:szCs w:val="22"/>
        </w:rPr>
        <w:t xml:space="preserve">form of contract but must complete no later </w:t>
      </w:r>
      <w:r w:rsidR="0030497B" w:rsidRPr="00AE742E">
        <w:rPr>
          <w:rFonts w:ascii="Verdana" w:hAnsi="Verdana"/>
          <w:sz w:val="22"/>
          <w:szCs w:val="22"/>
        </w:rPr>
        <w:t xml:space="preserve">than </w:t>
      </w:r>
      <w:r w:rsidR="0085586A" w:rsidRPr="0085586A">
        <w:rPr>
          <w:rFonts w:ascii="Verdana" w:hAnsi="Verdana"/>
          <w:sz w:val="22"/>
          <w:szCs w:val="22"/>
        </w:rPr>
        <w:t>30 November 2024</w:t>
      </w:r>
      <w:r w:rsidRPr="0085586A">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EDE80A3" w:rsidR="004A562D" w:rsidRPr="00231011" w:rsidRDefault="0082709A" w:rsidP="004A562D">
            <w:pPr>
              <w:pStyle w:val="TableParagraph"/>
              <w:kinsoku w:val="0"/>
              <w:overflowPunct w:val="0"/>
              <w:rPr>
                <w:rFonts w:ascii="Verdana" w:hAnsi="Verdana"/>
                <w:sz w:val="22"/>
                <w:szCs w:val="22"/>
              </w:rPr>
            </w:pPr>
            <w:r>
              <w:rPr>
                <w:rFonts w:ascii="Verdana" w:hAnsi="Verdana"/>
                <w:sz w:val="22"/>
                <w:szCs w:val="22"/>
              </w:rPr>
              <w:t>9 May</w:t>
            </w:r>
            <w:r w:rsidR="007C1A6A">
              <w:rPr>
                <w:rFonts w:ascii="Verdana" w:hAnsi="Verdana"/>
                <w:sz w:val="22"/>
                <w:szCs w:val="22"/>
              </w:rPr>
              <w:t xml:space="preserve">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4B81EE03" w:rsidR="00AE742E" w:rsidRPr="007C1A6A" w:rsidRDefault="007C1A6A" w:rsidP="004A562D">
            <w:pPr>
              <w:pStyle w:val="TableParagraph"/>
              <w:kinsoku w:val="0"/>
              <w:overflowPunct w:val="0"/>
              <w:ind w:left="102"/>
              <w:rPr>
                <w:rFonts w:ascii="Verdana" w:hAnsi="Verdana"/>
                <w:b/>
                <w:bCs/>
                <w:sz w:val="22"/>
                <w:szCs w:val="22"/>
              </w:rPr>
            </w:pPr>
            <w:r w:rsidRPr="007C1A6A">
              <w:rPr>
                <w:rFonts w:ascii="Verdana" w:hAnsi="Verdana"/>
                <w:b/>
                <w:bCs/>
                <w:sz w:val="22"/>
                <w:szCs w:val="22"/>
              </w:rPr>
              <w:t xml:space="preserve">Paul </w:t>
            </w:r>
            <w:proofErr w:type="gramStart"/>
            <w:r w:rsidRPr="007C1A6A">
              <w:rPr>
                <w:rFonts w:ascii="Verdana" w:hAnsi="Verdana"/>
                <w:b/>
                <w:bCs/>
                <w:sz w:val="22"/>
                <w:szCs w:val="22"/>
              </w:rPr>
              <w:t>Gendall  paul.gendall@outlook.com</w:t>
            </w:r>
            <w:proofErr w:type="gramEnd"/>
          </w:p>
        </w:tc>
        <w:tc>
          <w:tcPr>
            <w:tcW w:w="2694" w:type="dxa"/>
            <w:shd w:val="clear" w:color="auto" w:fill="auto"/>
          </w:tcPr>
          <w:p w14:paraId="44FB46FD" w14:textId="474F007F" w:rsidR="00AB7130" w:rsidRPr="00231011" w:rsidRDefault="007C1A6A" w:rsidP="004A562D">
            <w:pPr>
              <w:pStyle w:val="TableParagraph"/>
              <w:kinsoku w:val="0"/>
              <w:overflowPunct w:val="0"/>
              <w:rPr>
                <w:rFonts w:ascii="Verdana" w:hAnsi="Verdana"/>
                <w:sz w:val="22"/>
                <w:szCs w:val="22"/>
              </w:rPr>
            </w:pPr>
            <w:r>
              <w:rPr>
                <w:rFonts w:ascii="Verdana" w:hAnsi="Verdana"/>
                <w:sz w:val="22"/>
                <w:szCs w:val="22"/>
              </w:rPr>
              <w:t>1</w:t>
            </w:r>
            <w:r w:rsidR="0082709A">
              <w:rPr>
                <w:rFonts w:ascii="Verdana" w:hAnsi="Verdana"/>
                <w:sz w:val="22"/>
                <w:szCs w:val="22"/>
              </w:rPr>
              <w:t>6</w:t>
            </w:r>
            <w:r>
              <w:rPr>
                <w:rFonts w:ascii="Verdana" w:hAnsi="Verdana"/>
                <w:sz w:val="22"/>
                <w:szCs w:val="22"/>
              </w:rPr>
              <w:t xml:space="preserve"> </w:t>
            </w:r>
            <w:r w:rsidR="0082709A">
              <w:rPr>
                <w:rFonts w:ascii="Verdana" w:hAnsi="Verdana"/>
                <w:sz w:val="22"/>
                <w:szCs w:val="22"/>
              </w:rPr>
              <w:t>May</w:t>
            </w:r>
            <w:r>
              <w:rPr>
                <w:rFonts w:ascii="Verdana" w:hAnsi="Verdana"/>
                <w:sz w:val="22"/>
                <w:szCs w:val="22"/>
              </w:rPr>
              <w:t xml:space="preserve">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449FA169" w:rsidR="004A562D" w:rsidRPr="00231011" w:rsidRDefault="0082709A" w:rsidP="004A562D">
            <w:pPr>
              <w:pStyle w:val="TableParagraph"/>
              <w:kinsoku w:val="0"/>
              <w:overflowPunct w:val="0"/>
              <w:rPr>
                <w:rFonts w:ascii="Verdana" w:hAnsi="Verdana"/>
                <w:sz w:val="22"/>
                <w:szCs w:val="22"/>
              </w:rPr>
            </w:pPr>
            <w:r>
              <w:rPr>
                <w:rFonts w:ascii="Verdana" w:hAnsi="Verdana"/>
                <w:sz w:val="22"/>
                <w:szCs w:val="22"/>
              </w:rPr>
              <w:t>23 May</w:t>
            </w:r>
            <w:r w:rsidR="007C1A6A">
              <w:rPr>
                <w:rFonts w:ascii="Verdana" w:hAnsi="Verdana"/>
                <w:sz w:val="22"/>
                <w:szCs w:val="22"/>
              </w:rPr>
              <w:t xml:space="preserv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EF7E19B" w:rsidR="004A562D" w:rsidRPr="00231011" w:rsidRDefault="007C1A6A" w:rsidP="004A562D">
            <w:pPr>
              <w:pStyle w:val="TableParagraph"/>
              <w:kinsoku w:val="0"/>
              <w:overflowPunct w:val="0"/>
              <w:rPr>
                <w:rFonts w:ascii="Verdana" w:hAnsi="Verdana"/>
                <w:sz w:val="22"/>
                <w:szCs w:val="22"/>
              </w:rPr>
            </w:pPr>
            <w:r>
              <w:rPr>
                <w:rFonts w:ascii="Verdana" w:hAnsi="Verdana"/>
                <w:sz w:val="22"/>
                <w:szCs w:val="22"/>
              </w:rPr>
              <w:t>2</w:t>
            </w:r>
            <w:r w:rsidR="0082709A">
              <w:rPr>
                <w:rFonts w:ascii="Verdana" w:hAnsi="Verdana"/>
                <w:sz w:val="22"/>
                <w:szCs w:val="22"/>
              </w:rPr>
              <w:t>4</w:t>
            </w:r>
            <w:r>
              <w:rPr>
                <w:rFonts w:ascii="Verdana" w:hAnsi="Verdana"/>
                <w:sz w:val="22"/>
                <w:szCs w:val="22"/>
              </w:rPr>
              <w:t xml:space="preserve"> </w:t>
            </w:r>
            <w:r w:rsidR="0082709A">
              <w:rPr>
                <w:rFonts w:ascii="Verdana" w:hAnsi="Verdana"/>
                <w:sz w:val="22"/>
                <w:szCs w:val="22"/>
              </w:rPr>
              <w:t>May</w:t>
            </w:r>
            <w:r>
              <w:rPr>
                <w:rFonts w:ascii="Verdana" w:hAnsi="Verdana"/>
                <w:sz w:val="22"/>
                <w:szCs w:val="22"/>
              </w:rPr>
              <w:t xml:space="preserve">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730377C" w:rsidR="004A562D" w:rsidRPr="00231011" w:rsidRDefault="007C1A6A" w:rsidP="004A562D">
            <w:pPr>
              <w:pStyle w:val="TableParagraph"/>
              <w:kinsoku w:val="0"/>
              <w:overflowPunct w:val="0"/>
              <w:rPr>
                <w:rFonts w:ascii="Verdana" w:hAnsi="Verdana"/>
                <w:b/>
                <w:sz w:val="22"/>
                <w:szCs w:val="22"/>
              </w:rPr>
            </w:pPr>
            <w:r>
              <w:rPr>
                <w:rFonts w:ascii="Verdana" w:hAnsi="Verdana"/>
                <w:b/>
                <w:sz w:val="22"/>
                <w:szCs w:val="22"/>
              </w:rPr>
              <w:t xml:space="preserve">1700: </w:t>
            </w:r>
            <w:r w:rsidR="0082709A">
              <w:rPr>
                <w:rFonts w:ascii="Verdana" w:hAnsi="Verdana"/>
                <w:b/>
                <w:sz w:val="22"/>
                <w:szCs w:val="22"/>
              </w:rPr>
              <w:t>6</w:t>
            </w:r>
            <w:r>
              <w:rPr>
                <w:rFonts w:ascii="Verdana" w:hAnsi="Verdana"/>
                <w:b/>
                <w:sz w:val="22"/>
                <w:szCs w:val="22"/>
              </w:rPr>
              <w:t xml:space="preserve"> </w:t>
            </w:r>
            <w:r w:rsidR="0082709A">
              <w:rPr>
                <w:rFonts w:ascii="Verdana" w:hAnsi="Verdana"/>
                <w:b/>
                <w:sz w:val="22"/>
                <w:szCs w:val="22"/>
              </w:rPr>
              <w:t xml:space="preserve">June </w:t>
            </w:r>
            <w:r>
              <w:rPr>
                <w:rFonts w:ascii="Verdana" w:hAnsi="Verdana"/>
                <w:b/>
                <w:sz w:val="22"/>
                <w:szCs w:val="22"/>
              </w:rPr>
              <w:t>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9CAE6E3" w:rsidR="004A562D" w:rsidRPr="00231011" w:rsidRDefault="0082709A" w:rsidP="004A562D">
            <w:pPr>
              <w:pStyle w:val="TableParagraph"/>
              <w:kinsoku w:val="0"/>
              <w:overflowPunct w:val="0"/>
              <w:rPr>
                <w:rFonts w:ascii="Verdana" w:hAnsi="Verdana"/>
                <w:sz w:val="22"/>
                <w:szCs w:val="22"/>
              </w:rPr>
            </w:pPr>
            <w:r>
              <w:rPr>
                <w:rFonts w:ascii="Verdana" w:hAnsi="Verdana"/>
                <w:sz w:val="22"/>
                <w:szCs w:val="22"/>
              </w:rPr>
              <w:t>7-11 June</w:t>
            </w:r>
            <w:r w:rsidR="007C1A6A">
              <w:rPr>
                <w:rFonts w:ascii="Verdana" w:hAnsi="Verdana"/>
                <w:sz w:val="22"/>
                <w:szCs w:val="22"/>
              </w:rPr>
              <w:t xml:space="preserve"> 2024</w:t>
            </w:r>
          </w:p>
        </w:tc>
      </w:tr>
      <w:tr w:rsidR="00231011" w:rsidRPr="00043839" w14:paraId="050A673F" w14:textId="77777777" w:rsidTr="00AE742E">
        <w:trPr>
          <w:trHeight w:hRule="exact" w:val="411"/>
        </w:trPr>
        <w:tc>
          <w:tcPr>
            <w:tcW w:w="5811" w:type="dxa"/>
            <w:shd w:val="clear" w:color="auto" w:fill="auto"/>
          </w:tcPr>
          <w:p w14:paraId="53163DC9" w14:textId="5792C0F5" w:rsidR="00231011" w:rsidRPr="00231011" w:rsidRDefault="003724CF" w:rsidP="00231011">
            <w:pPr>
              <w:pStyle w:val="TableParagraph"/>
              <w:kinsoku w:val="0"/>
              <w:overflowPunct w:val="0"/>
              <w:ind w:left="102"/>
              <w:rPr>
                <w:rFonts w:ascii="Verdana" w:hAnsi="Verdana"/>
                <w:sz w:val="22"/>
                <w:szCs w:val="22"/>
              </w:rPr>
            </w:pPr>
            <w:r>
              <w:rPr>
                <w:rFonts w:ascii="Verdana" w:hAnsi="Verdana"/>
                <w:sz w:val="22"/>
                <w:szCs w:val="22"/>
              </w:rPr>
              <w:t>Contract award</w:t>
            </w:r>
            <w:r w:rsidR="00231011" w:rsidRPr="00231011">
              <w:rPr>
                <w:rFonts w:ascii="Verdana" w:hAnsi="Verdana"/>
                <w:sz w:val="22"/>
                <w:szCs w:val="22"/>
              </w:rPr>
              <w:t xml:space="preserve"> </w:t>
            </w:r>
          </w:p>
        </w:tc>
        <w:tc>
          <w:tcPr>
            <w:tcW w:w="2694" w:type="dxa"/>
            <w:shd w:val="clear" w:color="auto" w:fill="auto"/>
          </w:tcPr>
          <w:p w14:paraId="174D217D" w14:textId="0EA53D5F" w:rsidR="00231011" w:rsidRPr="00231011" w:rsidRDefault="007C1A6A" w:rsidP="00231011">
            <w:pPr>
              <w:pStyle w:val="TableParagraph"/>
              <w:kinsoku w:val="0"/>
              <w:overflowPunct w:val="0"/>
              <w:rPr>
                <w:rFonts w:ascii="Verdana" w:hAnsi="Verdana"/>
                <w:sz w:val="22"/>
                <w:szCs w:val="22"/>
              </w:rPr>
            </w:pPr>
            <w:r>
              <w:rPr>
                <w:rFonts w:ascii="Verdana" w:hAnsi="Verdana"/>
                <w:sz w:val="22"/>
                <w:szCs w:val="22"/>
              </w:rPr>
              <w:t>1</w:t>
            </w:r>
            <w:r w:rsidR="0082709A">
              <w:rPr>
                <w:rFonts w:ascii="Verdana" w:hAnsi="Verdana"/>
                <w:sz w:val="22"/>
                <w:szCs w:val="22"/>
              </w:rPr>
              <w:t>2</w:t>
            </w:r>
            <w:r>
              <w:rPr>
                <w:rFonts w:ascii="Verdana" w:hAnsi="Verdana"/>
                <w:sz w:val="22"/>
                <w:szCs w:val="22"/>
              </w:rPr>
              <w:t xml:space="preserve"> </w:t>
            </w:r>
            <w:r w:rsidR="0082709A">
              <w:rPr>
                <w:rFonts w:ascii="Verdana" w:hAnsi="Verdana"/>
                <w:sz w:val="22"/>
                <w:szCs w:val="22"/>
              </w:rPr>
              <w:t>June</w:t>
            </w:r>
            <w:r>
              <w:rPr>
                <w:rFonts w:ascii="Verdana" w:hAnsi="Verdana"/>
                <w:sz w:val="22"/>
                <w:szCs w:val="22"/>
              </w:rPr>
              <w:t xml:space="preserve">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722F116B" w:rsidR="00231011" w:rsidRPr="00043839" w:rsidRDefault="0082709A" w:rsidP="00231011">
            <w:pPr>
              <w:pStyle w:val="TableParagraph"/>
              <w:kinsoku w:val="0"/>
              <w:overflowPunct w:val="0"/>
              <w:rPr>
                <w:rFonts w:ascii="Verdana" w:hAnsi="Verdana"/>
                <w:sz w:val="22"/>
                <w:szCs w:val="22"/>
              </w:rPr>
            </w:pPr>
            <w:r>
              <w:rPr>
                <w:rFonts w:ascii="Verdana" w:hAnsi="Verdana"/>
                <w:sz w:val="22"/>
                <w:szCs w:val="22"/>
              </w:rPr>
              <w:t>2 September</w:t>
            </w:r>
            <w:r w:rsidR="007C1A6A">
              <w:rPr>
                <w:rFonts w:ascii="Verdana" w:hAnsi="Verdana"/>
                <w:sz w:val="22"/>
                <w:szCs w:val="22"/>
              </w:rPr>
              <w:t xml:space="preserve"> 2024</w:t>
            </w:r>
          </w:p>
        </w:tc>
      </w:tr>
      <w:tr w:rsidR="00231011" w:rsidRPr="00043839" w14:paraId="46B4C80A" w14:textId="77777777" w:rsidTr="007C1A6A">
        <w:trPr>
          <w:trHeight w:hRule="exact" w:val="726"/>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545AC4C0" w:rsidR="00231011" w:rsidRPr="00043839" w:rsidRDefault="007C1A6A" w:rsidP="00231011">
            <w:pPr>
              <w:pStyle w:val="TableParagraph"/>
              <w:kinsoku w:val="0"/>
              <w:overflowPunct w:val="0"/>
              <w:rPr>
                <w:rFonts w:ascii="Verdana" w:hAnsi="Verdana"/>
                <w:sz w:val="22"/>
                <w:szCs w:val="22"/>
              </w:rPr>
            </w:pPr>
            <w:r>
              <w:rPr>
                <w:rFonts w:ascii="Verdana" w:hAnsi="Verdana"/>
                <w:sz w:val="22"/>
                <w:szCs w:val="22"/>
              </w:rPr>
              <w:t>No later than 3</w:t>
            </w:r>
            <w:r w:rsidR="0082709A">
              <w:rPr>
                <w:rFonts w:ascii="Verdana" w:hAnsi="Verdana"/>
                <w:sz w:val="22"/>
                <w:szCs w:val="22"/>
              </w:rPr>
              <w:t>1</w:t>
            </w:r>
            <w:r>
              <w:rPr>
                <w:rFonts w:ascii="Verdana" w:hAnsi="Verdana"/>
                <w:sz w:val="22"/>
                <w:szCs w:val="22"/>
              </w:rPr>
              <w:t xml:space="preserve"> </w:t>
            </w:r>
            <w:r w:rsidR="0082709A">
              <w:rPr>
                <w:rFonts w:ascii="Verdana" w:hAnsi="Verdana"/>
                <w:sz w:val="22"/>
                <w:szCs w:val="22"/>
              </w:rPr>
              <w:t>December</w:t>
            </w:r>
            <w:r>
              <w:rPr>
                <w:rFonts w:ascii="Verdana" w:hAnsi="Verdana"/>
                <w:sz w:val="22"/>
                <w:szCs w:val="22"/>
              </w:rPr>
              <w:t xml:space="preserve">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5C707EB"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lastRenderedPageBreak/>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t xml:space="preserve">Confirmation that the supplier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5A38F5FF"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722DEB">
        <w:rPr>
          <w:spacing w:val="-1"/>
        </w:rPr>
        <w:t>26</w:t>
      </w:r>
      <w:r w:rsidR="00843C15" w:rsidRPr="00843C15">
        <w:rPr>
          <w:spacing w:val="-1"/>
        </w:rPr>
        <w:t>)</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lastRenderedPageBreak/>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1109421" w:rsidR="002E24C0" w:rsidRPr="00043839" w:rsidRDefault="00087C4B" w:rsidP="00D80C4B">
      <w:pPr>
        <w:pStyle w:val="BodyText"/>
        <w:kinsoku w:val="0"/>
        <w:overflowPunct w:val="0"/>
        <w:ind w:left="851" w:hanging="851"/>
        <w:rPr>
          <w:spacing w:val="-1"/>
        </w:rPr>
      </w:pPr>
      <w:r>
        <w:rPr>
          <w:spacing w:val="-1"/>
        </w:rPr>
        <w:t>6.</w:t>
      </w:r>
      <w:r w:rsidR="007C1CF2">
        <w:rPr>
          <w:spacing w:val="-1"/>
        </w:rPr>
        <w:t>6</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1D6A5E7"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7A16D8">
        <w:rPr>
          <w:rFonts w:ascii="Verdana" w:eastAsia="Times New Roman" w:hAnsi="Verdana" w:cs="Arial Narrow"/>
          <w:sz w:val="22"/>
          <w:szCs w:val="22"/>
        </w:rPr>
        <w:t>Mawgan-in-</w:t>
      </w:r>
      <w:proofErr w:type="spellStart"/>
      <w:r w:rsidR="007A16D8">
        <w:rPr>
          <w:rFonts w:ascii="Verdana" w:eastAsia="Times New Roman" w:hAnsi="Verdana" w:cs="Arial Narrow"/>
          <w:sz w:val="22"/>
          <w:szCs w:val="22"/>
        </w:rPr>
        <w:t>Meneage</w:t>
      </w:r>
      <w:proofErr w:type="spellEnd"/>
      <w:r w:rsidR="007A16D8">
        <w:rPr>
          <w:rFonts w:ascii="Verdana" w:eastAsia="Times New Roman" w:hAnsi="Verdana" w:cs="Arial Narrow"/>
          <w:sz w:val="22"/>
          <w:szCs w:val="22"/>
        </w:rPr>
        <w:t xml:space="preserve"> Parish Council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6D8C0CA"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7A16D8">
        <w:rPr>
          <w:rFonts w:ascii="Verdana" w:hAnsi="Verdana" w:cs="Verdana"/>
          <w:spacing w:val="-1"/>
          <w:sz w:val="22"/>
          <w:szCs w:val="22"/>
        </w:rPr>
        <w:t>Mawgan-in-</w:t>
      </w:r>
      <w:proofErr w:type="spellStart"/>
      <w:r w:rsidR="007A16D8">
        <w:rPr>
          <w:rFonts w:ascii="Verdana" w:hAnsi="Verdana" w:cs="Verdana"/>
          <w:spacing w:val="-1"/>
          <w:sz w:val="22"/>
          <w:szCs w:val="22"/>
        </w:rPr>
        <w:t>Meneage</w:t>
      </w:r>
      <w:proofErr w:type="spellEnd"/>
      <w:r w:rsidR="007A16D8">
        <w:rPr>
          <w:rFonts w:ascii="Verdana" w:hAnsi="Verdana" w:cs="Verdana"/>
          <w:spacing w:val="-1"/>
          <w:sz w:val="22"/>
          <w:szCs w:val="22"/>
        </w:rPr>
        <w:t xml:space="preserve"> Parish Council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024ECD2A"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7A16D8">
        <w:rPr>
          <w:rFonts w:ascii="Verdana" w:eastAsia="Times New Roman" w:hAnsi="Verdana" w:cs="Arial Narrow"/>
          <w:sz w:val="22"/>
          <w:szCs w:val="22"/>
        </w:rPr>
        <w:t>Mawgan-in-</w:t>
      </w:r>
      <w:proofErr w:type="spellStart"/>
      <w:r w:rsidR="007A16D8">
        <w:rPr>
          <w:rFonts w:ascii="Verdana" w:eastAsia="Times New Roman" w:hAnsi="Verdana" w:cs="Arial Narrow"/>
          <w:sz w:val="22"/>
          <w:szCs w:val="22"/>
        </w:rPr>
        <w:t>Meneage</w:t>
      </w:r>
      <w:proofErr w:type="spellEnd"/>
      <w:r w:rsidR="007A16D8">
        <w:rPr>
          <w:rFonts w:ascii="Verdana" w:eastAsia="Times New Roman" w:hAnsi="Verdana" w:cs="Arial Narrow"/>
          <w:sz w:val="22"/>
          <w:szCs w:val="22"/>
        </w:rPr>
        <w:t xml:space="preserve"> Parish Council</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6EE5A981" w:rsidR="00AE742E" w:rsidRPr="007C1A6A" w:rsidRDefault="003724CF" w:rsidP="006268C8">
      <w:pPr>
        <w:pStyle w:val="Default"/>
        <w:spacing w:before="60" w:after="60"/>
        <w:rPr>
          <w:rFonts w:ascii="Verdana" w:hAnsi="Verdana"/>
        </w:rPr>
      </w:pPr>
      <w:hyperlink r:id="rId16" w:history="1">
        <w:r w:rsidR="007C1A6A" w:rsidRPr="007C1A6A">
          <w:rPr>
            <w:rStyle w:val="Hyperlink"/>
            <w:rFonts w:ascii="Verdana" w:hAnsi="Verdana" w:cs="Arial Narrow"/>
          </w:rPr>
          <w:t>paul.gendall@outlook.com</w:t>
        </w:r>
      </w:hyperlink>
    </w:p>
    <w:p w14:paraId="7F5C5E4E" w14:textId="77777777" w:rsidR="007C1A6A" w:rsidRDefault="007C1A6A"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31237F0"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49C4875C"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7A16D8">
        <w:rPr>
          <w:rFonts w:ascii="Verdana" w:hAnsi="Verdana"/>
          <w:color w:val="auto"/>
          <w:spacing w:val="-1"/>
          <w:sz w:val="22"/>
          <w:szCs w:val="22"/>
        </w:rPr>
        <w:t>Mawgan-in-</w:t>
      </w:r>
      <w:proofErr w:type="spellStart"/>
      <w:r w:rsidR="007A16D8">
        <w:rPr>
          <w:rFonts w:ascii="Verdana" w:hAnsi="Verdana"/>
          <w:color w:val="auto"/>
          <w:spacing w:val="-1"/>
          <w:sz w:val="22"/>
          <w:szCs w:val="22"/>
        </w:rPr>
        <w:t>Meneage</w:t>
      </w:r>
      <w:proofErr w:type="spellEnd"/>
      <w:r w:rsidR="007A16D8">
        <w:rPr>
          <w:rFonts w:ascii="Verdana" w:hAnsi="Verdana"/>
          <w:color w:val="auto"/>
          <w:spacing w:val="-1"/>
          <w:sz w:val="22"/>
          <w:szCs w:val="22"/>
        </w:rPr>
        <w:t xml:space="preserve"> Parish Council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BF28CE2" w:rsidR="00F241D3" w:rsidRPr="00043839" w:rsidRDefault="00722DEB" w:rsidP="00F91691">
      <w:pPr>
        <w:pStyle w:val="Heading1"/>
      </w:pPr>
      <w:r>
        <w:br/>
      </w:r>
      <w:r w:rsidR="00F131E4" w:rsidRPr="00043839">
        <w:t>1</w:t>
      </w:r>
      <w:r w:rsidR="00E878B2">
        <w:t>0</w:t>
      </w:r>
      <w:r w:rsidR="00F131E4"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1A6EA7E"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432DDF3"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7C1A6A">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7C1A6A">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1B93752F"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7C1A6A">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3039C747" w14:textId="25987EE0"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lastRenderedPageBreak/>
        <w:t xml:space="preserve">During the tender assessment period,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13138F4C" w:rsidR="00944CA5" w:rsidRDefault="007A16D8" w:rsidP="006268C8">
      <w:pPr>
        <w:pStyle w:val="Default"/>
        <w:spacing w:before="60" w:after="60"/>
        <w:rPr>
          <w:rFonts w:ascii="Verdana" w:hAnsi="Verdana"/>
          <w:color w:val="auto"/>
          <w:sz w:val="22"/>
          <w:szCs w:val="22"/>
        </w:rPr>
      </w:pP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’s internal procedures and </w:t>
      </w: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944CA5" w:rsidRPr="00D80C4B">
        <w:rPr>
          <w:rFonts w:ascii="Verdana" w:hAnsi="Verdana"/>
          <w:color w:val="auto"/>
          <w:sz w:val="22"/>
          <w:szCs w:val="22"/>
        </w:rPr>
        <w:t xml:space="preserve"> being able to proceed.</w:t>
      </w:r>
    </w:p>
    <w:p w14:paraId="706D1E3D" w14:textId="77777777" w:rsidR="00722DEB" w:rsidRPr="00D80C4B" w:rsidRDefault="00722DEB" w:rsidP="006268C8">
      <w:pPr>
        <w:pStyle w:val="Default"/>
        <w:spacing w:before="60" w:after="60"/>
        <w:rPr>
          <w:rFonts w:ascii="Verdana" w:hAnsi="Verdana"/>
          <w:color w:val="auto"/>
          <w:sz w:val="22"/>
          <w:szCs w:val="22"/>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24A9F2CB" w:rsid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722DEB" w:rsidRPr="00722DEB">
        <w:rPr>
          <w:rFonts w:ascii="Verdana" w:eastAsia="Calibri" w:hAnsi="Verdana"/>
          <w:sz w:val="22"/>
          <w:szCs w:val="22"/>
          <w:lang w:eastAsia="en-US"/>
        </w:rPr>
        <w:t>JCT 2016 Standard Building Contract Without Quants SBC/XQ 2016</w:t>
      </w:r>
      <w:r w:rsidR="00AB7130">
        <w:rPr>
          <w:rFonts w:ascii="Verdana" w:eastAsia="Calibri" w:hAnsi="Verdana"/>
          <w:sz w:val="22"/>
          <w:szCs w:val="22"/>
          <w:lang w:eastAsia="en-US"/>
        </w:rPr>
        <w:t>.</w:t>
      </w:r>
    </w:p>
    <w:p w14:paraId="704AFACF" w14:textId="77777777" w:rsidR="00722DEB" w:rsidRPr="00AB7130" w:rsidRDefault="00722DEB" w:rsidP="00AB7130">
      <w:pPr>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7A3FD50" w14:textId="48E0F912" w:rsidR="00B2597F" w:rsidRDefault="003724CF" w:rsidP="00231011">
      <w:pPr>
        <w:pStyle w:val="BodyText"/>
        <w:kinsoku w:val="0"/>
        <w:overflowPunct w:val="0"/>
        <w:ind w:left="0" w:right="255" w:firstLine="0"/>
      </w:pPr>
      <w:hyperlink r:id="rId17" w:history="1">
        <w:r w:rsidR="00722DEB" w:rsidRPr="00337A07">
          <w:rPr>
            <w:rStyle w:val="Hyperlink"/>
            <w:rFonts w:cs="Verdana"/>
          </w:rPr>
          <w:t>clerk@mawganparishcouncil.org.uk</w:t>
        </w:r>
      </w:hyperlink>
    </w:p>
    <w:p w14:paraId="7C60AF5A" w14:textId="77777777" w:rsidR="00722DEB" w:rsidRDefault="00722DEB"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2EED267" w:rsidR="00231011" w:rsidRPr="00B2597F" w:rsidRDefault="00231011" w:rsidP="00231011">
      <w:pPr>
        <w:pStyle w:val="BodyText"/>
        <w:kinsoku w:val="0"/>
        <w:overflowPunct w:val="0"/>
        <w:ind w:left="0" w:right="255" w:firstLine="0"/>
        <w:rPr>
          <w:spacing w:val="-1"/>
        </w:rPr>
      </w:pPr>
      <w:r w:rsidRPr="00B2597F">
        <w:rPr>
          <w:spacing w:val="-1"/>
        </w:rPr>
        <w:t>‘</w:t>
      </w:r>
      <w:r w:rsidR="00B2597F" w:rsidRPr="00B2597F">
        <w:rPr>
          <w:spacing w:val="-1"/>
        </w:rPr>
        <w:t>Mawgan-in-</w:t>
      </w:r>
      <w:proofErr w:type="spellStart"/>
      <w:r w:rsidR="00B2597F" w:rsidRPr="00B2597F">
        <w:rPr>
          <w:spacing w:val="-1"/>
        </w:rPr>
        <w:t>Meneage</w:t>
      </w:r>
      <w:proofErr w:type="spellEnd"/>
      <w:r w:rsidR="00B2597F" w:rsidRPr="00B2597F">
        <w:rPr>
          <w:spacing w:val="-1"/>
        </w:rPr>
        <w:t>, Cornwall Recreation Hall Renovation</w:t>
      </w:r>
      <w:r w:rsidR="00D52D8B" w:rsidRPr="00B2597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431560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and any other party (save for a formal award of contract made in writing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27EE53"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w:t>
      </w:r>
      <w:proofErr w:type="gramStart"/>
      <w:r w:rsidR="007A16D8">
        <w:rPr>
          <w:rFonts w:ascii="Verdana" w:hAnsi="Verdana"/>
          <w:color w:val="auto"/>
          <w:sz w:val="22"/>
          <w:szCs w:val="22"/>
        </w:rPr>
        <w:t>Council</w:t>
      </w:r>
      <w:proofErr w:type="gramEnd"/>
      <w:r w:rsidRPr="00D80C4B">
        <w:rPr>
          <w:rFonts w:ascii="Verdana" w:hAnsi="Verdana"/>
          <w:color w:val="auto"/>
          <w:sz w:val="22"/>
          <w:szCs w:val="22"/>
        </w:rPr>
        <w:t xml:space="preserve"> or any information contained in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0A9AF329" w:rsidR="00F241D3" w:rsidRPr="00D80C4B" w:rsidRDefault="007A16D8" w:rsidP="006268C8">
      <w:pPr>
        <w:pStyle w:val="Default"/>
        <w:spacing w:before="60" w:after="60"/>
        <w:rPr>
          <w:rFonts w:ascii="Verdana" w:hAnsi="Verdana"/>
          <w:color w:val="auto"/>
          <w:sz w:val="22"/>
          <w:szCs w:val="22"/>
        </w:rPr>
      </w:pPr>
      <w:r>
        <w:rPr>
          <w:rFonts w:ascii="Verdana" w:hAnsi="Verdana"/>
          <w:color w:val="auto"/>
          <w:sz w:val="22"/>
          <w:szCs w:val="22"/>
        </w:rPr>
        <w:t>Mawgan-in-</w:t>
      </w:r>
      <w:proofErr w:type="spellStart"/>
      <w:r>
        <w:rPr>
          <w:rFonts w:ascii="Verdana" w:hAnsi="Verdana"/>
          <w:color w:val="auto"/>
          <w:sz w:val="22"/>
          <w:szCs w:val="22"/>
        </w:rPr>
        <w:t>Meneage</w:t>
      </w:r>
      <w:proofErr w:type="spellEnd"/>
      <w:r>
        <w:rPr>
          <w:rFonts w:ascii="Verdana" w:hAnsi="Verdana"/>
          <w:color w:val="auto"/>
          <w:sz w:val="22"/>
          <w:szCs w:val="22"/>
        </w:rPr>
        <w:t xml:space="preserve"> Parish Council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0F6E97F"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7A16D8">
        <w:rPr>
          <w:rFonts w:ascii="Verdana" w:hAnsi="Verdana"/>
          <w:color w:val="auto"/>
          <w:sz w:val="22"/>
          <w:szCs w:val="22"/>
        </w:rPr>
        <w:t>Mawgan-in-</w:t>
      </w:r>
      <w:proofErr w:type="spellStart"/>
      <w:r w:rsidR="007A16D8">
        <w:rPr>
          <w:rFonts w:ascii="Verdana" w:hAnsi="Verdana"/>
          <w:color w:val="auto"/>
          <w:sz w:val="22"/>
          <w:szCs w:val="22"/>
        </w:rPr>
        <w:t>Meneage</w:t>
      </w:r>
      <w:proofErr w:type="spellEnd"/>
      <w:r w:rsidR="007A16D8">
        <w:rPr>
          <w:rFonts w:ascii="Verdana" w:hAnsi="Verdana"/>
          <w:color w:val="auto"/>
          <w:sz w:val="22"/>
          <w:szCs w:val="22"/>
        </w:rPr>
        <w:t xml:space="preserve"> Parish Council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0BDB4BA7" w:rsidR="00843C15" w:rsidRPr="00843C15" w:rsidRDefault="00722DEB" w:rsidP="00843C15">
      <w:pPr>
        <w:tabs>
          <w:tab w:val="left" w:pos="851"/>
        </w:tabs>
        <w:rPr>
          <w:rFonts w:ascii="Verdana" w:hAnsi="Verdana"/>
          <w:sz w:val="22"/>
          <w:szCs w:val="22"/>
        </w:rPr>
      </w:pPr>
      <w:r>
        <w:rPr>
          <w:rFonts w:ascii="Verdana" w:hAnsi="Verdana"/>
          <w:noProof/>
          <w:sz w:val="22"/>
          <w:szCs w:val="22"/>
        </w:rPr>
        <w:lastRenderedPageBreak/>
        <w:drawing>
          <wp:inline distT="0" distB="0" distL="0" distR="0" wp14:anchorId="0503946E" wp14:editId="1E7F2B20">
            <wp:extent cx="4572000" cy="5212800"/>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212800"/>
                    </a:xfrm>
                    <a:prstGeom prst="rect">
                      <a:avLst/>
                    </a:prstGeom>
                    <a:noFill/>
                    <a:ln>
                      <a:noFill/>
                    </a:ln>
                  </pic:spPr>
                </pic:pic>
              </a:graphicData>
            </a:graphic>
          </wp:inline>
        </w:drawing>
      </w:r>
      <w:r w:rsidR="00843C15" w:rsidRPr="00843C15">
        <w:rPr>
          <w:rFonts w:ascii="Verdana" w:hAnsi="Verdana"/>
          <w:sz w:val="22"/>
          <w:szCs w:val="22"/>
        </w:rPr>
        <w:tab/>
      </w:r>
    </w:p>
    <w:p w14:paraId="73C9B4BE" w14:textId="7BD83ECF" w:rsidR="00843C15" w:rsidRPr="00843C15" w:rsidRDefault="00843C15" w:rsidP="00843C15">
      <w:pPr>
        <w:tabs>
          <w:tab w:val="left" w:pos="851"/>
        </w:tabs>
        <w:rPr>
          <w:rFonts w:ascii="Verdana" w:hAnsi="Verdana"/>
          <w:sz w:val="22"/>
          <w:szCs w:val="22"/>
        </w:rPr>
      </w:pPr>
      <w:r>
        <w:rPr>
          <w:rFonts w:ascii="Verdana" w:hAnsi="Verdana"/>
          <w:sz w:val="22"/>
          <w:szCs w:val="22"/>
        </w:rPr>
        <w:tab/>
      </w:r>
      <w:r>
        <w:rPr>
          <w:rFonts w:ascii="Verdana" w:hAnsi="Verdana"/>
          <w:sz w:val="22"/>
          <w:szCs w:val="22"/>
        </w:rPr>
        <w:tab/>
      </w:r>
    </w:p>
    <w:sectPr w:rsidR="00843C15" w:rsidRPr="00843C15" w:rsidSect="002E6D6A">
      <w:headerReference w:type="even" r:id="rId19"/>
      <w:headerReference w:type="default" r:id="rId20"/>
      <w:footerReference w:type="default" r:id="rId21"/>
      <w:headerReference w:type="first" r:id="rId22"/>
      <w:footerReference w:type="first" r:id="rId23"/>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19AB"/>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4CF"/>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2DEB"/>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3BAA"/>
    <w:rsid w:val="007658A3"/>
    <w:rsid w:val="00766204"/>
    <w:rsid w:val="00766801"/>
    <w:rsid w:val="00766A57"/>
    <w:rsid w:val="00773ACB"/>
    <w:rsid w:val="007853FD"/>
    <w:rsid w:val="00785A4B"/>
    <w:rsid w:val="0078790B"/>
    <w:rsid w:val="007A16D8"/>
    <w:rsid w:val="007A2A6A"/>
    <w:rsid w:val="007A3D16"/>
    <w:rsid w:val="007A56B4"/>
    <w:rsid w:val="007B27FE"/>
    <w:rsid w:val="007B44AD"/>
    <w:rsid w:val="007B4BAB"/>
    <w:rsid w:val="007B7A75"/>
    <w:rsid w:val="007C1A6A"/>
    <w:rsid w:val="007C1CF2"/>
    <w:rsid w:val="007D5D25"/>
    <w:rsid w:val="007E5AB6"/>
    <w:rsid w:val="007F2CD3"/>
    <w:rsid w:val="007F3BC4"/>
    <w:rsid w:val="007F4672"/>
    <w:rsid w:val="0080188E"/>
    <w:rsid w:val="00801F87"/>
    <w:rsid w:val="008029AA"/>
    <w:rsid w:val="008048C0"/>
    <w:rsid w:val="008078F5"/>
    <w:rsid w:val="00814F56"/>
    <w:rsid w:val="0082709A"/>
    <w:rsid w:val="008272E9"/>
    <w:rsid w:val="00830FA1"/>
    <w:rsid w:val="008313C2"/>
    <w:rsid w:val="0083230C"/>
    <w:rsid w:val="008331AF"/>
    <w:rsid w:val="00837579"/>
    <w:rsid w:val="00843C15"/>
    <w:rsid w:val="008501D2"/>
    <w:rsid w:val="00852919"/>
    <w:rsid w:val="0085586A"/>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65C5"/>
    <w:rsid w:val="00AE742E"/>
    <w:rsid w:val="00AF0F64"/>
    <w:rsid w:val="00AF284C"/>
    <w:rsid w:val="00AF5A5E"/>
    <w:rsid w:val="00B02843"/>
    <w:rsid w:val="00B0369A"/>
    <w:rsid w:val="00B07B1D"/>
    <w:rsid w:val="00B07CE8"/>
    <w:rsid w:val="00B13DCC"/>
    <w:rsid w:val="00B17D8B"/>
    <w:rsid w:val="00B24D94"/>
    <w:rsid w:val="00B2597F"/>
    <w:rsid w:val="00B338C9"/>
    <w:rsid w:val="00B36B5F"/>
    <w:rsid w:val="00B425DD"/>
    <w:rsid w:val="00B460B8"/>
    <w:rsid w:val="00B52E8E"/>
    <w:rsid w:val="00B573D7"/>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2E8E"/>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AA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1001"/>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lerk@mawganparishcouncil.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gendall@outloo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2987</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2024-05-08T14:29:00Z</dcterms:created>
  <dcterms:modified xsi:type="dcterms:W3CDTF">2024-05-08T14:41:00Z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