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BE" w:rsidRPr="00A523BE" w:rsidRDefault="007658CB" w:rsidP="007658CB">
      <w:pPr>
        <w:rPr>
          <w:b/>
          <w:color w:val="000000"/>
          <w:szCs w:val="22"/>
          <w:u w:val="single"/>
        </w:rPr>
      </w:pPr>
      <w:bookmarkStart w:id="0" w:name="_GoBack"/>
      <w:bookmarkEnd w:id="0"/>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sidR="00A523BE">
        <w:rPr>
          <w:b/>
          <w:color w:val="000000"/>
          <w:szCs w:val="22"/>
          <w:u w:val="single"/>
        </w:rPr>
        <w:t>APPENDIX 1 TO</w:t>
      </w:r>
    </w:p>
    <w:p w:rsidR="007658CB" w:rsidRPr="00D46AD3" w:rsidRDefault="007658CB" w:rsidP="00A523BE">
      <w:pPr>
        <w:ind w:left="6480" w:firstLine="720"/>
        <w:rPr>
          <w:b/>
          <w:color w:val="000000"/>
          <w:szCs w:val="22"/>
          <w:u w:val="single"/>
        </w:rPr>
      </w:pPr>
      <w:r w:rsidRPr="00D46AD3">
        <w:rPr>
          <w:b/>
          <w:color w:val="000000"/>
          <w:szCs w:val="22"/>
          <w:u w:val="single"/>
        </w:rPr>
        <w:t xml:space="preserve">ANNEX </w:t>
      </w:r>
      <w:r w:rsidR="00A523BE">
        <w:rPr>
          <w:b/>
          <w:color w:val="000000"/>
          <w:szCs w:val="22"/>
          <w:u w:val="single"/>
        </w:rPr>
        <w:t>A</w:t>
      </w:r>
      <w:r w:rsidRPr="00D46AD3">
        <w:rPr>
          <w:b/>
          <w:color w:val="000000"/>
          <w:szCs w:val="22"/>
          <w:u w:val="single"/>
        </w:rPr>
        <w:t xml:space="preserve"> TO</w:t>
      </w:r>
    </w:p>
    <w:p w:rsidR="007658CB" w:rsidRPr="00D46AD3" w:rsidRDefault="007658CB" w:rsidP="007658CB">
      <w:pPr>
        <w:rPr>
          <w:b/>
          <w:color w:val="000000"/>
          <w:szCs w:val="22"/>
          <w:u w:val="single"/>
        </w:rPr>
      </w:pP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sidRPr="00D46AD3">
        <w:rPr>
          <w:b/>
          <w:color w:val="000000"/>
          <w:szCs w:val="22"/>
          <w:u w:val="single"/>
        </w:rPr>
        <w:t>ARMYHQ4/00079</w:t>
      </w:r>
    </w:p>
    <w:p w:rsidR="00D46AD3" w:rsidRPr="00D46AD3" w:rsidRDefault="00D46AD3" w:rsidP="007658CB">
      <w:pPr>
        <w:rPr>
          <w:b/>
          <w:color w:val="000000"/>
          <w:szCs w:val="22"/>
          <w:u w:val="single"/>
        </w:rPr>
      </w:pP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Pr>
          <w:b/>
          <w:color w:val="000000"/>
          <w:szCs w:val="22"/>
        </w:rPr>
        <w:tab/>
      </w:r>
      <w:r w:rsidRPr="00D46AD3">
        <w:rPr>
          <w:b/>
          <w:color w:val="000000"/>
          <w:szCs w:val="22"/>
          <w:u w:val="single"/>
        </w:rPr>
        <w:t>DATED</w:t>
      </w:r>
      <w:r w:rsidR="00A523BE">
        <w:rPr>
          <w:b/>
          <w:color w:val="000000"/>
          <w:szCs w:val="22"/>
          <w:u w:val="single"/>
        </w:rPr>
        <w:t xml:space="preserve"> 11 JUL 17</w:t>
      </w:r>
      <w:r w:rsidRPr="00D46AD3">
        <w:rPr>
          <w:b/>
          <w:color w:val="000000"/>
          <w:szCs w:val="22"/>
          <w:u w:val="single"/>
        </w:rPr>
        <w:t xml:space="preserve"> </w:t>
      </w:r>
    </w:p>
    <w:p w:rsidR="007658CB" w:rsidRDefault="007658CB" w:rsidP="007658CB">
      <w:pPr>
        <w:rPr>
          <w:b/>
          <w:color w:val="000000"/>
          <w:szCs w:val="22"/>
        </w:rPr>
      </w:pPr>
    </w:p>
    <w:p w:rsidR="007658CB" w:rsidRDefault="007658CB" w:rsidP="007658CB">
      <w:pPr>
        <w:rPr>
          <w:b/>
          <w:color w:val="000000"/>
          <w:szCs w:val="22"/>
        </w:rPr>
      </w:pPr>
    </w:p>
    <w:p w:rsidR="007658CB" w:rsidRPr="00D46AD3" w:rsidRDefault="007658CB" w:rsidP="00D46AD3">
      <w:pPr>
        <w:jc w:val="center"/>
        <w:rPr>
          <w:b/>
          <w:color w:val="000000"/>
          <w:szCs w:val="22"/>
          <w:u w:val="single"/>
        </w:rPr>
      </w:pPr>
      <w:r w:rsidRPr="00D46AD3">
        <w:rPr>
          <w:b/>
          <w:color w:val="000000"/>
          <w:szCs w:val="22"/>
          <w:u w:val="single"/>
        </w:rPr>
        <w:t>STATEMENT OF REQUIRMENT (SOR)</w:t>
      </w:r>
    </w:p>
    <w:p w:rsidR="007658CB" w:rsidRDefault="00D61146" w:rsidP="00CE702F">
      <w:pPr>
        <w:jc w:val="center"/>
        <w:rPr>
          <w:b/>
          <w:color w:val="000000"/>
          <w:szCs w:val="22"/>
          <w:u w:val="single"/>
        </w:rPr>
      </w:pPr>
      <w:r>
        <w:rPr>
          <w:b/>
          <w:color w:val="000000"/>
          <w:szCs w:val="22"/>
          <w:u w:val="single"/>
        </w:rPr>
        <w:t xml:space="preserve">CONTINUED </w:t>
      </w:r>
      <w:r w:rsidR="007658CB" w:rsidRPr="00D46AD3">
        <w:rPr>
          <w:b/>
          <w:color w:val="000000"/>
          <w:szCs w:val="22"/>
          <w:u w:val="single"/>
        </w:rPr>
        <w:t>TECHNICAL SUPPORT TO THE ARMY INVENTORY CONTROL TOWER</w:t>
      </w:r>
      <w:r w:rsidR="00CE702F">
        <w:rPr>
          <w:b/>
          <w:color w:val="000000"/>
          <w:szCs w:val="22"/>
          <w:u w:val="single"/>
        </w:rPr>
        <w:t xml:space="preserve"> - OUTPUT</w:t>
      </w:r>
      <w:r w:rsidR="007658CB" w:rsidRPr="00D46AD3">
        <w:rPr>
          <w:b/>
          <w:color w:val="000000"/>
          <w:szCs w:val="22"/>
          <w:u w:val="single"/>
        </w:rPr>
        <w:t xml:space="preserve"> </w:t>
      </w:r>
    </w:p>
    <w:p w:rsidR="00CE702F" w:rsidRDefault="00CE702F" w:rsidP="00CE702F">
      <w:pPr>
        <w:jc w:val="center"/>
      </w:pPr>
    </w:p>
    <w:p w:rsidR="007658CB" w:rsidRDefault="007658CB" w:rsidP="001B07AC">
      <w:pPr>
        <w:pStyle w:val="ListNumber"/>
        <w:numPr>
          <w:ilvl w:val="0"/>
          <w:numId w:val="0"/>
        </w:numPr>
        <w:jc w:val="both"/>
      </w:pPr>
    </w:p>
    <w:p w:rsidR="001B07AC" w:rsidRDefault="001B07AC" w:rsidP="001B07AC">
      <w:pPr>
        <w:pStyle w:val="ListNumber"/>
        <w:numPr>
          <w:ilvl w:val="0"/>
          <w:numId w:val="0"/>
        </w:numPr>
        <w:jc w:val="both"/>
      </w:pPr>
      <w:r>
        <w:rPr>
          <w:b/>
        </w:rPr>
        <w:t>Scope of the solution</w:t>
      </w:r>
      <w:r>
        <w:t xml:space="preserve"> </w:t>
      </w:r>
    </w:p>
    <w:p w:rsidR="001B07AC" w:rsidRDefault="001B07AC" w:rsidP="001B07AC">
      <w:pPr>
        <w:pStyle w:val="ListNumber"/>
        <w:numPr>
          <w:ilvl w:val="0"/>
          <w:numId w:val="0"/>
        </w:numPr>
        <w:jc w:val="both"/>
      </w:pPr>
    </w:p>
    <w:p w:rsidR="001B07AC" w:rsidRPr="001B07AC" w:rsidRDefault="001B07AC" w:rsidP="001B07AC">
      <w:pPr>
        <w:pStyle w:val="ListNumber"/>
        <w:tabs>
          <w:tab w:val="clear" w:pos="360"/>
          <w:tab w:val="num" w:pos="0"/>
        </w:tabs>
        <w:ind w:left="0" w:firstLine="0"/>
        <w:jc w:val="both"/>
      </w:pPr>
      <w:r w:rsidRPr="001B07AC">
        <w:t xml:space="preserve">A </w:t>
      </w:r>
      <w:r w:rsidRPr="00D21DCA">
        <w:rPr>
          <w:b/>
          <w:u w:val="single"/>
        </w:rPr>
        <w:t>5 month</w:t>
      </w:r>
      <w:r w:rsidRPr="001B07AC">
        <w:t xml:space="preserve"> milestone based contract that will:</w:t>
      </w:r>
    </w:p>
    <w:p w:rsidR="001B07AC" w:rsidRDefault="001B07AC" w:rsidP="001B07AC">
      <w:pPr>
        <w:pStyle w:val="ListNumber"/>
        <w:numPr>
          <w:ilvl w:val="0"/>
          <w:numId w:val="0"/>
        </w:numPr>
        <w:jc w:val="both"/>
      </w:pPr>
    </w:p>
    <w:p w:rsidR="001B07AC" w:rsidRDefault="001B07AC" w:rsidP="001B07AC">
      <w:pPr>
        <w:pStyle w:val="ListBullet"/>
        <w:numPr>
          <w:ilvl w:val="0"/>
          <w:numId w:val="6"/>
        </w:numPr>
        <w:ind w:left="709" w:firstLine="0"/>
        <w:jc w:val="both"/>
      </w:pPr>
      <w:r>
        <w:t>Develop the roll out plan of the AICT within CFA and Regional Command.</w:t>
      </w:r>
    </w:p>
    <w:p w:rsidR="001B07AC" w:rsidRDefault="001B07AC" w:rsidP="001B07AC">
      <w:pPr>
        <w:pStyle w:val="ListBullet"/>
        <w:numPr>
          <w:ilvl w:val="0"/>
          <w:numId w:val="0"/>
        </w:numPr>
        <w:ind w:left="709"/>
        <w:jc w:val="both"/>
      </w:pPr>
    </w:p>
    <w:p w:rsidR="001B07AC" w:rsidRDefault="001B07AC" w:rsidP="001B07AC">
      <w:pPr>
        <w:pStyle w:val="ListBullet"/>
        <w:numPr>
          <w:ilvl w:val="0"/>
          <w:numId w:val="6"/>
        </w:numPr>
        <w:ind w:left="709" w:firstLine="0"/>
        <w:jc w:val="both"/>
      </w:pPr>
      <w:r>
        <w:t>Provide analytical support in identifying RMC for disposal ahead of the amnesty closure in October 2017.</w:t>
      </w:r>
    </w:p>
    <w:p w:rsidR="001B07AC" w:rsidRDefault="001B07AC" w:rsidP="001B07AC">
      <w:pPr>
        <w:pStyle w:val="ListBullet"/>
        <w:numPr>
          <w:ilvl w:val="0"/>
          <w:numId w:val="0"/>
        </w:numPr>
        <w:jc w:val="both"/>
      </w:pPr>
    </w:p>
    <w:p w:rsidR="001B07AC" w:rsidRDefault="001B07AC" w:rsidP="001B07AC">
      <w:pPr>
        <w:pStyle w:val="ListBullet"/>
        <w:numPr>
          <w:ilvl w:val="0"/>
          <w:numId w:val="6"/>
        </w:numPr>
        <w:ind w:left="709" w:firstLine="0"/>
        <w:jc w:val="both"/>
      </w:pPr>
      <w:r>
        <w:t>Develop the SCCT interface and upload capability from MJDI to Excel and the Private Cloud based system operated by the Army</w:t>
      </w:r>
      <w:r>
        <w:rPr>
          <w:rStyle w:val="FootnoteReference"/>
        </w:rPr>
        <w:footnoteReference w:id="1"/>
      </w:r>
      <w:r>
        <w:t>.</w:t>
      </w:r>
    </w:p>
    <w:p w:rsidR="001B07AC" w:rsidRDefault="001B07AC" w:rsidP="001B07AC">
      <w:pPr>
        <w:pStyle w:val="ListBullet"/>
        <w:numPr>
          <w:ilvl w:val="0"/>
          <w:numId w:val="0"/>
        </w:numPr>
        <w:jc w:val="both"/>
      </w:pPr>
    </w:p>
    <w:p w:rsidR="001B07AC" w:rsidRDefault="001B07AC" w:rsidP="001B07AC">
      <w:pPr>
        <w:pStyle w:val="ListBullet"/>
        <w:numPr>
          <w:ilvl w:val="0"/>
          <w:numId w:val="6"/>
        </w:numPr>
        <w:ind w:left="709" w:firstLine="0"/>
        <w:jc w:val="both"/>
      </w:pPr>
      <w:r>
        <w:t>Propose high level SCCT process, governance structure and integration plan into the ongoing ICT framework.</w:t>
      </w:r>
    </w:p>
    <w:p w:rsidR="001B07AC" w:rsidRDefault="001B07AC" w:rsidP="001B07AC">
      <w:pPr>
        <w:pStyle w:val="ListBullet"/>
        <w:numPr>
          <w:ilvl w:val="0"/>
          <w:numId w:val="0"/>
        </w:numPr>
        <w:jc w:val="both"/>
      </w:pPr>
    </w:p>
    <w:p w:rsidR="001B07AC" w:rsidRDefault="001B07AC" w:rsidP="001B07AC">
      <w:pPr>
        <w:pStyle w:val="ListBullet"/>
        <w:numPr>
          <w:ilvl w:val="0"/>
          <w:numId w:val="6"/>
        </w:numPr>
        <w:ind w:left="709" w:firstLine="0"/>
        <w:jc w:val="both"/>
      </w:pPr>
      <w:r>
        <w:t>Conduct knowledge transfer of cloud upload and SAS system operation in support of the SCCT and at the requisite formations.</w:t>
      </w:r>
    </w:p>
    <w:p w:rsidR="001B07AC" w:rsidRDefault="001B07AC" w:rsidP="001B07AC">
      <w:pPr>
        <w:pStyle w:val="ListBullet"/>
        <w:numPr>
          <w:ilvl w:val="0"/>
          <w:numId w:val="0"/>
        </w:numPr>
        <w:jc w:val="both"/>
      </w:pPr>
    </w:p>
    <w:p w:rsidR="001B07AC" w:rsidRDefault="001B07AC" w:rsidP="001B07AC">
      <w:pPr>
        <w:pStyle w:val="ListBullet"/>
        <w:numPr>
          <w:ilvl w:val="0"/>
          <w:numId w:val="6"/>
        </w:numPr>
        <w:ind w:left="709" w:firstLine="0"/>
        <w:jc w:val="both"/>
      </w:pPr>
      <w:r>
        <w:t>Recommend ways to re-purpose stock or re-allocate stock to enable procurement holidays or reduced expenditure.</w:t>
      </w:r>
    </w:p>
    <w:p w:rsidR="001B07AC" w:rsidRDefault="001B07AC" w:rsidP="001B07AC">
      <w:pPr>
        <w:pStyle w:val="ListParagraph"/>
      </w:pPr>
    </w:p>
    <w:p w:rsidR="001B07AC" w:rsidRDefault="001B07AC" w:rsidP="001B07AC">
      <w:pPr>
        <w:pStyle w:val="ListBullet"/>
        <w:numPr>
          <w:ilvl w:val="0"/>
          <w:numId w:val="6"/>
        </w:numPr>
        <w:ind w:left="709" w:firstLine="0"/>
        <w:jc w:val="both"/>
      </w:pPr>
      <w:r>
        <w:t>Deliver a SAS Cloud enabled management and reporting of forward held PEPs via the SCCT in support of ARO.</w:t>
      </w:r>
    </w:p>
    <w:p w:rsidR="001B07AC" w:rsidRDefault="001B07AC" w:rsidP="001B07AC">
      <w:pPr>
        <w:pStyle w:val="ListBullet"/>
        <w:numPr>
          <w:ilvl w:val="0"/>
          <w:numId w:val="0"/>
        </w:numPr>
        <w:jc w:val="both"/>
      </w:pPr>
    </w:p>
    <w:p w:rsidR="001B07AC" w:rsidRDefault="001B07AC" w:rsidP="001B07AC">
      <w:pPr>
        <w:pStyle w:val="ListBullet"/>
        <w:numPr>
          <w:ilvl w:val="0"/>
          <w:numId w:val="6"/>
        </w:numPr>
        <w:ind w:left="709" w:firstLine="0"/>
        <w:jc w:val="both"/>
      </w:pPr>
      <w:r>
        <w:t>Conduct knowledge transfer to the Army Supply Trade through a series of knowledge transfer sessions as have occurred with 3XX.</w:t>
      </w:r>
    </w:p>
    <w:p w:rsidR="001B07AC" w:rsidRDefault="001B07AC" w:rsidP="001B07AC">
      <w:pPr>
        <w:pStyle w:val="ListBullet"/>
        <w:numPr>
          <w:ilvl w:val="0"/>
          <w:numId w:val="0"/>
        </w:numPr>
        <w:jc w:val="both"/>
      </w:pPr>
    </w:p>
    <w:p w:rsidR="001B07AC" w:rsidRDefault="001B07AC" w:rsidP="001B07AC">
      <w:pPr>
        <w:pStyle w:val="ListBullet"/>
        <w:numPr>
          <w:ilvl w:val="0"/>
          <w:numId w:val="6"/>
        </w:numPr>
        <w:ind w:left="709" w:firstLine="0"/>
        <w:jc w:val="both"/>
      </w:pPr>
      <w:r>
        <w:t>Support the initial identification of under-utilised transport assets in forward held stock locations and review 3</w:t>
      </w:r>
      <w:r w:rsidRPr="00153254">
        <w:rPr>
          <w:vertAlign w:val="superscript"/>
        </w:rPr>
        <w:t>rd</w:t>
      </w:r>
      <w:r>
        <w:t xml:space="preserve"> party spend on Transport with recommendations for reducing annual spend.</w:t>
      </w:r>
    </w:p>
    <w:p w:rsidR="001B07AC" w:rsidRDefault="001B07AC" w:rsidP="001B07AC">
      <w:pPr>
        <w:pStyle w:val="ListBullet"/>
        <w:numPr>
          <w:ilvl w:val="0"/>
          <w:numId w:val="0"/>
        </w:numPr>
        <w:jc w:val="both"/>
      </w:pPr>
    </w:p>
    <w:p w:rsidR="001B07AC" w:rsidRDefault="001B07AC" w:rsidP="001B07AC">
      <w:pPr>
        <w:pStyle w:val="ListBullet"/>
        <w:numPr>
          <w:ilvl w:val="0"/>
          <w:numId w:val="6"/>
        </w:numPr>
        <w:ind w:left="709" w:firstLine="0"/>
        <w:jc w:val="both"/>
      </w:pPr>
      <w:r>
        <w:t>Fleet and personnel utilisation initial assessment of Army organic lift assets.</w:t>
      </w:r>
    </w:p>
    <w:p w:rsidR="001B07AC" w:rsidRDefault="001B07AC" w:rsidP="001B07AC">
      <w:pPr>
        <w:pStyle w:val="ListBullet"/>
        <w:numPr>
          <w:ilvl w:val="0"/>
          <w:numId w:val="0"/>
        </w:numPr>
        <w:jc w:val="both"/>
      </w:pPr>
    </w:p>
    <w:p w:rsidR="001B07AC" w:rsidRDefault="001B07AC" w:rsidP="001B07AC">
      <w:pPr>
        <w:pStyle w:val="ListBullet"/>
        <w:numPr>
          <w:ilvl w:val="0"/>
          <w:numId w:val="6"/>
        </w:numPr>
        <w:ind w:left="709" w:firstLine="0"/>
        <w:jc w:val="both"/>
      </w:pPr>
      <w:r>
        <w:t>Benefit modelling of SCCT to include cashable savings from transport (e.g. reduced 3</w:t>
      </w:r>
      <w:r w:rsidRPr="00D40D0C">
        <w:rPr>
          <w:vertAlign w:val="superscript"/>
        </w:rPr>
        <w:t>rd</w:t>
      </w:r>
      <w:r>
        <w:t xml:space="preserve"> party haulage spend and reduced training costs for RLC drivers), non-cashable financial benefits (e.g. Gross Book Value reductions) and capability improvements (e.g. enhanced training delivery).</w:t>
      </w:r>
    </w:p>
    <w:p w:rsidR="001B07AC" w:rsidRDefault="001B07AC" w:rsidP="001B07AC">
      <w:pPr>
        <w:pStyle w:val="ListBullet"/>
        <w:numPr>
          <w:ilvl w:val="0"/>
          <w:numId w:val="0"/>
        </w:numPr>
        <w:jc w:val="both"/>
      </w:pPr>
    </w:p>
    <w:p w:rsidR="001B07AC" w:rsidRDefault="001B07AC" w:rsidP="001B07AC">
      <w:pPr>
        <w:pStyle w:val="ListBullet"/>
        <w:numPr>
          <w:ilvl w:val="0"/>
          <w:numId w:val="6"/>
        </w:numPr>
        <w:ind w:left="709" w:firstLine="0"/>
        <w:jc w:val="both"/>
      </w:pPr>
      <w:r>
        <w:t>Develop in-house SCCT data visualisation capability using Army owned systems on DII</w:t>
      </w:r>
      <w:r>
        <w:rPr>
          <w:rStyle w:val="FootnoteReference"/>
        </w:rPr>
        <w:footnoteReference w:id="2"/>
      </w:r>
      <w:r>
        <w:t>.</w:t>
      </w:r>
    </w:p>
    <w:p w:rsidR="001B07AC" w:rsidRDefault="001B07AC" w:rsidP="001B07AC">
      <w:pPr>
        <w:pStyle w:val="ListNumber"/>
        <w:numPr>
          <w:ilvl w:val="0"/>
          <w:numId w:val="0"/>
        </w:numPr>
        <w:ind w:hanging="360"/>
        <w:jc w:val="both"/>
      </w:pPr>
    </w:p>
    <w:p w:rsidR="00EE419D" w:rsidRDefault="00EE419D" w:rsidP="001B07AC">
      <w:pPr>
        <w:tabs>
          <w:tab w:val="num" w:pos="0"/>
        </w:tabs>
        <w:jc w:val="both"/>
        <w:outlineLvl w:val="0"/>
        <w:rPr>
          <w:b/>
          <w:szCs w:val="22"/>
        </w:rPr>
      </w:pPr>
    </w:p>
    <w:p w:rsidR="00EE419D" w:rsidRDefault="00EE419D" w:rsidP="001B07AC">
      <w:pPr>
        <w:tabs>
          <w:tab w:val="num" w:pos="0"/>
        </w:tabs>
        <w:jc w:val="both"/>
        <w:outlineLvl w:val="0"/>
        <w:rPr>
          <w:b/>
          <w:szCs w:val="22"/>
        </w:rPr>
      </w:pPr>
    </w:p>
    <w:p w:rsidR="00EE419D" w:rsidRDefault="00EE419D" w:rsidP="001B07AC">
      <w:pPr>
        <w:tabs>
          <w:tab w:val="num" w:pos="0"/>
        </w:tabs>
        <w:jc w:val="both"/>
        <w:outlineLvl w:val="0"/>
        <w:rPr>
          <w:b/>
          <w:szCs w:val="22"/>
        </w:rPr>
      </w:pPr>
    </w:p>
    <w:p w:rsidR="001B07AC" w:rsidRDefault="00D46AD3" w:rsidP="001B07AC">
      <w:pPr>
        <w:tabs>
          <w:tab w:val="num" w:pos="0"/>
        </w:tabs>
        <w:jc w:val="both"/>
        <w:outlineLvl w:val="0"/>
        <w:rPr>
          <w:b/>
          <w:szCs w:val="22"/>
        </w:rPr>
      </w:pPr>
      <w:r>
        <w:rPr>
          <w:b/>
          <w:szCs w:val="22"/>
        </w:rPr>
        <w:tab/>
      </w:r>
      <w:r w:rsidR="001B07AC">
        <w:rPr>
          <w:b/>
          <w:szCs w:val="22"/>
        </w:rPr>
        <w:t>Milestone Cost Breakdown</w:t>
      </w:r>
    </w:p>
    <w:p w:rsidR="001B07AC" w:rsidRDefault="001B07AC" w:rsidP="001B07AC">
      <w:pPr>
        <w:tabs>
          <w:tab w:val="num" w:pos="0"/>
        </w:tabs>
        <w:jc w:val="both"/>
        <w:outlineLvl w:val="0"/>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4812"/>
        <w:gridCol w:w="2530"/>
      </w:tblGrid>
      <w:tr w:rsidR="001B07AC" w:rsidRPr="00EA5F30" w:rsidTr="001B07AC">
        <w:trPr>
          <w:trHeight w:val="262"/>
          <w:jc w:val="center"/>
        </w:trPr>
        <w:tc>
          <w:tcPr>
            <w:tcW w:w="1417" w:type="dxa"/>
            <w:shd w:val="clear" w:color="auto" w:fill="auto"/>
          </w:tcPr>
          <w:p w:rsidR="001B07AC" w:rsidRPr="00EA5F30" w:rsidRDefault="001B07AC" w:rsidP="00D46AD3">
            <w:pPr>
              <w:jc w:val="center"/>
              <w:rPr>
                <w:b/>
                <w:sz w:val="20"/>
              </w:rPr>
            </w:pPr>
            <w:r w:rsidRPr="00EA5F30">
              <w:rPr>
                <w:b/>
                <w:sz w:val="20"/>
              </w:rPr>
              <w:t>Serial</w:t>
            </w:r>
          </w:p>
        </w:tc>
        <w:tc>
          <w:tcPr>
            <w:tcW w:w="4812" w:type="dxa"/>
            <w:shd w:val="clear" w:color="auto" w:fill="auto"/>
          </w:tcPr>
          <w:p w:rsidR="001B07AC" w:rsidRPr="00EA5F30" w:rsidRDefault="001B07AC" w:rsidP="00D46AD3">
            <w:pPr>
              <w:jc w:val="center"/>
              <w:rPr>
                <w:b/>
                <w:sz w:val="20"/>
              </w:rPr>
            </w:pPr>
            <w:r w:rsidRPr="00EA5F30">
              <w:rPr>
                <w:b/>
                <w:sz w:val="20"/>
              </w:rPr>
              <w:t>Work Description</w:t>
            </w:r>
          </w:p>
        </w:tc>
        <w:tc>
          <w:tcPr>
            <w:tcW w:w="2530" w:type="dxa"/>
            <w:shd w:val="clear" w:color="auto" w:fill="auto"/>
          </w:tcPr>
          <w:p w:rsidR="001B07AC" w:rsidRPr="00D46AD3" w:rsidRDefault="001B07AC" w:rsidP="00D46AD3">
            <w:pPr>
              <w:jc w:val="center"/>
              <w:rPr>
                <w:sz w:val="20"/>
              </w:rPr>
            </w:pPr>
            <w:r w:rsidRPr="00D46AD3">
              <w:rPr>
                <w:b/>
                <w:sz w:val="20"/>
                <w:u w:val="single"/>
              </w:rPr>
              <w:t>FY17/18</w:t>
            </w:r>
            <w:r w:rsidR="00D46AD3">
              <w:rPr>
                <w:sz w:val="20"/>
              </w:rPr>
              <w:t xml:space="preserve"> </w:t>
            </w:r>
            <w:r w:rsidR="00D46AD3" w:rsidRPr="00D46AD3">
              <w:rPr>
                <w:b/>
                <w:sz w:val="20"/>
              </w:rPr>
              <w:t>(£)</w:t>
            </w:r>
          </w:p>
        </w:tc>
      </w:tr>
      <w:tr w:rsidR="001B07AC" w:rsidTr="001B07AC">
        <w:trPr>
          <w:trHeight w:val="623"/>
          <w:jc w:val="center"/>
        </w:trPr>
        <w:tc>
          <w:tcPr>
            <w:tcW w:w="1417" w:type="dxa"/>
            <w:shd w:val="clear" w:color="auto" w:fill="auto"/>
          </w:tcPr>
          <w:p w:rsidR="001B07AC" w:rsidRPr="00EA5F30" w:rsidRDefault="001B07AC" w:rsidP="001B07AC">
            <w:pPr>
              <w:jc w:val="center"/>
              <w:rPr>
                <w:szCs w:val="22"/>
              </w:rPr>
            </w:pPr>
            <w:r w:rsidRPr="00EA5F30">
              <w:rPr>
                <w:szCs w:val="22"/>
              </w:rPr>
              <w:t>(</w:t>
            </w:r>
            <w:r>
              <w:rPr>
                <w:szCs w:val="22"/>
              </w:rPr>
              <w:t>1</w:t>
            </w:r>
            <w:r w:rsidRPr="00EA5F30">
              <w:rPr>
                <w:szCs w:val="22"/>
              </w:rPr>
              <w:t>)</w:t>
            </w:r>
          </w:p>
          <w:p w:rsidR="001B07AC" w:rsidRPr="00EA5F30" w:rsidRDefault="001B07AC" w:rsidP="001B07AC">
            <w:pPr>
              <w:jc w:val="center"/>
              <w:rPr>
                <w:szCs w:val="22"/>
              </w:rPr>
            </w:pPr>
          </w:p>
        </w:tc>
        <w:tc>
          <w:tcPr>
            <w:tcW w:w="4812" w:type="dxa"/>
            <w:shd w:val="clear" w:color="auto" w:fill="auto"/>
          </w:tcPr>
          <w:p w:rsidR="001B07AC" w:rsidRDefault="001B07AC" w:rsidP="001B07AC">
            <w:pPr>
              <w:pStyle w:val="ListBullet"/>
              <w:numPr>
                <w:ilvl w:val="0"/>
                <w:numId w:val="0"/>
              </w:numPr>
              <w:ind w:hanging="30"/>
              <w:jc w:val="both"/>
            </w:pPr>
            <w:r>
              <w:t>Develop the roll out plan of the AICT within CFA and Regional Command</w:t>
            </w:r>
          </w:p>
          <w:p w:rsidR="001B07AC" w:rsidRPr="00143F0F" w:rsidRDefault="001B07AC" w:rsidP="001B07AC">
            <w:pPr>
              <w:pStyle w:val="ListBullet"/>
              <w:numPr>
                <w:ilvl w:val="0"/>
                <w:numId w:val="0"/>
              </w:numPr>
            </w:pPr>
          </w:p>
        </w:tc>
        <w:tc>
          <w:tcPr>
            <w:tcW w:w="2530" w:type="dxa"/>
            <w:shd w:val="clear" w:color="auto" w:fill="auto"/>
          </w:tcPr>
          <w:p w:rsidR="001B07AC" w:rsidRPr="00EA5F30" w:rsidRDefault="001B07AC" w:rsidP="001B07AC">
            <w:pPr>
              <w:jc w:val="both"/>
              <w:rPr>
                <w:szCs w:val="22"/>
              </w:rPr>
            </w:pPr>
          </w:p>
        </w:tc>
      </w:tr>
      <w:tr w:rsidR="001B07AC" w:rsidTr="001B07AC">
        <w:trPr>
          <w:trHeight w:val="879"/>
          <w:jc w:val="center"/>
        </w:trPr>
        <w:tc>
          <w:tcPr>
            <w:tcW w:w="1417" w:type="dxa"/>
            <w:shd w:val="clear" w:color="auto" w:fill="auto"/>
          </w:tcPr>
          <w:p w:rsidR="001B07AC" w:rsidRPr="00EA5F30" w:rsidRDefault="001B07AC" w:rsidP="001B07AC">
            <w:pPr>
              <w:jc w:val="center"/>
              <w:rPr>
                <w:szCs w:val="22"/>
              </w:rPr>
            </w:pPr>
            <w:r w:rsidRPr="00EA5F30">
              <w:rPr>
                <w:szCs w:val="22"/>
              </w:rPr>
              <w:t>(</w:t>
            </w:r>
            <w:r>
              <w:rPr>
                <w:szCs w:val="22"/>
              </w:rPr>
              <w:t>2</w:t>
            </w:r>
            <w:r w:rsidRPr="00EA5F30">
              <w:rPr>
                <w:szCs w:val="22"/>
              </w:rPr>
              <w:t>)</w:t>
            </w:r>
          </w:p>
          <w:p w:rsidR="001B07AC" w:rsidRPr="00EA5F30" w:rsidRDefault="001B07AC" w:rsidP="001B07AC">
            <w:pPr>
              <w:jc w:val="center"/>
              <w:rPr>
                <w:szCs w:val="22"/>
              </w:rPr>
            </w:pPr>
          </w:p>
        </w:tc>
        <w:tc>
          <w:tcPr>
            <w:tcW w:w="4812" w:type="dxa"/>
            <w:shd w:val="clear" w:color="auto" w:fill="auto"/>
          </w:tcPr>
          <w:p w:rsidR="001B07AC" w:rsidRDefault="001B07AC" w:rsidP="001B07AC">
            <w:pPr>
              <w:pStyle w:val="ListBullet"/>
              <w:numPr>
                <w:ilvl w:val="0"/>
                <w:numId w:val="0"/>
              </w:numPr>
              <w:jc w:val="both"/>
            </w:pPr>
            <w:r>
              <w:t>Provide analytical support in identifying initial candidate list of RMC for disposal ahead of the amnesty closure in October 2017 with at least £1m in cost avoidance identified</w:t>
            </w:r>
          </w:p>
          <w:p w:rsidR="001B07AC" w:rsidRPr="00143F0F" w:rsidRDefault="001B07AC" w:rsidP="001B07AC">
            <w:pPr>
              <w:overflowPunct w:val="0"/>
              <w:autoSpaceDE w:val="0"/>
              <w:autoSpaceDN w:val="0"/>
              <w:adjustRightInd w:val="0"/>
              <w:textAlignment w:val="baseline"/>
              <w:rPr>
                <w:szCs w:val="22"/>
              </w:rPr>
            </w:pPr>
          </w:p>
        </w:tc>
        <w:tc>
          <w:tcPr>
            <w:tcW w:w="2530" w:type="dxa"/>
            <w:shd w:val="clear" w:color="auto" w:fill="auto"/>
          </w:tcPr>
          <w:p w:rsidR="001B07AC" w:rsidRPr="00EA5F30" w:rsidRDefault="001B07AC" w:rsidP="001B07AC">
            <w:pPr>
              <w:jc w:val="both"/>
              <w:rPr>
                <w:szCs w:val="22"/>
                <w:lang w:val="de-DE"/>
              </w:rPr>
            </w:pPr>
          </w:p>
        </w:tc>
      </w:tr>
      <w:tr w:rsidR="001B07AC" w:rsidTr="001B07AC">
        <w:trPr>
          <w:trHeight w:val="923"/>
          <w:jc w:val="center"/>
        </w:trPr>
        <w:tc>
          <w:tcPr>
            <w:tcW w:w="1417" w:type="dxa"/>
            <w:shd w:val="clear" w:color="auto" w:fill="auto"/>
          </w:tcPr>
          <w:p w:rsidR="001B07AC" w:rsidRPr="00EA5F30" w:rsidRDefault="001B07AC" w:rsidP="001B07AC">
            <w:pPr>
              <w:jc w:val="center"/>
              <w:rPr>
                <w:szCs w:val="22"/>
              </w:rPr>
            </w:pPr>
            <w:r w:rsidRPr="00EA5F30">
              <w:rPr>
                <w:szCs w:val="22"/>
              </w:rPr>
              <w:t>(</w:t>
            </w:r>
            <w:r>
              <w:rPr>
                <w:szCs w:val="22"/>
              </w:rPr>
              <w:t>3</w:t>
            </w:r>
            <w:r w:rsidRPr="00EA5F30">
              <w:rPr>
                <w:szCs w:val="22"/>
              </w:rPr>
              <w:t>)</w:t>
            </w:r>
          </w:p>
          <w:p w:rsidR="001B07AC" w:rsidRPr="00EA5F30" w:rsidRDefault="001B07AC" w:rsidP="001B07AC">
            <w:pPr>
              <w:jc w:val="center"/>
              <w:rPr>
                <w:szCs w:val="22"/>
              </w:rPr>
            </w:pPr>
          </w:p>
        </w:tc>
        <w:tc>
          <w:tcPr>
            <w:tcW w:w="4812" w:type="dxa"/>
            <w:shd w:val="clear" w:color="auto" w:fill="auto"/>
          </w:tcPr>
          <w:p w:rsidR="001B07AC" w:rsidRPr="00EA5F30" w:rsidRDefault="001B07AC" w:rsidP="001B07AC">
            <w:pPr>
              <w:overflowPunct w:val="0"/>
              <w:autoSpaceDE w:val="0"/>
              <w:autoSpaceDN w:val="0"/>
              <w:adjustRightInd w:val="0"/>
              <w:textAlignment w:val="baseline"/>
              <w:rPr>
                <w:szCs w:val="22"/>
              </w:rPr>
            </w:pPr>
            <w:r>
              <w:t>Continue to develop the SCCT interface and upload capability from MJDI to Excel and the Private Cloud based system operated by the Army</w:t>
            </w:r>
          </w:p>
        </w:tc>
        <w:tc>
          <w:tcPr>
            <w:tcW w:w="2530" w:type="dxa"/>
            <w:shd w:val="clear" w:color="auto" w:fill="auto"/>
          </w:tcPr>
          <w:p w:rsidR="001B07AC" w:rsidRPr="00EA5F30" w:rsidRDefault="001B07AC" w:rsidP="001B07AC">
            <w:pPr>
              <w:jc w:val="both"/>
              <w:rPr>
                <w:szCs w:val="22"/>
                <w:lang w:val="de-DE"/>
              </w:rPr>
            </w:pPr>
          </w:p>
        </w:tc>
      </w:tr>
      <w:tr w:rsidR="001B07AC" w:rsidTr="001B07AC">
        <w:trPr>
          <w:trHeight w:val="923"/>
          <w:jc w:val="center"/>
        </w:trPr>
        <w:tc>
          <w:tcPr>
            <w:tcW w:w="1417" w:type="dxa"/>
            <w:shd w:val="clear" w:color="auto" w:fill="auto"/>
          </w:tcPr>
          <w:p w:rsidR="001B07AC" w:rsidRPr="00EA5F30" w:rsidRDefault="001B07AC" w:rsidP="001B07AC">
            <w:pPr>
              <w:jc w:val="center"/>
              <w:rPr>
                <w:szCs w:val="22"/>
              </w:rPr>
            </w:pPr>
            <w:r>
              <w:rPr>
                <w:szCs w:val="22"/>
              </w:rPr>
              <w:t>(4)</w:t>
            </w:r>
          </w:p>
        </w:tc>
        <w:tc>
          <w:tcPr>
            <w:tcW w:w="4812" w:type="dxa"/>
            <w:shd w:val="clear" w:color="auto" w:fill="auto"/>
          </w:tcPr>
          <w:p w:rsidR="001B07AC" w:rsidRDefault="001B07AC" w:rsidP="001B07AC">
            <w:pPr>
              <w:pStyle w:val="ListBullet"/>
              <w:numPr>
                <w:ilvl w:val="0"/>
                <w:numId w:val="0"/>
              </w:numPr>
              <w:jc w:val="both"/>
            </w:pPr>
            <w:r>
              <w:t>Propose high level SCCT process, governance structure and integration plan into the ongoing ICT framework across Support Chain process in D Sp and CFA</w:t>
            </w:r>
          </w:p>
          <w:p w:rsidR="001B07AC" w:rsidRPr="00EA5F30" w:rsidRDefault="001B07AC" w:rsidP="001B07AC">
            <w:pPr>
              <w:overflowPunct w:val="0"/>
              <w:autoSpaceDE w:val="0"/>
              <w:autoSpaceDN w:val="0"/>
              <w:adjustRightInd w:val="0"/>
              <w:textAlignment w:val="baseline"/>
              <w:rPr>
                <w:szCs w:val="22"/>
              </w:rPr>
            </w:pPr>
          </w:p>
        </w:tc>
        <w:tc>
          <w:tcPr>
            <w:tcW w:w="2530" w:type="dxa"/>
            <w:shd w:val="clear" w:color="auto" w:fill="auto"/>
          </w:tcPr>
          <w:p w:rsidR="001B07AC" w:rsidRPr="00EA5F30" w:rsidRDefault="001B07AC" w:rsidP="001B07AC">
            <w:pPr>
              <w:jc w:val="both"/>
              <w:rPr>
                <w:szCs w:val="22"/>
                <w:lang w:val="de-DE"/>
              </w:rPr>
            </w:pPr>
          </w:p>
        </w:tc>
      </w:tr>
      <w:tr w:rsidR="001B07AC" w:rsidTr="001B07AC">
        <w:trPr>
          <w:trHeight w:val="923"/>
          <w:jc w:val="center"/>
        </w:trPr>
        <w:tc>
          <w:tcPr>
            <w:tcW w:w="1417" w:type="dxa"/>
            <w:shd w:val="clear" w:color="auto" w:fill="auto"/>
          </w:tcPr>
          <w:p w:rsidR="001B07AC" w:rsidRPr="00EA5F30" w:rsidRDefault="001B07AC" w:rsidP="001B07AC">
            <w:pPr>
              <w:jc w:val="center"/>
              <w:rPr>
                <w:szCs w:val="22"/>
              </w:rPr>
            </w:pPr>
            <w:r>
              <w:rPr>
                <w:szCs w:val="22"/>
              </w:rPr>
              <w:t>(5)</w:t>
            </w:r>
          </w:p>
        </w:tc>
        <w:tc>
          <w:tcPr>
            <w:tcW w:w="4812" w:type="dxa"/>
            <w:shd w:val="clear" w:color="auto" w:fill="auto"/>
          </w:tcPr>
          <w:p w:rsidR="001B07AC" w:rsidRDefault="001B07AC" w:rsidP="001B07AC">
            <w:pPr>
              <w:pStyle w:val="ListBullet"/>
              <w:numPr>
                <w:ilvl w:val="0"/>
                <w:numId w:val="0"/>
              </w:numPr>
              <w:jc w:val="both"/>
            </w:pPr>
            <w:r>
              <w:t>Conduct knowledge transfer of cloud upload and SAS system operation in support of the SCCT and at the requisite formations</w:t>
            </w:r>
          </w:p>
          <w:p w:rsidR="001B07AC" w:rsidRPr="00EA5F30" w:rsidRDefault="001B07AC" w:rsidP="001B07AC">
            <w:pPr>
              <w:overflowPunct w:val="0"/>
              <w:autoSpaceDE w:val="0"/>
              <w:autoSpaceDN w:val="0"/>
              <w:adjustRightInd w:val="0"/>
              <w:textAlignment w:val="baseline"/>
              <w:rPr>
                <w:szCs w:val="22"/>
              </w:rPr>
            </w:pPr>
          </w:p>
        </w:tc>
        <w:tc>
          <w:tcPr>
            <w:tcW w:w="2530" w:type="dxa"/>
            <w:shd w:val="clear" w:color="auto" w:fill="auto"/>
          </w:tcPr>
          <w:p w:rsidR="001B07AC" w:rsidRPr="00EA5F30" w:rsidRDefault="001B07AC" w:rsidP="001B07AC">
            <w:pPr>
              <w:jc w:val="both"/>
              <w:rPr>
                <w:szCs w:val="22"/>
                <w:lang w:val="de-DE"/>
              </w:rPr>
            </w:pPr>
          </w:p>
        </w:tc>
      </w:tr>
      <w:tr w:rsidR="001B07AC" w:rsidTr="001B07AC">
        <w:trPr>
          <w:trHeight w:val="923"/>
          <w:jc w:val="center"/>
        </w:trPr>
        <w:tc>
          <w:tcPr>
            <w:tcW w:w="1417" w:type="dxa"/>
            <w:shd w:val="clear" w:color="auto" w:fill="auto"/>
          </w:tcPr>
          <w:p w:rsidR="001B07AC" w:rsidRPr="00EA5F30" w:rsidRDefault="001B07AC" w:rsidP="001B07AC">
            <w:pPr>
              <w:jc w:val="center"/>
              <w:rPr>
                <w:szCs w:val="22"/>
              </w:rPr>
            </w:pPr>
            <w:r>
              <w:rPr>
                <w:szCs w:val="22"/>
              </w:rPr>
              <w:t>(6)</w:t>
            </w:r>
          </w:p>
        </w:tc>
        <w:tc>
          <w:tcPr>
            <w:tcW w:w="4812" w:type="dxa"/>
            <w:shd w:val="clear" w:color="auto" w:fill="auto"/>
          </w:tcPr>
          <w:p w:rsidR="001B07AC" w:rsidRDefault="001B07AC" w:rsidP="001B07AC">
            <w:pPr>
              <w:pStyle w:val="ListBullet"/>
              <w:numPr>
                <w:ilvl w:val="0"/>
                <w:numId w:val="0"/>
              </w:numPr>
              <w:jc w:val="both"/>
            </w:pPr>
            <w:r>
              <w:t>Deliver ICT enabled management and reporting of forward held PEPs in support of ARO and enabling cross TLB visibility and reporting of Sustainability for METS</w:t>
            </w:r>
          </w:p>
          <w:p w:rsidR="001B07AC" w:rsidRPr="00EA5F30" w:rsidRDefault="001B07AC" w:rsidP="001B07AC">
            <w:pPr>
              <w:overflowPunct w:val="0"/>
              <w:autoSpaceDE w:val="0"/>
              <w:autoSpaceDN w:val="0"/>
              <w:adjustRightInd w:val="0"/>
              <w:textAlignment w:val="baseline"/>
              <w:rPr>
                <w:szCs w:val="22"/>
              </w:rPr>
            </w:pPr>
          </w:p>
        </w:tc>
        <w:tc>
          <w:tcPr>
            <w:tcW w:w="2530" w:type="dxa"/>
            <w:shd w:val="clear" w:color="auto" w:fill="auto"/>
          </w:tcPr>
          <w:p w:rsidR="001B07AC" w:rsidRPr="00EA5F30" w:rsidRDefault="001B07AC" w:rsidP="001B07AC">
            <w:pPr>
              <w:jc w:val="both"/>
              <w:rPr>
                <w:szCs w:val="22"/>
                <w:lang w:val="de-DE"/>
              </w:rPr>
            </w:pPr>
          </w:p>
        </w:tc>
      </w:tr>
      <w:tr w:rsidR="001B07AC" w:rsidTr="001B07AC">
        <w:trPr>
          <w:trHeight w:val="923"/>
          <w:jc w:val="center"/>
        </w:trPr>
        <w:tc>
          <w:tcPr>
            <w:tcW w:w="1417" w:type="dxa"/>
            <w:shd w:val="clear" w:color="auto" w:fill="auto"/>
          </w:tcPr>
          <w:p w:rsidR="001B07AC" w:rsidRPr="00EA5F30" w:rsidRDefault="001B07AC" w:rsidP="001B07AC">
            <w:pPr>
              <w:jc w:val="center"/>
              <w:rPr>
                <w:szCs w:val="22"/>
              </w:rPr>
            </w:pPr>
            <w:r>
              <w:rPr>
                <w:szCs w:val="22"/>
              </w:rPr>
              <w:t>(7)</w:t>
            </w:r>
          </w:p>
        </w:tc>
        <w:tc>
          <w:tcPr>
            <w:tcW w:w="4812" w:type="dxa"/>
            <w:shd w:val="clear" w:color="auto" w:fill="auto"/>
          </w:tcPr>
          <w:p w:rsidR="001B07AC" w:rsidRDefault="001B07AC" w:rsidP="001B07AC">
            <w:pPr>
              <w:pStyle w:val="ListBullet"/>
              <w:numPr>
                <w:ilvl w:val="0"/>
                <w:numId w:val="0"/>
              </w:numPr>
              <w:jc w:val="both"/>
            </w:pPr>
            <w:r>
              <w:t>Conduct knowledge transfer to the Army Supply Trade through a series of knowledge transfer sessions as have occurred with 3XX</w:t>
            </w:r>
          </w:p>
          <w:p w:rsidR="001B07AC" w:rsidRPr="00EA5F30" w:rsidRDefault="001B07AC" w:rsidP="001B07AC">
            <w:pPr>
              <w:overflowPunct w:val="0"/>
              <w:autoSpaceDE w:val="0"/>
              <w:autoSpaceDN w:val="0"/>
              <w:adjustRightInd w:val="0"/>
              <w:textAlignment w:val="baseline"/>
              <w:rPr>
                <w:szCs w:val="22"/>
              </w:rPr>
            </w:pPr>
          </w:p>
        </w:tc>
        <w:tc>
          <w:tcPr>
            <w:tcW w:w="2530" w:type="dxa"/>
            <w:shd w:val="clear" w:color="auto" w:fill="auto"/>
          </w:tcPr>
          <w:p w:rsidR="001B07AC" w:rsidRPr="00EA5F30" w:rsidRDefault="001B07AC" w:rsidP="001B07AC">
            <w:pPr>
              <w:jc w:val="both"/>
              <w:rPr>
                <w:szCs w:val="22"/>
                <w:lang w:val="de-DE"/>
              </w:rPr>
            </w:pPr>
          </w:p>
        </w:tc>
      </w:tr>
      <w:tr w:rsidR="001B07AC" w:rsidTr="001B07AC">
        <w:trPr>
          <w:trHeight w:val="923"/>
          <w:jc w:val="center"/>
        </w:trPr>
        <w:tc>
          <w:tcPr>
            <w:tcW w:w="1417" w:type="dxa"/>
            <w:shd w:val="clear" w:color="auto" w:fill="auto"/>
          </w:tcPr>
          <w:p w:rsidR="001B07AC" w:rsidRPr="00EA5F30" w:rsidRDefault="001B07AC" w:rsidP="001B07AC">
            <w:pPr>
              <w:jc w:val="center"/>
              <w:rPr>
                <w:szCs w:val="22"/>
              </w:rPr>
            </w:pPr>
            <w:r>
              <w:rPr>
                <w:szCs w:val="22"/>
              </w:rPr>
              <w:t>(8)</w:t>
            </w:r>
          </w:p>
        </w:tc>
        <w:tc>
          <w:tcPr>
            <w:tcW w:w="4812" w:type="dxa"/>
            <w:shd w:val="clear" w:color="auto" w:fill="auto"/>
          </w:tcPr>
          <w:p w:rsidR="001B07AC" w:rsidRDefault="001B07AC" w:rsidP="001B07AC">
            <w:pPr>
              <w:pStyle w:val="ListBullet"/>
              <w:numPr>
                <w:ilvl w:val="0"/>
                <w:numId w:val="0"/>
              </w:numPr>
              <w:jc w:val="both"/>
            </w:pPr>
            <w:r>
              <w:t>Support the identification of under-utilised assets in forward held stock locations and review 3</w:t>
            </w:r>
            <w:r w:rsidRPr="00153254">
              <w:rPr>
                <w:vertAlign w:val="superscript"/>
              </w:rPr>
              <w:t>rd</w:t>
            </w:r>
            <w:r>
              <w:t xml:space="preserve"> party spend on Transport with recommendations for reducing annual spend</w:t>
            </w:r>
          </w:p>
          <w:p w:rsidR="001B07AC" w:rsidRPr="00EA5F30" w:rsidRDefault="001B07AC" w:rsidP="001B07AC">
            <w:pPr>
              <w:overflowPunct w:val="0"/>
              <w:autoSpaceDE w:val="0"/>
              <w:autoSpaceDN w:val="0"/>
              <w:adjustRightInd w:val="0"/>
              <w:textAlignment w:val="baseline"/>
              <w:rPr>
                <w:szCs w:val="22"/>
              </w:rPr>
            </w:pPr>
          </w:p>
        </w:tc>
        <w:tc>
          <w:tcPr>
            <w:tcW w:w="2530" w:type="dxa"/>
            <w:shd w:val="clear" w:color="auto" w:fill="auto"/>
          </w:tcPr>
          <w:p w:rsidR="001B07AC" w:rsidRPr="00EA5F30" w:rsidRDefault="001B07AC" w:rsidP="001B07AC">
            <w:pPr>
              <w:jc w:val="both"/>
              <w:rPr>
                <w:szCs w:val="22"/>
                <w:lang w:val="de-DE"/>
              </w:rPr>
            </w:pPr>
          </w:p>
        </w:tc>
      </w:tr>
      <w:tr w:rsidR="001B07AC" w:rsidTr="001B07AC">
        <w:trPr>
          <w:trHeight w:val="923"/>
          <w:jc w:val="center"/>
        </w:trPr>
        <w:tc>
          <w:tcPr>
            <w:tcW w:w="1417" w:type="dxa"/>
            <w:shd w:val="clear" w:color="auto" w:fill="auto"/>
          </w:tcPr>
          <w:p w:rsidR="001B07AC" w:rsidRPr="00EA5F30" w:rsidRDefault="001B07AC" w:rsidP="001B07AC">
            <w:pPr>
              <w:jc w:val="center"/>
              <w:rPr>
                <w:szCs w:val="22"/>
              </w:rPr>
            </w:pPr>
            <w:r>
              <w:rPr>
                <w:szCs w:val="22"/>
              </w:rPr>
              <w:t>(9)</w:t>
            </w:r>
          </w:p>
        </w:tc>
        <w:tc>
          <w:tcPr>
            <w:tcW w:w="4812" w:type="dxa"/>
            <w:shd w:val="clear" w:color="auto" w:fill="auto"/>
          </w:tcPr>
          <w:p w:rsidR="001B07AC" w:rsidRDefault="001B07AC" w:rsidP="001B07AC">
            <w:pPr>
              <w:pStyle w:val="ListBullet"/>
              <w:numPr>
                <w:ilvl w:val="0"/>
                <w:numId w:val="0"/>
              </w:numPr>
              <w:jc w:val="both"/>
            </w:pPr>
            <w:r>
              <w:t>Initial benefit modelling of SCCT to include cashable savings from transport (e.g. reduced 3</w:t>
            </w:r>
            <w:r w:rsidRPr="00D40D0C">
              <w:rPr>
                <w:vertAlign w:val="superscript"/>
              </w:rPr>
              <w:t>rd</w:t>
            </w:r>
            <w:r>
              <w:t xml:space="preserve"> party haulage spend and reduced training costs for RLC drivers), non-cashable financial benefits (e.g. Gross Book Value reductions) and capability improvements (e.g. enhanced training delivery)</w:t>
            </w:r>
          </w:p>
          <w:p w:rsidR="001B07AC" w:rsidRPr="00EA5F30" w:rsidRDefault="001B07AC" w:rsidP="001B07AC">
            <w:pPr>
              <w:overflowPunct w:val="0"/>
              <w:autoSpaceDE w:val="0"/>
              <w:autoSpaceDN w:val="0"/>
              <w:adjustRightInd w:val="0"/>
              <w:textAlignment w:val="baseline"/>
              <w:rPr>
                <w:szCs w:val="22"/>
              </w:rPr>
            </w:pPr>
          </w:p>
        </w:tc>
        <w:tc>
          <w:tcPr>
            <w:tcW w:w="2530" w:type="dxa"/>
            <w:shd w:val="clear" w:color="auto" w:fill="auto"/>
          </w:tcPr>
          <w:p w:rsidR="001B07AC" w:rsidRPr="00153254" w:rsidRDefault="001B07AC" w:rsidP="001B07AC">
            <w:pPr>
              <w:jc w:val="both"/>
              <w:rPr>
                <w:szCs w:val="22"/>
              </w:rPr>
            </w:pPr>
          </w:p>
        </w:tc>
      </w:tr>
    </w:tbl>
    <w:p w:rsidR="001B07AC" w:rsidRDefault="001B07AC" w:rsidP="001B07AC">
      <w:pPr>
        <w:pStyle w:val="ListNumber"/>
        <w:numPr>
          <w:ilvl w:val="0"/>
          <w:numId w:val="0"/>
        </w:numPr>
        <w:jc w:val="both"/>
      </w:pPr>
    </w:p>
    <w:p w:rsidR="00EF3F52" w:rsidRDefault="00EF3F52" w:rsidP="001B07AC">
      <w:pPr>
        <w:pStyle w:val="ListNumber"/>
        <w:numPr>
          <w:ilvl w:val="0"/>
          <w:numId w:val="0"/>
        </w:numPr>
        <w:jc w:val="both"/>
      </w:pPr>
    </w:p>
    <w:p w:rsidR="00EF3F52" w:rsidRDefault="00EF3F52" w:rsidP="001B07AC">
      <w:pPr>
        <w:pStyle w:val="ListNumber"/>
        <w:numPr>
          <w:ilvl w:val="0"/>
          <w:numId w:val="0"/>
        </w:numPr>
        <w:jc w:val="both"/>
      </w:pPr>
    </w:p>
    <w:p w:rsidR="00EF3F52" w:rsidRDefault="00EF3F52" w:rsidP="001B07AC">
      <w:pPr>
        <w:pStyle w:val="ListNumber"/>
        <w:numPr>
          <w:ilvl w:val="0"/>
          <w:numId w:val="0"/>
        </w:numPr>
        <w:jc w:val="both"/>
      </w:pPr>
    </w:p>
    <w:p w:rsidR="00EF3F52" w:rsidRDefault="00EF3F52" w:rsidP="001B07AC">
      <w:pPr>
        <w:pStyle w:val="ListNumber"/>
        <w:numPr>
          <w:ilvl w:val="0"/>
          <w:numId w:val="0"/>
        </w:numPr>
        <w:jc w:val="both"/>
      </w:pPr>
    </w:p>
    <w:p w:rsidR="00EF3F52" w:rsidRDefault="00EF3F52" w:rsidP="001B07AC">
      <w:pPr>
        <w:pStyle w:val="ListNumber"/>
        <w:numPr>
          <w:ilvl w:val="0"/>
          <w:numId w:val="0"/>
        </w:numPr>
        <w:jc w:val="both"/>
      </w:pPr>
    </w:p>
    <w:sectPr w:rsidR="00EF3F52" w:rsidSect="001B07A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A8" w:rsidRDefault="00441FA8" w:rsidP="001B07AC">
      <w:r>
        <w:separator/>
      </w:r>
    </w:p>
  </w:endnote>
  <w:endnote w:type="continuationSeparator" w:id="0">
    <w:p w:rsidR="00441FA8" w:rsidRDefault="00441FA8" w:rsidP="001B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A8" w:rsidRDefault="00441FA8" w:rsidP="001B07AC">
      <w:r>
        <w:separator/>
      </w:r>
    </w:p>
  </w:footnote>
  <w:footnote w:type="continuationSeparator" w:id="0">
    <w:p w:rsidR="00441FA8" w:rsidRDefault="00441FA8" w:rsidP="001B07AC">
      <w:r>
        <w:continuationSeparator/>
      </w:r>
    </w:p>
  </w:footnote>
  <w:footnote w:id="1">
    <w:p w:rsidR="00441FA8" w:rsidRDefault="00441FA8" w:rsidP="001B07AC">
      <w:pPr>
        <w:pStyle w:val="FootnoteText"/>
      </w:pPr>
      <w:r>
        <w:rPr>
          <w:rStyle w:val="FootnoteReference"/>
        </w:rPr>
        <w:footnoteRef/>
      </w:r>
      <w:r>
        <w:t xml:space="preserve"> SAS</w:t>
      </w:r>
      <w:r w:rsidR="00B643A5">
        <w:t xml:space="preserve"> </w:t>
      </w:r>
      <w:r w:rsidR="00B643A5" w:rsidRPr="00B643A5">
        <w:t>Analytics</w:t>
      </w:r>
      <w:r w:rsidR="00B643A5">
        <w:t>.</w:t>
      </w:r>
    </w:p>
  </w:footnote>
  <w:footnote w:id="2">
    <w:p w:rsidR="00441FA8" w:rsidRDefault="00441FA8" w:rsidP="001B07AC">
      <w:pPr>
        <w:pStyle w:val="FootnoteText"/>
      </w:pPr>
      <w:r>
        <w:rPr>
          <w:rStyle w:val="FootnoteReference"/>
        </w:rPr>
        <w:footnoteRef/>
      </w:r>
      <w:r>
        <w:t xml:space="preserve"> Critically this enables the Army to own the IP of the system and ensures it fits within the current Army reference architecture for IS. Unlike other contractor provided systems (VERITAS, Boxarr, ARIS, Software AG systems on Project JANUS, etc.) the Technical Support must work within Army owned capabilities as demonstrated during the AICT pilot programme.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732FCCC"/>
    <w:lvl w:ilvl="0">
      <w:start w:val="1"/>
      <w:numFmt w:val="decimal"/>
      <w:pStyle w:val="ListNumber"/>
      <w:lvlText w:val="%1."/>
      <w:lvlJc w:val="left"/>
      <w:pPr>
        <w:tabs>
          <w:tab w:val="num" w:pos="360"/>
        </w:tabs>
        <w:ind w:left="360" w:hanging="360"/>
      </w:pPr>
    </w:lvl>
  </w:abstractNum>
  <w:abstractNum w:abstractNumId="1">
    <w:nsid w:val="FFFFFF89"/>
    <w:multiLevelType w:val="singleLevel"/>
    <w:tmpl w:val="EAFECA4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6A1B81"/>
    <w:multiLevelType w:val="hybridMultilevel"/>
    <w:tmpl w:val="CC72C94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5205E13"/>
    <w:multiLevelType w:val="hybridMultilevel"/>
    <w:tmpl w:val="9D00A5E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C81775"/>
    <w:multiLevelType w:val="hybridMultilevel"/>
    <w:tmpl w:val="24CE4F3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EDB1AC1"/>
    <w:multiLevelType w:val="hybridMultilevel"/>
    <w:tmpl w:val="1BF005B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38A54E5"/>
    <w:multiLevelType w:val="hybridMultilevel"/>
    <w:tmpl w:val="1B8E75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7AC"/>
    <w:rsid w:val="00183544"/>
    <w:rsid w:val="001B07AC"/>
    <w:rsid w:val="00214878"/>
    <w:rsid w:val="00224208"/>
    <w:rsid w:val="002E5279"/>
    <w:rsid w:val="00374AA2"/>
    <w:rsid w:val="00435B8D"/>
    <w:rsid w:val="00441FA8"/>
    <w:rsid w:val="00450F33"/>
    <w:rsid w:val="00500C00"/>
    <w:rsid w:val="005A74BD"/>
    <w:rsid w:val="007658CB"/>
    <w:rsid w:val="008A1726"/>
    <w:rsid w:val="00A523BE"/>
    <w:rsid w:val="00AE747A"/>
    <w:rsid w:val="00B643A5"/>
    <w:rsid w:val="00CE702F"/>
    <w:rsid w:val="00D21DCA"/>
    <w:rsid w:val="00D46AD3"/>
    <w:rsid w:val="00D61146"/>
    <w:rsid w:val="00D669DA"/>
    <w:rsid w:val="00E318A4"/>
    <w:rsid w:val="00EE419D"/>
    <w:rsid w:val="00EF3F52"/>
    <w:rsid w:val="00F43B50"/>
    <w:rsid w:val="00F93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AC"/>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1B07AC"/>
    <w:pPr>
      <w:numPr>
        <w:numId w:val="1"/>
      </w:numPr>
      <w:contextualSpacing/>
    </w:pPr>
  </w:style>
  <w:style w:type="character" w:styleId="FootnoteReference">
    <w:name w:val="footnote reference"/>
    <w:aliases w:val="CRP-Footnote Reference"/>
    <w:basedOn w:val="DefaultParagraphFont"/>
    <w:semiHidden/>
    <w:rsid w:val="001B07AC"/>
    <w:rPr>
      <w:vertAlign w:val="superscript"/>
    </w:rPr>
  </w:style>
  <w:style w:type="paragraph" w:styleId="FootnoteText">
    <w:name w:val="footnote text"/>
    <w:aliases w:val="Tailored Footnote,CRP-Footnote Text"/>
    <w:basedOn w:val="Normal"/>
    <w:link w:val="FootnoteTextChar"/>
    <w:semiHidden/>
    <w:rsid w:val="001B07AC"/>
    <w:pPr>
      <w:tabs>
        <w:tab w:val="left" w:pos="378"/>
        <w:tab w:val="left" w:pos="756"/>
        <w:tab w:val="left" w:pos="1134"/>
      </w:tabs>
      <w:spacing w:after="120"/>
    </w:pPr>
    <w:rPr>
      <w:sz w:val="16"/>
    </w:rPr>
  </w:style>
  <w:style w:type="character" w:customStyle="1" w:styleId="FootnoteTextChar">
    <w:name w:val="Footnote Text Char"/>
    <w:aliases w:val="Tailored Footnote Char,CRP-Footnote Text Char"/>
    <w:basedOn w:val="DefaultParagraphFont"/>
    <w:link w:val="FootnoteText"/>
    <w:semiHidden/>
    <w:rsid w:val="001B07AC"/>
    <w:rPr>
      <w:rFonts w:ascii="Arial" w:eastAsia="Times New Roman" w:hAnsi="Arial" w:cs="Arial"/>
      <w:sz w:val="16"/>
      <w:szCs w:val="20"/>
    </w:rPr>
  </w:style>
  <w:style w:type="paragraph" w:styleId="ListParagraph">
    <w:name w:val="List Paragraph"/>
    <w:basedOn w:val="Normal"/>
    <w:uiPriority w:val="34"/>
    <w:qFormat/>
    <w:rsid w:val="001B07AC"/>
    <w:pPr>
      <w:ind w:left="720"/>
      <w:contextualSpacing/>
    </w:pPr>
  </w:style>
  <w:style w:type="paragraph" w:styleId="ListBullet">
    <w:name w:val="List Bullet"/>
    <w:basedOn w:val="Normal"/>
    <w:uiPriority w:val="99"/>
    <w:unhideWhenUsed/>
    <w:rsid w:val="001B07AC"/>
    <w:pPr>
      <w:numPr>
        <w:numId w:val="2"/>
      </w:numPr>
      <w:contextualSpacing/>
    </w:pPr>
  </w:style>
  <w:style w:type="paragraph" w:styleId="BalloonText">
    <w:name w:val="Balloon Text"/>
    <w:basedOn w:val="Normal"/>
    <w:link w:val="BalloonTextChar"/>
    <w:uiPriority w:val="99"/>
    <w:semiHidden/>
    <w:unhideWhenUsed/>
    <w:rsid w:val="001B07AC"/>
    <w:rPr>
      <w:rFonts w:ascii="Tahoma" w:hAnsi="Tahoma" w:cs="Tahoma"/>
      <w:sz w:val="16"/>
      <w:szCs w:val="16"/>
    </w:rPr>
  </w:style>
  <w:style w:type="character" w:customStyle="1" w:styleId="BalloonTextChar">
    <w:name w:val="Balloon Text Char"/>
    <w:basedOn w:val="DefaultParagraphFont"/>
    <w:link w:val="BalloonText"/>
    <w:uiPriority w:val="99"/>
    <w:semiHidden/>
    <w:rsid w:val="001B07A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07AC"/>
    <w:rPr>
      <w:sz w:val="16"/>
      <w:szCs w:val="16"/>
    </w:rPr>
  </w:style>
  <w:style w:type="paragraph" w:styleId="CommentText">
    <w:name w:val="annotation text"/>
    <w:basedOn w:val="Normal"/>
    <w:link w:val="CommentTextChar"/>
    <w:uiPriority w:val="99"/>
    <w:semiHidden/>
    <w:unhideWhenUsed/>
    <w:rsid w:val="001B07AC"/>
    <w:rPr>
      <w:sz w:val="20"/>
    </w:rPr>
  </w:style>
  <w:style w:type="character" w:customStyle="1" w:styleId="CommentTextChar">
    <w:name w:val="Comment Text Char"/>
    <w:basedOn w:val="DefaultParagraphFont"/>
    <w:link w:val="CommentText"/>
    <w:uiPriority w:val="99"/>
    <w:semiHidden/>
    <w:rsid w:val="001B07A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B07AC"/>
    <w:rPr>
      <w:b/>
      <w:bCs/>
    </w:rPr>
  </w:style>
  <w:style w:type="character" w:customStyle="1" w:styleId="CommentSubjectChar">
    <w:name w:val="Comment Subject Char"/>
    <w:basedOn w:val="CommentTextChar"/>
    <w:link w:val="CommentSubject"/>
    <w:uiPriority w:val="99"/>
    <w:semiHidden/>
    <w:rsid w:val="001B07AC"/>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AC"/>
    <w:pPr>
      <w:spacing w:after="0"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1B07AC"/>
    <w:pPr>
      <w:numPr>
        <w:numId w:val="1"/>
      </w:numPr>
      <w:contextualSpacing/>
    </w:pPr>
  </w:style>
  <w:style w:type="character" w:styleId="FootnoteReference">
    <w:name w:val="footnote reference"/>
    <w:aliases w:val="CRP-Footnote Reference"/>
    <w:basedOn w:val="DefaultParagraphFont"/>
    <w:semiHidden/>
    <w:rsid w:val="001B07AC"/>
    <w:rPr>
      <w:vertAlign w:val="superscript"/>
    </w:rPr>
  </w:style>
  <w:style w:type="paragraph" w:styleId="FootnoteText">
    <w:name w:val="footnote text"/>
    <w:aliases w:val="Tailored Footnote,CRP-Footnote Text"/>
    <w:basedOn w:val="Normal"/>
    <w:link w:val="FootnoteTextChar"/>
    <w:semiHidden/>
    <w:rsid w:val="001B07AC"/>
    <w:pPr>
      <w:tabs>
        <w:tab w:val="left" w:pos="378"/>
        <w:tab w:val="left" w:pos="756"/>
        <w:tab w:val="left" w:pos="1134"/>
      </w:tabs>
      <w:spacing w:after="120"/>
    </w:pPr>
    <w:rPr>
      <w:sz w:val="16"/>
    </w:rPr>
  </w:style>
  <w:style w:type="character" w:customStyle="1" w:styleId="FootnoteTextChar">
    <w:name w:val="Footnote Text Char"/>
    <w:aliases w:val="Tailored Footnote Char,CRP-Footnote Text Char"/>
    <w:basedOn w:val="DefaultParagraphFont"/>
    <w:link w:val="FootnoteText"/>
    <w:semiHidden/>
    <w:rsid w:val="001B07AC"/>
    <w:rPr>
      <w:rFonts w:ascii="Arial" w:eastAsia="Times New Roman" w:hAnsi="Arial" w:cs="Arial"/>
      <w:sz w:val="16"/>
      <w:szCs w:val="20"/>
    </w:rPr>
  </w:style>
  <w:style w:type="paragraph" w:styleId="ListParagraph">
    <w:name w:val="List Paragraph"/>
    <w:basedOn w:val="Normal"/>
    <w:uiPriority w:val="34"/>
    <w:qFormat/>
    <w:rsid w:val="001B07AC"/>
    <w:pPr>
      <w:ind w:left="720"/>
      <w:contextualSpacing/>
    </w:pPr>
  </w:style>
  <w:style w:type="paragraph" w:styleId="ListBullet">
    <w:name w:val="List Bullet"/>
    <w:basedOn w:val="Normal"/>
    <w:uiPriority w:val="99"/>
    <w:unhideWhenUsed/>
    <w:rsid w:val="001B07AC"/>
    <w:pPr>
      <w:numPr>
        <w:numId w:val="2"/>
      </w:numPr>
      <w:contextualSpacing/>
    </w:pPr>
  </w:style>
  <w:style w:type="paragraph" w:styleId="BalloonText">
    <w:name w:val="Balloon Text"/>
    <w:basedOn w:val="Normal"/>
    <w:link w:val="BalloonTextChar"/>
    <w:uiPriority w:val="99"/>
    <w:semiHidden/>
    <w:unhideWhenUsed/>
    <w:rsid w:val="001B07AC"/>
    <w:rPr>
      <w:rFonts w:ascii="Tahoma" w:hAnsi="Tahoma" w:cs="Tahoma"/>
      <w:sz w:val="16"/>
      <w:szCs w:val="16"/>
    </w:rPr>
  </w:style>
  <w:style w:type="character" w:customStyle="1" w:styleId="BalloonTextChar">
    <w:name w:val="Balloon Text Char"/>
    <w:basedOn w:val="DefaultParagraphFont"/>
    <w:link w:val="BalloonText"/>
    <w:uiPriority w:val="99"/>
    <w:semiHidden/>
    <w:rsid w:val="001B07A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07AC"/>
    <w:rPr>
      <w:sz w:val="16"/>
      <w:szCs w:val="16"/>
    </w:rPr>
  </w:style>
  <w:style w:type="paragraph" w:styleId="CommentText">
    <w:name w:val="annotation text"/>
    <w:basedOn w:val="Normal"/>
    <w:link w:val="CommentTextChar"/>
    <w:uiPriority w:val="99"/>
    <w:semiHidden/>
    <w:unhideWhenUsed/>
    <w:rsid w:val="001B07AC"/>
    <w:rPr>
      <w:sz w:val="20"/>
    </w:rPr>
  </w:style>
  <w:style w:type="character" w:customStyle="1" w:styleId="CommentTextChar">
    <w:name w:val="Comment Text Char"/>
    <w:basedOn w:val="DefaultParagraphFont"/>
    <w:link w:val="CommentText"/>
    <w:uiPriority w:val="99"/>
    <w:semiHidden/>
    <w:rsid w:val="001B07A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B07AC"/>
    <w:rPr>
      <w:b/>
      <w:bCs/>
    </w:rPr>
  </w:style>
  <w:style w:type="character" w:customStyle="1" w:styleId="CommentSubjectChar">
    <w:name w:val="Comment Subject Char"/>
    <w:basedOn w:val="CommentTextChar"/>
    <w:link w:val="CommentSubject"/>
    <w:uiPriority w:val="99"/>
    <w:semiHidden/>
    <w:rsid w:val="001B07AC"/>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5DC90-A365-4355-8B0A-03B9EA32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emmersong753</dc:creator>
  <cp:lastModifiedBy>lanej436</cp:lastModifiedBy>
  <cp:revision>2</cp:revision>
  <cp:lastPrinted>2017-05-22T14:23:00Z</cp:lastPrinted>
  <dcterms:created xsi:type="dcterms:W3CDTF">2017-09-14T10:54:00Z</dcterms:created>
  <dcterms:modified xsi:type="dcterms:W3CDTF">2017-09-14T10:54:00Z</dcterms:modified>
</cp:coreProperties>
</file>