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6032" w:rsidRDefault="001A31C5" w:rsidP="0040461C">
      <w:pPr>
        <w:jc w:val="both"/>
        <w:rPr>
          <w:rFonts w:ascii="Arial" w:eastAsia="Arial" w:hAnsi="Arial" w:cs="Arial"/>
          <w:sz w:val="20"/>
          <w:szCs w:val="20"/>
        </w:rPr>
      </w:pPr>
      <w:bookmarkStart w:id="0" w:name="_heading=h.gjdgxs" w:colFirst="0" w:colLast="0"/>
      <w:bookmarkEnd w:id="0"/>
      <w:r>
        <w:rPr>
          <w:rFonts w:ascii="Arial" w:eastAsia="Arial" w:hAnsi="Arial" w:cs="Arial"/>
          <w:b/>
          <w:sz w:val="36"/>
          <w:szCs w:val="36"/>
        </w:rPr>
        <w:t>Joint Schedule 6 (Key Subcontractors)</w:t>
      </w:r>
    </w:p>
    <w:p w14:paraId="00000002" w14:textId="77777777" w:rsidR="00686032" w:rsidRDefault="001A31C5" w:rsidP="0040461C">
      <w:pPr>
        <w:numPr>
          <w:ilvl w:val="0"/>
          <w:numId w:val="1"/>
        </w:numPr>
        <w:pBdr>
          <w:top w:val="nil"/>
          <w:left w:val="nil"/>
          <w:bottom w:val="nil"/>
          <w:right w:val="nil"/>
          <w:between w:val="nil"/>
        </w:pBdr>
        <w:tabs>
          <w:tab w:val="left" w:pos="142"/>
        </w:tabs>
        <w:spacing w:before="120" w:after="24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Restrictions on certain subcontractors</w:t>
      </w:r>
    </w:p>
    <w:p w14:paraId="00000003"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00000004"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1" w:name="_heading=h.30j0zll" w:colFirst="0" w:colLast="0"/>
      <w:bookmarkEnd w:id="1"/>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00000005"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00000006"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00000007"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00000008"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proposed Key Subcontractor employs unfit persons.</w:t>
      </w:r>
    </w:p>
    <w:p w14:paraId="00000009"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2" w:name="_heading=h.1fob9te" w:colFirst="0" w:colLast="0"/>
      <w:bookmarkEnd w:id="2"/>
      <w:r>
        <w:rPr>
          <w:rFonts w:ascii="Arial" w:eastAsia="Arial" w:hAnsi="Arial" w:cs="Arial"/>
          <w:color w:val="000000"/>
          <w:sz w:val="24"/>
          <w:szCs w:val="24"/>
        </w:rPr>
        <w:t>The Supplier shall provide CCS and the Buyer with the following information in respect of the proposed Key Subcontractor:</w:t>
      </w:r>
    </w:p>
    <w:p w14:paraId="0000000A"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0000000B"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0000000C"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0000000D" w14:textId="7A6F2D1E"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for CCS</w:t>
      </w:r>
      <w:r w:rsidR="00E81AB0">
        <w:rPr>
          <w:rFonts w:ascii="Arial" w:eastAsia="Arial" w:hAnsi="Arial" w:cs="Arial"/>
          <w:color w:val="000000"/>
          <w:sz w:val="24"/>
          <w:szCs w:val="24"/>
        </w:rPr>
        <w:t xml:space="preserve"> (if requested)</w:t>
      </w:r>
      <w:r>
        <w:rPr>
          <w:rFonts w:ascii="Arial" w:eastAsia="Arial" w:hAnsi="Arial" w:cs="Arial"/>
          <w:color w:val="000000"/>
          <w:sz w:val="24"/>
          <w:szCs w:val="24"/>
        </w:rPr>
        <w:t xml:space="preserve">, the Key Sub-Contract price expressed as a percentage of the total projected Framework Price over the Framework Contract Period; </w:t>
      </w:r>
    </w:p>
    <w:p w14:paraId="0000000E" w14:textId="54064260"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for the Buyer</w:t>
      </w:r>
      <w:r w:rsidR="00E81AB0">
        <w:rPr>
          <w:rFonts w:ascii="Arial" w:eastAsia="Arial" w:hAnsi="Arial" w:cs="Arial"/>
          <w:color w:val="000000"/>
          <w:sz w:val="24"/>
          <w:szCs w:val="24"/>
        </w:rPr>
        <w:t xml:space="preserve"> (if requested)</w:t>
      </w:r>
      <w:r>
        <w:rPr>
          <w:rFonts w:ascii="Arial" w:eastAsia="Arial" w:hAnsi="Arial" w:cs="Arial"/>
          <w:color w:val="000000"/>
          <w:sz w:val="24"/>
          <w:szCs w:val="24"/>
        </w:rPr>
        <w:t>, the Key Sub-Contract price expressed as a percentage of the total projected Charges over the Call Off Contract Period; and</w:t>
      </w:r>
    </w:p>
    <w:p w14:paraId="0000000F" w14:textId="49665035"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w:t>
      </w:r>
      <w:r w:rsidR="008C60FD">
        <w:rPr>
          <w:rFonts w:ascii="Arial" w:eastAsia="Arial" w:hAnsi="Arial" w:cs="Arial"/>
          <w:color w:val="000000"/>
          <w:sz w:val="24"/>
          <w:szCs w:val="24"/>
        </w:rPr>
        <w:t xml:space="preserve"> Schedule 7 (Financial Difficulties</w:t>
      </w:r>
      <w:r>
        <w:rPr>
          <w:rFonts w:ascii="Arial" w:eastAsia="Arial" w:hAnsi="Arial" w:cs="Arial"/>
          <w:color w:val="000000"/>
          <w:sz w:val="24"/>
          <w:szCs w:val="24"/>
        </w:rPr>
        <w:t>) of the Key Subcontractor.</w:t>
      </w:r>
    </w:p>
    <w:p w14:paraId="00000010"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3" w:name="_heading=h.3znysh7" w:colFirst="0" w:colLast="0"/>
      <w:bookmarkEnd w:id="3"/>
      <w:r>
        <w:rPr>
          <w:rFonts w:ascii="Arial" w:eastAsia="Arial" w:hAnsi="Arial" w:cs="Arial"/>
          <w:color w:val="000000"/>
          <w:sz w:val="24"/>
          <w:szCs w:val="24"/>
        </w:rPr>
        <w:lastRenderedPageBreak/>
        <w:t>If requested by CCS and/or the Buyer, within ten (10) Working Days of receipt of the information provided by the Supplier pursuant to Paragraph 1.4, the Supplier shall also provide:</w:t>
      </w:r>
    </w:p>
    <w:p w14:paraId="00000011"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00000012"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any further information reasonably requested by CCS and/or the Buyer.</w:t>
      </w:r>
    </w:p>
    <w:p w14:paraId="00000013"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4" w:name="_heading=h.2et92p0" w:colFirst="0" w:colLast="0"/>
      <w:bookmarkEnd w:id="4"/>
      <w:r>
        <w:rPr>
          <w:rFonts w:ascii="Arial" w:eastAsia="Arial" w:hAnsi="Arial" w:cs="Arial"/>
          <w:color w:val="000000"/>
          <w:sz w:val="24"/>
          <w:szCs w:val="24"/>
        </w:rPr>
        <w:t xml:space="preserve">The Supplier shall ensure that each new or replacement Key Sub-Contract shall include: </w:t>
      </w:r>
    </w:p>
    <w:p w14:paraId="00000014"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00000015"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00000016"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00000017"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00000018"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00000019"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0000001A"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0000001B"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0000001C"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0000001D"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0000001E"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00000020" w14:textId="5571ED52" w:rsidR="00686032" w:rsidRPr="0040461C" w:rsidRDefault="001A31C5" w:rsidP="00E741AF">
      <w:pPr>
        <w:numPr>
          <w:ilvl w:val="2"/>
          <w:numId w:val="1"/>
        </w:numPr>
        <w:pBdr>
          <w:top w:val="nil"/>
          <w:left w:val="nil"/>
          <w:bottom w:val="nil"/>
          <w:right w:val="nil"/>
          <w:between w:val="nil"/>
        </w:pBdr>
        <w:tabs>
          <w:tab w:val="left" w:pos="1985"/>
        </w:tabs>
        <w:spacing w:before="120" w:after="120" w:line="240" w:lineRule="auto"/>
        <w:ind w:left="1138"/>
        <w:jc w:val="both"/>
        <w:rPr>
          <w:rFonts w:ascii="Arial" w:eastAsia="Arial" w:hAnsi="Arial" w:cs="Arial"/>
          <w:color w:val="000000"/>
          <w:sz w:val="24"/>
          <w:szCs w:val="24"/>
        </w:rPr>
      </w:pPr>
      <w:r w:rsidRPr="0040461C">
        <w:rPr>
          <w:rFonts w:ascii="Arial" w:eastAsia="Arial" w:hAnsi="Arial" w:cs="Arial"/>
          <w:color w:val="000000"/>
          <w:sz w:val="24"/>
          <w:szCs w:val="24"/>
        </w:rPr>
        <w:t xml:space="preserve">a provision restricting the ability of the Key Subcontractor to sub-contract all or any part of the provision of the Deliverables provided to the Supplier under the Key Sub-Contract without first seeking the written consent of CCS and the Buyer. </w:t>
      </w:r>
    </w:p>
    <w:sectPr w:rsidR="00686032" w:rsidRPr="004046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A4EA" w14:textId="77777777" w:rsidR="00026BAE" w:rsidRDefault="00026BAE">
      <w:pPr>
        <w:spacing w:after="0" w:line="240" w:lineRule="auto"/>
      </w:pPr>
      <w:r>
        <w:separator/>
      </w:r>
    </w:p>
  </w:endnote>
  <w:endnote w:type="continuationSeparator" w:id="0">
    <w:p w14:paraId="43117CF3" w14:textId="77777777" w:rsidR="00026BAE" w:rsidRDefault="0002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D2E0" w14:textId="77777777" w:rsidR="00A75107" w:rsidRDefault="00A75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686032" w:rsidRDefault="001A31C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r>
      <w:rPr>
        <w:rFonts w:ascii="Arial" w:eastAsia="Arial" w:hAnsi="Arial" w:cs="Arial"/>
        <w:sz w:val="20"/>
        <w:szCs w:val="20"/>
      </w:rPr>
      <w:tab/>
      <w:t xml:space="preserve">                                           </w:t>
    </w:r>
  </w:p>
  <w:p w14:paraId="0000002B" w14:textId="0BA94F7E"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C60F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2C" w14:textId="77777777" w:rsidR="00686032" w:rsidRDefault="001A31C5">
    <w:pPr>
      <w:spacing w:after="0" w:line="240" w:lineRule="auto"/>
      <w:jc w:val="both"/>
      <w:rPr>
        <w:rFonts w:ascii="Arial" w:eastAsia="Arial" w:hAnsi="Arial" w:cs="Arial"/>
        <w:color w:val="BFBFBF"/>
        <w:sz w:val="20"/>
        <w:szCs w:val="20"/>
      </w:rPr>
    </w:pPr>
    <w:bookmarkStart w:id="6" w:name="_heading=h.tyjcwt" w:colFirst="0" w:colLast="0"/>
    <w:bookmarkEnd w:id="6"/>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bookmarkStart w:id="7" w:name="bookmark=id.3dy6vkm" w:colFirst="0" w:colLast="0"/>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686032" w:rsidRDefault="00686032">
    <w:pPr>
      <w:tabs>
        <w:tab w:val="center" w:pos="4513"/>
        <w:tab w:val="right" w:pos="9026"/>
      </w:tabs>
      <w:spacing w:after="0"/>
      <w:jc w:val="both"/>
      <w:rPr>
        <w:rFonts w:ascii="Arial" w:eastAsia="Arial" w:hAnsi="Arial" w:cs="Arial"/>
        <w:sz w:val="20"/>
        <w:szCs w:val="20"/>
      </w:rPr>
    </w:pPr>
  </w:p>
  <w:p w14:paraId="00000027" w14:textId="77777777" w:rsidR="00686032" w:rsidRDefault="001A31C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28" w14:textId="77777777"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00000029" w14:textId="77777777" w:rsidR="00686032" w:rsidRDefault="001A31C5">
    <w:pPr>
      <w:spacing w:after="0" w:line="240" w:lineRule="auto"/>
      <w:jc w:val="both"/>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2F0E" w14:textId="77777777" w:rsidR="00026BAE" w:rsidRDefault="00026BAE">
      <w:pPr>
        <w:spacing w:after="0" w:line="240" w:lineRule="auto"/>
      </w:pPr>
      <w:r>
        <w:separator/>
      </w:r>
    </w:p>
  </w:footnote>
  <w:footnote w:type="continuationSeparator" w:id="0">
    <w:p w14:paraId="643C1002" w14:textId="77777777" w:rsidR="00026BAE" w:rsidRDefault="0002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6BD1" w14:textId="77777777" w:rsidR="00A75107" w:rsidRDefault="00A7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6 (Key Subcontractors)</w:t>
    </w:r>
  </w:p>
  <w:p w14:paraId="00000025" w14:textId="63A98B8F"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w:t>
    </w:r>
    <w:r>
      <w:rPr>
        <w:rFonts w:ascii="Arial" w:eastAsia="Arial" w:hAnsi="Arial" w:cs="Arial"/>
        <w:color w:val="000000"/>
        <w:sz w:val="20"/>
        <w:szCs w:val="20"/>
      </w:rPr>
      <w:t>20</w:t>
    </w:r>
    <w:r w:rsidR="00A75107">
      <w:rPr>
        <w:rFonts w:ascii="Arial" w:eastAsia="Arial" w:hAnsi="Arial" w:cs="Arial"/>
        <w:color w:val="000000"/>
        <w:sz w:val="20"/>
        <w:szCs w:val="20"/>
      </w:rPr>
      <w:t>22</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p w14:paraId="00000022"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p w14:paraId="00000023"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6624"/>
    <w:multiLevelType w:val="multilevel"/>
    <w:tmpl w:val="9198F460"/>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77664C"/>
    <w:multiLevelType w:val="multilevel"/>
    <w:tmpl w:val="6FFA2810"/>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32"/>
    <w:rsid w:val="00026BAE"/>
    <w:rsid w:val="001A31C5"/>
    <w:rsid w:val="003C4A9C"/>
    <w:rsid w:val="00400028"/>
    <w:rsid w:val="0040461C"/>
    <w:rsid w:val="00686032"/>
    <w:rsid w:val="008012B5"/>
    <w:rsid w:val="008774CF"/>
    <w:rsid w:val="008B4BC1"/>
    <w:rsid w:val="008C60FD"/>
    <w:rsid w:val="00A75107"/>
    <w:rsid w:val="00E8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1E7C"/>
  <w15:docId w15:val="{3C31A370-DA77-461E-85EB-5125ADEC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eastAsia="Times New Roman"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eastAsia="Times New Roman"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gAvYWcLc0s1zCS0Q0Udhema/w==">AMUW2mWr5F3AIbq1sJbMWSoxFLStDRi2DJ0GU2V/Nq33SaRC1n620rzrQs+VMLuW+cRwr8FrRImnSszJbZ5+/WM6KfcL3e/a0hYeHPcb/JBlBS8wp+2NzL6tGCnHrUcszfLDWMpbKXCWtDkLHIyPiBB5/yl3X95C/0N4rab7+M+lnEPdsnQk+pqPR2V5uaYGLqgWKUMU378TE2JnJu5MPOPRSntE56uu9g==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Hughes</dc:creator>
  <cp:lastModifiedBy>Kelly Hughes</cp:lastModifiedBy>
  <cp:revision>3</cp:revision>
  <dcterms:created xsi:type="dcterms:W3CDTF">2022-08-18T10:18:00Z</dcterms:created>
  <dcterms:modified xsi:type="dcterms:W3CDTF">2022-08-18T13:03:00Z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