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1C43" w:rsidRDefault="009A3165">
      <w:pPr>
        <w:rPr>
          <w:rFonts w:ascii="Arial" w:eastAsia="Arial" w:hAnsi="Arial" w:cs="Arial"/>
          <w:b/>
          <w:sz w:val="36"/>
          <w:szCs w:val="36"/>
        </w:rPr>
      </w:pPr>
      <w:r>
        <w:rPr>
          <w:rFonts w:ascii="Arial" w:eastAsia="Arial" w:hAnsi="Arial" w:cs="Arial"/>
          <w:b/>
          <w:sz w:val="36"/>
          <w:szCs w:val="36"/>
        </w:rPr>
        <w:t>Joint Schedule 1 (Definitions)</w:t>
      </w:r>
      <w:bookmarkStart w:id="0" w:name="_GoBack"/>
      <w:bookmarkEnd w:id="0"/>
    </w:p>
    <w:p w:rsidR="00791C43" w:rsidRDefault="009A3165">
      <w:pPr>
        <w:numPr>
          <w:ilvl w:val="1"/>
          <w:numId w:val="1"/>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sz w:val="24"/>
          <w:szCs w:val="24"/>
        </w:rPr>
        <w:t xml:space="preserve">In </w:t>
      </w:r>
      <w:bookmarkStart w:id="1" w:name="gjdgxs" w:colFirst="0" w:colLast="0"/>
      <w:bookmarkEnd w:id="1"/>
      <w:r>
        <w:rPr>
          <w:rFonts w:ascii="Arial" w:eastAsia="Arial" w:hAnsi="Arial" w:cs="Arial"/>
          <w:color w:val="000000"/>
          <w:sz w:val="24"/>
          <w:szCs w:val="24"/>
        </w:rPr>
        <w:t>each Contract, unless the context otherwise requires, capitalised expressions shall have the meanings set out in this Joint Schedule 1 (Definitions) or the relevant Schedule in which that capitalised expression appears.</w:t>
      </w:r>
    </w:p>
    <w:p w:rsidR="00791C43" w:rsidRDefault="009A3165">
      <w:pPr>
        <w:numPr>
          <w:ilvl w:val="1"/>
          <w:numId w:val="1"/>
        </w:numPr>
        <w:pBdr>
          <w:top w:val="nil"/>
          <w:left w:val="nil"/>
          <w:bottom w:val="nil"/>
          <w:right w:val="nil"/>
          <w:between w:val="nil"/>
        </w:pBdr>
        <w:tabs>
          <w:tab w:val="left" w:pos="1134"/>
        </w:tabs>
        <w:spacing w:before="120" w:after="120" w:line="240" w:lineRule="auto"/>
        <w:jc w:val="both"/>
      </w:pPr>
      <w:bookmarkStart w:id="2" w:name="_30j0zll" w:colFirst="0" w:colLast="0"/>
      <w:bookmarkEnd w:id="2"/>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w:t>
      </w:r>
      <w:r>
        <w:rPr>
          <w:rFonts w:ascii="Arial" w:eastAsia="Arial" w:hAnsi="Arial" w:cs="Arial"/>
          <w:color w:val="000000"/>
          <w:sz w:val="24"/>
          <w:szCs w:val="24"/>
        </w:rPr>
        <w:t>therwise, it shall be interpreted in accordance with the dictionary meaning.</w:t>
      </w:r>
    </w:p>
    <w:p w:rsidR="00791C43" w:rsidRDefault="009A3165">
      <w:pPr>
        <w:keepNext/>
        <w:numPr>
          <w:ilvl w:val="1"/>
          <w:numId w:val="1"/>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sz w:val="24"/>
          <w:szCs w:val="24"/>
        </w:rPr>
        <w:t>In each Contract, unless the context otherwise requires:</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the singular includes the plural and vice versa;</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 to a gender includes the other gender and the neuter;</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w:t>
      </w:r>
      <w:r>
        <w:rPr>
          <w:rFonts w:ascii="Arial" w:eastAsia="Arial" w:hAnsi="Arial" w:cs="Arial"/>
          <w:color w:val="000000"/>
          <w:sz w:val="24"/>
          <w:szCs w:val="24"/>
        </w:rPr>
        <w:t>s to a person include an individual, company, body corporate, corporation, unincorporated association, firm, partnership or other legal entity or Crown Body;</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a reference to any Law includes a reference to that Law as amended, extended, consolidated or re-enacted from time to time;</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w:t>
      </w:r>
      <w:r>
        <w:rPr>
          <w:rFonts w:ascii="Arial" w:eastAsia="Arial" w:hAnsi="Arial" w:cs="Arial"/>
          <w:color w:val="000000"/>
          <w:sz w:val="24"/>
          <w:szCs w:val="24"/>
        </w:rPr>
        <w:t>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w:t>
      </w:r>
      <w:r>
        <w:rPr>
          <w:rFonts w:ascii="Arial" w:eastAsia="Arial" w:hAnsi="Arial" w:cs="Arial"/>
          <w:color w:val="000000"/>
          <w:sz w:val="24"/>
          <w:szCs w:val="24"/>
        </w:rPr>
        <w:t>esenting or reproducing words in a visible form, and expressions referring to writing shall be construed accordingly;</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w:t>
      </w:r>
      <w:r>
        <w:rPr>
          <w:rFonts w:ascii="Arial" w:eastAsia="Arial" w:hAnsi="Arial" w:cs="Arial"/>
          <w:color w:val="000000"/>
          <w:sz w:val="24"/>
          <w:szCs w:val="24"/>
        </w:rPr>
        <w:t>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 </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w:t>
      </w:r>
      <w:r>
        <w:rPr>
          <w:rFonts w:ascii="Arial" w:eastAsia="Arial" w:hAnsi="Arial" w:cs="Arial"/>
          <w:color w:val="000000"/>
          <w:sz w:val="24"/>
          <w:szCs w:val="24"/>
        </w:rPr>
        <w:t xml:space="preserve">, annexes and tables are, unless otherwise provided, references to the parts, paragraphs, annexes and tables of the Schedule in which these references appear; </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w:t>
      </w:r>
      <w:r>
        <w:rPr>
          <w:rFonts w:ascii="Arial" w:eastAsia="Arial" w:hAnsi="Arial" w:cs="Arial"/>
          <w:color w:val="000000"/>
          <w:sz w:val="24"/>
          <w:szCs w:val="24"/>
        </w:rPr>
        <w:t xml:space="preserve">propriate Schedules unless otherwise provided; </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bookmarkStart w:id="3" w:name="_1fob9te" w:colFirst="0" w:colLast="0"/>
      <w:bookmarkEnd w:id="3"/>
      <w:r>
        <w:rPr>
          <w:rFonts w:ascii="Arial" w:eastAsia="Arial" w:hAnsi="Arial" w:cs="Arial"/>
          <w:color w:val="000000"/>
          <w:sz w:val="24"/>
          <w:szCs w:val="24"/>
        </w:rPr>
        <w:t>references to a series of Clauses or Paragraphs shall be inclusive of the clause numbers specified;</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the headings in each Contract are for ease of reference only and shall not affect the interpretation or construction of a Contract; and</w:t>
      </w:r>
    </w:p>
    <w:p w:rsidR="00791C43" w:rsidRDefault="009A3165">
      <w:pPr>
        <w:numPr>
          <w:ilvl w:val="2"/>
          <w:numId w:val="1"/>
        </w:numPr>
        <w:pBdr>
          <w:top w:val="nil"/>
          <w:left w:val="nil"/>
          <w:bottom w:val="nil"/>
          <w:right w:val="nil"/>
          <w:between w:val="nil"/>
        </w:pBdr>
        <w:tabs>
          <w:tab w:val="left" w:pos="1985"/>
          <w:tab w:val="left" w:pos="2127"/>
        </w:tabs>
        <w:spacing w:before="120" w:after="120" w:line="240" w:lineRule="auto"/>
        <w:jc w:val="both"/>
        <w:rPr>
          <w:rFonts w:ascii="Arial" w:eastAsia="Arial" w:hAnsi="Arial" w:cs="Arial"/>
          <w:sz w:val="24"/>
          <w:szCs w:val="24"/>
        </w:rPr>
      </w:pPr>
      <w:r>
        <w:rPr>
          <w:rFonts w:ascii="Arial" w:eastAsia="Arial" w:hAnsi="Arial" w:cs="Arial"/>
          <w:color w:val="000000"/>
          <w:sz w:val="24"/>
          <w:szCs w:val="24"/>
        </w:rPr>
        <w:t>where the Buyer is a Crown Body it shall be treated as contracting with the Crown as a whole.</w:t>
      </w:r>
    </w:p>
    <w:p w:rsidR="00791C43" w:rsidRDefault="009A3165">
      <w:pPr>
        <w:keepNext/>
        <w:numPr>
          <w:ilvl w:val="1"/>
          <w:numId w:val="1"/>
        </w:numPr>
        <w:pBdr>
          <w:top w:val="nil"/>
          <w:left w:val="nil"/>
          <w:bottom w:val="nil"/>
          <w:right w:val="nil"/>
          <w:between w:val="nil"/>
        </w:pBdr>
        <w:tabs>
          <w:tab w:val="left" w:pos="1134"/>
        </w:tabs>
        <w:spacing w:before="120" w:after="120" w:line="240" w:lineRule="auto"/>
        <w:jc w:val="both"/>
      </w:pPr>
      <w:r>
        <w:rPr>
          <w:rFonts w:ascii="Arial" w:eastAsia="Arial" w:hAnsi="Arial" w:cs="Arial"/>
          <w:color w:val="000000"/>
          <w:sz w:val="24"/>
          <w:szCs w:val="24"/>
        </w:rPr>
        <w:lastRenderedPageBreak/>
        <w:t>In each Contract, unless t</w:t>
      </w:r>
      <w:r>
        <w:rPr>
          <w:rFonts w:ascii="Arial" w:eastAsia="Arial" w:hAnsi="Arial" w:cs="Arial"/>
          <w:color w:val="000000"/>
          <w:sz w:val="24"/>
          <w:szCs w:val="24"/>
        </w:rPr>
        <w:t>he context otherwise requires, the following words shall have the following meanings:</w:t>
      </w:r>
    </w:p>
    <w:p w:rsidR="00791C43" w:rsidRDefault="00791C43">
      <w:pPr>
        <w:keepNext/>
        <w:pBdr>
          <w:top w:val="nil"/>
          <w:left w:val="nil"/>
          <w:bottom w:val="nil"/>
          <w:right w:val="nil"/>
          <w:between w:val="nil"/>
        </w:pBdr>
        <w:tabs>
          <w:tab w:val="left" w:pos="1134"/>
        </w:tabs>
        <w:spacing w:before="120" w:after="120" w:line="240" w:lineRule="auto"/>
        <w:ind w:left="567" w:hanging="567"/>
        <w:jc w:val="both"/>
        <w:rPr>
          <w:rFonts w:ascii="Arial" w:eastAsia="Arial" w:hAnsi="Arial" w:cs="Arial"/>
          <w:color w:val="000000"/>
          <w:sz w:val="24"/>
          <w:szCs w:val="24"/>
        </w:rPr>
      </w:pPr>
    </w:p>
    <w:tbl>
      <w:tblPr>
        <w:tblStyle w:val="a"/>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bookmarkStart w:id="4" w:name="_3znysh7" w:colFirst="0" w:colLast="0"/>
            <w:bookmarkEnd w:id="4"/>
            <w:r>
              <w:rPr>
                <w:rFonts w:ascii="Arial" w:eastAsia="Arial" w:hAnsi="Arial" w:cs="Arial"/>
                <w:b/>
                <w:color w:val="000000"/>
                <w:sz w:val="24"/>
                <w:szCs w:val="24"/>
              </w:rPr>
              <w:t>"Achieve"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"Additional Insurances"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insurance requirements relating to a Call-Off Contract specified in the Order Form additional to those outlined in Joint Schedule 3 (Insurance Requirements);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"Admin Fee”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means the costs incurred by CCS in dealing with MI Failures </w:t>
            </w:r>
            <w:r>
              <w:rPr>
                <w:rFonts w:ascii="Arial" w:eastAsia="Arial" w:hAnsi="Arial" w:cs="Arial"/>
                <w:color w:val="000000"/>
                <w:sz w:val="24"/>
                <w:szCs w:val="24"/>
              </w:rPr>
              <w:t>calculated in accordance with the tariff of administration charges published by the CCS on: http://CCS.cabinetoffice.gov.uk/i-am-supplier/management-information/admin-fees;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"Affected Party"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party seeking to claim relief in respect of a Force Majeure Event;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"Affiliates"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w:t>
            </w:r>
            <w:r>
              <w:rPr>
                <w:rFonts w:ascii="Arial" w:eastAsia="Arial" w:hAnsi="Arial" w:cs="Arial"/>
                <w:color w:val="000000"/>
                <w:sz w:val="24"/>
                <w:szCs w:val="24"/>
              </w:rPr>
              <w:t>rate from time to time;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“Annex”</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extra information which supports a Schedule;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"Approval"</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"Audit"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Relevant Authority’s right to: </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 xml:space="preserve">verify the accuracy of the Charges and any other amounts payable by a Buyer under a Call-Off Contract (including proposed or actual variations to them in accordance with the Contract); </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costs of the Supplier (including the costs of all Subcontra</w:t>
            </w:r>
            <w:r>
              <w:rPr>
                <w:rFonts w:ascii="Arial" w:eastAsia="Arial" w:hAnsi="Arial" w:cs="Arial"/>
                <w:color w:val="000000"/>
                <w:sz w:val="24"/>
                <w:szCs w:val="24"/>
              </w:rPr>
              <w:t>ctors and any third party suppliers) in connection with the provision of the Services;</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Open Book Data;</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verify the Supplier’s and each Subcontractor’s compliance with the applicable Law;</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actual or suspected breach of Claus</w:t>
            </w:r>
            <w:r>
              <w:rPr>
                <w:rFonts w:ascii="Arial" w:eastAsia="Arial" w:hAnsi="Arial" w:cs="Arial"/>
                <w:color w:val="000000"/>
                <w:sz w:val="24"/>
                <w:szCs w:val="24"/>
              </w:rPr>
              <w:t>es 27 to 33 and/or Joint Schedule 5 (Corporate Social Responsibility), impropriety or accounting mistakes or any breach or threatened breach of security and in these circumstances the Relevant Authority shall have no obligation to inform the Supplier of th</w:t>
            </w:r>
            <w:r>
              <w:rPr>
                <w:rFonts w:ascii="Arial" w:eastAsia="Arial" w:hAnsi="Arial" w:cs="Arial"/>
                <w:color w:val="000000"/>
                <w:sz w:val="24"/>
                <w:szCs w:val="24"/>
              </w:rPr>
              <w:t>e purpose or objective of its investigations;</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obtain such inform</w:t>
            </w:r>
            <w:r>
              <w:rPr>
                <w:rFonts w:ascii="Arial" w:eastAsia="Arial" w:hAnsi="Arial" w:cs="Arial"/>
                <w:color w:val="000000"/>
                <w:sz w:val="24"/>
                <w:szCs w:val="24"/>
              </w:rPr>
              <w:t xml:space="preserve">ation as is necessary to fulfil the Relevant Authority’s obligations to supply information for parliamentary, </w:t>
            </w:r>
            <w:r>
              <w:rPr>
                <w:rFonts w:ascii="Arial" w:eastAsia="Arial" w:hAnsi="Arial" w:cs="Arial"/>
                <w:color w:val="000000"/>
                <w:sz w:val="24"/>
                <w:szCs w:val="24"/>
              </w:rPr>
              <w:lastRenderedPageBreak/>
              <w:t>ministerial, judicial or administrative purposes including the supply of information to the Comptroller and Auditor General;</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review any books of a</w:t>
            </w:r>
            <w:r>
              <w:rPr>
                <w:rFonts w:ascii="Arial" w:eastAsia="Arial" w:hAnsi="Arial" w:cs="Arial"/>
                <w:color w:val="000000"/>
                <w:sz w:val="24"/>
                <w:szCs w:val="24"/>
              </w:rPr>
              <w:t>ccount and the internal contract management accounts kept by the Supplier in connection with each Contract;</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 xml:space="preserve">carry out the Relevant Authority’s internal and statutory audits and to prepare, examine and/or certify the Relevant Authority's annual and interim </w:t>
            </w:r>
            <w:r>
              <w:rPr>
                <w:rFonts w:ascii="Arial" w:eastAsia="Arial" w:hAnsi="Arial" w:cs="Arial"/>
                <w:color w:val="000000"/>
                <w:sz w:val="24"/>
                <w:szCs w:val="24"/>
              </w:rPr>
              <w:t>reports and accounts;</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rsidR="00791C43" w:rsidRDefault="009A3165">
            <w:pPr>
              <w:numPr>
                <w:ilvl w:val="0"/>
                <w:numId w:val="3"/>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 xml:space="preserve">verify the </w:t>
            </w:r>
            <w:r>
              <w:rPr>
                <w:rFonts w:ascii="Arial" w:eastAsia="Arial" w:hAnsi="Arial" w:cs="Arial"/>
                <w:color w:val="000000"/>
                <w:sz w:val="24"/>
                <w:szCs w:val="24"/>
              </w:rPr>
              <w:t>accuracy and completeness of any Management Information delivered or required by the Framework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"Auditor"</w:t>
            </w:r>
          </w:p>
        </w:tc>
        <w:tc>
          <w:tcPr>
            <w:tcW w:w="7566" w:type="dxa"/>
          </w:tcPr>
          <w:p w:rsidR="00791C43" w:rsidRDefault="009A3165">
            <w:pPr>
              <w:numPr>
                <w:ilvl w:val="0"/>
                <w:numId w:val="2"/>
              </w:numPr>
              <w:pBdr>
                <w:top w:val="nil"/>
                <w:left w:val="nil"/>
                <w:bottom w:val="nil"/>
                <w:right w:val="nil"/>
                <w:between w:val="nil"/>
              </w:pBdr>
              <w:tabs>
                <w:tab w:val="left" w:pos="-179"/>
                <w:tab w:val="left" w:pos="-9"/>
              </w:tabs>
              <w:spacing w:after="120"/>
              <w:ind w:left="501" w:hanging="331"/>
              <w:jc w:val="both"/>
              <w:rPr>
                <w:rFonts w:ascii="Arial" w:eastAsia="Arial" w:hAnsi="Arial" w:cs="Arial"/>
                <w:color w:val="000000"/>
              </w:rPr>
            </w:pPr>
            <w:r>
              <w:rPr>
                <w:rFonts w:ascii="Arial" w:eastAsia="Arial" w:hAnsi="Arial" w:cs="Arial"/>
                <w:color w:val="000000"/>
                <w:sz w:val="24"/>
                <w:szCs w:val="24"/>
              </w:rPr>
              <w:t>the Buyer’s internal and external auditors;</w:t>
            </w:r>
          </w:p>
          <w:p w:rsidR="00791C43" w:rsidRDefault="009A3165">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Buyer’s statutory or regulatory auditors;</w:t>
            </w:r>
          </w:p>
          <w:p w:rsidR="00791C43" w:rsidRDefault="009A3165">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the Comptroller and Auditor General, their staff and/or any appointed representatives of the National Audit Office;</w:t>
            </w:r>
          </w:p>
          <w:p w:rsidR="00791C43" w:rsidRDefault="009A3165">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HM Treasury or the Cabinet Office;</w:t>
            </w:r>
          </w:p>
          <w:p w:rsidR="00791C43" w:rsidRDefault="009A3165">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any party formally appointed by the Buyer to carry out audit or similar review functions; and</w:t>
            </w:r>
          </w:p>
          <w:p w:rsidR="00791C43" w:rsidRDefault="009A3165">
            <w:pPr>
              <w:numPr>
                <w:ilvl w:val="0"/>
                <w:numId w:val="2"/>
              </w:numPr>
              <w:pBdr>
                <w:top w:val="nil"/>
                <w:left w:val="nil"/>
                <w:bottom w:val="nil"/>
                <w:right w:val="nil"/>
                <w:between w:val="nil"/>
              </w:pBdr>
              <w:tabs>
                <w:tab w:val="left" w:pos="-179"/>
                <w:tab w:val="left" w:pos="-9"/>
              </w:tabs>
              <w:spacing w:after="120"/>
              <w:ind w:left="461" w:hanging="288"/>
              <w:jc w:val="both"/>
              <w:rPr>
                <w:rFonts w:ascii="Arial" w:eastAsia="Arial" w:hAnsi="Arial" w:cs="Arial"/>
                <w:color w:val="000000"/>
              </w:rPr>
            </w:pPr>
            <w:r>
              <w:rPr>
                <w:rFonts w:ascii="Arial" w:eastAsia="Arial" w:hAnsi="Arial" w:cs="Arial"/>
                <w:color w:val="000000"/>
                <w:sz w:val="24"/>
                <w:szCs w:val="24"/>
              </w:rPr>
              <w:t>successors or assigns of any of the above;</w:t>
            </w:r>
          </w:p>
        </w:tc>
      </w:tr>
      <w:tr w:rsidR="00791C43">
        <w:trPr>
          <w:trHeight w:val="601"/>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"Authority"</w:t>
            </w:r>
          </w:p>
        </w:tc>
        <w:tc>
          <w:tcPr>
            <w:tcW w:w="7566" w:type="dxa"/>
          </w:tcPr>
          <w:p w:rsidR="00791C43" w:rsidRDefault="009A3165">
            <w:pPr>
              <w:rPr>
                <w:rFonts w:ascii="Arial" w:eastAsia="Arial" w:hAnsi="Arial" w:cs="Arial"/>
                <w:sz w:val="24"/>
                <w:szCs w:val="24"/>
              </w:rPr>
            </w:pPr>
            <w:r>
              <w:rPr>
                <w:rFonts w:ascii="Arial" w:eastAsia="Arial" w:hAnsi="Arial" w:cs="Arial"/>
                <w:sz w:val="24"/>
                <w:szCs w:val="24"/>
              </w:rPr>
              <w:t xml:space="preserve">   CCS and each Buyer;</w:t>
            </w:r>
          </w:p>
        </w:tc>
      </w:tr>
      <w:tr w:rsidR="00791C43">
        <w:tc>
          <w:tcPr>
            <w:tcW w:w="2181" w:type="dxa"/>
          </w:tcPr>
          <w:p w:rsidR="00791C43" w:rsidRDefault="009A3165">
            <w:pPr>
              <w:pBdr>
                <w:top w:val="nil"/>
                <w:left w:val="nil"/>
                <w:bottom w:val="nil"/>
                <w:right w:val="nil"/>
                <w:between w:val="nil"/>
              </w:pBdr>
              <w:ind w:left="-108"/>
              <w:rPr>
                <w:rFonts w:ascii="Arial" w:eastAsia="Arial" w:hAnsi="Arial" w:cs="Arial"/>
                <w:b/>
                <w:color w:val="000000"/>
                <w:sz w:val="24"/>
                <w:szCs w:val="24"/>
              </w:rPr>
            </w:pPr>
            <w:r>
              <w:rPr>
                <w:rFonts w:ascii="Arial" w:eastAsia="Arial" w:hAnsi="Arial" w:cs="Arial"/>
                <w:b/>
                <w:color w:val="000000"/>
                <w:sz w:val="24"/>
                <w:szCs w:val="24"/>
              </w:rPr>
              <w:t>"Authority Cause"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w:t>
            </w:r>
            <w:r>
              <w:rPr>
                <w:rFonts w:ascii="Arial" w:eastAsia="Arial" w:hAnsi="Arial" w:cs="Arial"/>
                <w:color w:val="000000"/>
                <w:sz w:val="24"/>
                <w:szCs w:val="24"/>
              </w:rPr>
              <w:t>n respect of which the Relevant Authority is liable to the Supplier;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"BACS"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"Beneficiary"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Party having (or claiming to have) the benefit of an indemnity under this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relevant public sector purchaser identified as such in the Order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"Buyer Assets"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w:t>
            </w:r>
            <w:r>
              <w:rPr>
                <w:rFonts w:ascii="Arial" w:eastAsia="Arial" w:hAnsi="Arial" w:cs="Arial"/>
                <w:color w:val="000000"/>
                <w:sz w:val="24"/>
                <w:szCs w:val="24"/>
              </w:rPr>
              <w:t>er throughout the term of the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Authorised Representative"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"Buyer Premises"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Contract Period"</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Contract Period in respect of the Ca</w:t>
            </w:r>
            <w:r>
              <w:rPr>
                <w:rFonts w:ascii="Arial" w:eastAsia="Arial" w:hAnsi="Arial" w:cs="Arial"/>
                <w:color w:val="000000"/>
                <w:sz w:val="24"/>
                <w:szCs w:val="24"/>
              </w:rPr>
              <w:t>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Expiry Date"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date of the end of a Call-Off Contract as stated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Incorporated Terms"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contractual terms applicable to the Call-Off Contract specified under the relevant heading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Initial Period"</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Initial Period of a Call-Off Contract specified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Optional Extension Period"</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such period or periods beyond which the Call-Off Initial Period may be extended up to a maximum of the number of years in total specified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Procedure"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process for awarding a Call-Off Contract pursuant to Clause 2 (How the co</w:t>
            </w:r>
            <w:r>
              <w:rPr>
                <w:rFonts w:ascii="Arial" w:eastAsia="Arial" w:hAnsi="Arial" w:cs="Arial"/>
                <w:color w:val="000000"/>
                <w:sz w:val="24"/>
                <w:szCs w:val="24"/>
              </w:rPr>
              <w:t>ntract works) and Framework Schedule 7 (Call-Off Procedure and Award Criteria);</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Special Terms"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any additional terms and conditions specified in the Order Form incorporated into the applicable Call-Off Contract;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Start Date"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date of start of a Call-Off Contract as stated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"Call-Off Tender"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tender submitted by the Supplier in response to the Buyer’s Statement of Requirements following a Further Competition Procedure and set out at Call-Off Schedule 4 </w:t>
            </w:r>
            <w:r>
              <w:rPr>
                <w:rFonts w:ascii="Arial" w:eastAsia="Arial" w:hAnsi="Arial" w:cs="Arial"/>
                <w:color w:val="000000"/>
                <w:sz w:val="24"/>
                <w:szCs w:val="24"/>
              </w:rPr>
              <w:t>(Call-Off Tender);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"CCS</w:t>
            </w:r>
            <w:r>
              <w:rPr>
                <w:rFonts w:ascii="Arial" w:eastAsia="Arial" w:hAnsi="Arial" w:cs="Arial"/>
                <w:b/>
                <w:color w:val="000000"/>
                <w:sz w:val="24"/>
                <w:szCs w:val="24"/>
              </w:rPr>
              <w:t xml:space="preserve"> Authorised Representative"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"Central Government Body"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Government Department;</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Non-Departmental Public Body or Assembly Sponsored Public Body (advisory, executive, or tribunal);</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Non-Ministerial Department; or</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Executive Agency;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in Law"</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change in Law which impacts on the supply of the Deliverables and performance of the Contract which comes into force after the Start Date;</w:t>
            </w:r>
            <w:r>
              <w:rPr>
                <w:rFonts w:ascii="Arial" w:eastAsia="Arial" w:hAnsi="Arial" w:cs="Arial"/>
                <w:b/>
                <w:color w:val="000000"/>
                <w:sz w:val="24"/>
                <w:szCs w:val="24"/>
              </w:rPr>
              <w:t xml:space="preserve">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"Change of Control"</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change of control within the meaning of Section 450 of the Corporation Tax Act 2010;</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"Ch</w:t>
            </w:r>
            <w:r>
              <w:rPr>
                <w:rFonts w:ascii="Arial" w:eastAsia="Arial" w:hAnsi="Arial" w:cs="Arial"/>
                <w:b/>
                <w:color w:val="000000"/>
                <w:sz w:val="24"/>
                <w:szCs w:val="24"/>
              </w:rPr>
              <w:t>arges"</w:t>
            </w:r>
          </w:p>
        </w:tc>
        <w:tc>
          <w:tcPr>
            <w:tcW w:w="7566" w:type="dxa"/>
          </w:tcPr>
          <w:p w:rsidR="00791C43" w:rsidRDefault="009A3165">
            <w:pPr>
              <w:pBdr>
                <w:top w:val="nil"/>
                <w:left w:val="nil"/>
                <w:bottom w:val="nil"/>
                <w:right w:val="nil"/>
                <w:between w:val="nil"/>
              </w:pBdr>
              <w:tabs>
                <w:tab w:val="left" w:pos="-179"/>
                <w:tab w:val="left" w:pos="-9"/>
              </w:tabs>
              <w:spacing w:after="120"/>
              <w:ind w:left="144"/>
              <w:jc w:val="both"/>
              <w:rPr>
                <w:rFonts w:ascii="Arial" w:eastAsia="Arial" w:hAnsi="Arial" w:cs="Arial"/>
                <w:color w:val="000000"/>
                <w:sz w:val="24"/>
                <w:szCs w:val="24"/>
              </w:rPr>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w:t>
            </w:r>
            <w:r>
              <w:rPr>
                <w:rFonts w:ascii="Arial" w:eastAsia="Arial" w:hAnsi="Arial" w:cs="Arial"/>
                <w:color w:val="000000"/>
                <w:sz w:val="24"/>
                <w:szCs w:val="24"/>
              </w:rPr>
              <w:t>ions;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"Claim"</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claim which it appears that a Beneficiary is, or may become, entitled to indemnification under this Contract;</w:t>
            </w:r>
          </w:p>
        </w:tc>
      </w:tr>
      <w:tr w:rsidR="00791C43">
        <w:tc>
          <w:tcPr>
            <w:tcW w:w="2181" w:type="dxa"/>
          </w:tcPr>
          <w:p w:rsidR="00791C43" w:rsidRDefault="009A3165">
            <w:pPr>
              <w:pBdr>
                <w:top w:val="nil"/>
                <w:left w:val="nil"/>
                <w:bottom w:val="nil"/>
                <w:right w:val="nil"/>
                <w:between w:val="nil"/>
              </w:pBdr>
              <w:spacing w:after="120"/>
              <w:jc w:val="both"/>
              <w:rPr>
                <w:rFonts w:ascii="Arial" w:eastAsia="Arial" w:hAnsi="Arial" w:cs="Arial"/>
                <w:b/>
                <w:color w:val="000000"/>
                <w:sz w:val="24"/>
                <w:szCs w:val="24"/>
              </w:rPr>
            </w:pPr>
            <w:r>
              <w:rPr>
                <w:rFonts w:ascii="Arial" w:eastAsia="Arial" w:hAnsi="Arial" w:cs="Arial"/>
                <w:b/>
                <w:color w:val="000000"/>
                <w:sz w:val="24"/>
                <w:szCs w:val="24"/>
              </w:rPr>
              <w:t>‘’Closed Course’’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a course that is booked by a department, function or profession for a specific group of people.  The full cost of the course is met by the department/function or profession.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"Commercially Sensitive Information"</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w:t>
            </w:r>
            <w:r>
              <w:rPr>
                <w:rFonts w:ascii="Arial" w:eastAsia="Arial" w:hAnsi="Arial" w:cs="Arial"/>
                <w:color w:val="000000"/>
                <w:sz w:val="24"/>
                <w:szCs w:val="24"/>
              </w:rPr>
              <w:t>d by the Authority, would cause the Supplier significant commercial disadvantage or material financial loss;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"Comparable Supply"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supply of Deliverables to another Buyer of the Supplier that are the same or similar to the Deliverables;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"Compliance Off</w:t>
            </w:r>
            <w:r>
              <w:rPr>
                <w:rFonts w:ascii="Arial" w:eastAsia="Arial" w:hAnsi="Arial" w:cs="Arial"/>
                <w:b/>
                <w:color w:val="000000"/>
                <w:sz w:val="24"/>
                <w:szCs w:val="24"/>
              </w:rPr>
              <w:t>icer"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person(s) appointed by the Supplier who is responsible for ensuring that the Supplier complies with its legal obligations;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"Confidential Information"</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means any information, however it is conveyed, that relates to the business, affairs, developments, trade secrets, Know-How, personnel and suppliers of CCS, the Buyer or the Supplier, including IPRs, together with information derived from the above, and an</w:t>
            </w:r>
            <w:r>
              <w:rPr>
                <w:rFonts w:ascii="Arial" w:eastAsia="Arial" w:hAnsi="Arial" w:cs="Arial"/>
                <w:color w:val="000000"/>
                <w:sz w:val="24"/>
                <w:szCs w:val="24"/>
              </w:rPr>
              <w:t xml:space="preserve">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"Conflict of Interest"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either the Framework Contract or the Call-Off Contract, as the context requires;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"Contracts Finder"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Government’s publishing portal for public sector procurement opportunities;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Period"</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term of either a Framework Contract or Call-Off Contract from the earlier of the:</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applicable Start Date; or</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the Effective Date</w:t>
            </w:r>
          </w:p>
          <w:p w:rsidR="00791C43" w:rsidRDefault="009A3165">
            <w:pPr>
              <w:pBdr>
                <w:top w:val="nil"/>
                <w:left w:val="nil"/>
                <w:bottom w:val="nil"/>
                <w:right w:val="nil"/>
                <w:between w:val="nil"/>
              </w:pBdr>
              <w:tabs>
                <w:tab w:val="left" w:pos="-576"/>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until the applicable End Date;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Value"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higher of the actual or expected total Charges paid or payable under a Contract where all obligations are met by the Supplier;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"Contract Year"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consecutive period of twelve (12) Months commencing on the Start Date or each anniversary thereof;</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“Controller”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“Core Terms”</w:t>
            </w:r>
          </w:p>
        </w:tc>
        <w:tc>
          <w:tcPr>
            <w:tcW w:w="7566" w:type="dxa"/>
          </w:tcPr>
          <w:p w:rsidR="00791C43" w:rsidRDefault="009A3165">
            <w:pPr>
              <w:pBdr>
                <w:top w:val="nil"/>
                <w:left w:val="nil"/>
                <w:bottom w:val="nil"/>
                <w:right w:val="nil"/>
                <w:between w:val="nil"/>
              </w:pBdr>
              <w:tabs>
                <w:tab w:val="left" w:pos="-179"/>
                <w:tab w:val="left" w:pos="-9"/>
              </w:tabs>
              <w:spacing w:after="120"/>
              <w:ind w:left="170"/>
              <w:jc w:val="both"/>
              <w:rPr>
                <w:rFonts w:ascii="Arial" w:eastAsia="Arial" w:hAnsi="Arial" w:cs="Arial"/>
                <w:color w:val="000000"/>
                <w:sz w:val="24"/>
                <w:szCs w:val="24"/>
              </w:rPr>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"Costs"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cost to the Supplier or the Key Subcontractor (as the context requires), calculated per Man Day, o</w:t>
            </w:r>
            <w:r>
              <w:rPr>
                <w:rFonts w:ascii="Arial" w:eastAsia="Arial" w:hAnsi="Arial" w:cs="Arial"/>
                <w:color w:val="000000"/>
                <w:sz w:val="24"/>
                <w:szCs w:val="24"/>
              </w:rPr>
              <w:t>f engaging the Supplier Staff, including:</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base salary paid to the Supplier Staff;</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employer’s National Insurance contributions;</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pension contributions;</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car allowances; </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any other contractual employment benefits;</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staff training;</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work place accommodation;</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lastRenderedPageBreak/>
              <w:t>work place IT equipment and tools reasonably necessary to provide the Deliverables (but not including items included within limb (b) below); and</w:t>
            </w:r>
          </w:p>
          <w:p w:rsidR="00791C43" w:rsidRDefault="009A3165">
            <w:pPr>
              <w:numPr>
                <w:ilvl w:val="2"/>
                <w:numId w:val="5"/>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reasonable recruitment costs, as agreed with the Buyer; </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costs incurred in respect of Supplier Assets which wou</w:t>
            </w:r>
            <w:r>
              <w:rPr>
                <w:rFonts w:ascii="Arial" w:eastAsia="Arial" w:hAnsi="Arial" w:cs="Arial"/>
                <w:color w:val="000000"/>
                <w:sz w:val="24"/>
                <w:szCs w:val="24"/>
              </w:rPr>
              <w:t xml:space="preserve">ld be treated as capital costs according to generally accepted accounting principles within the UK, which shall include the cost to be charged in respect of Supplier Assets by the Supplier to the Buyer or (to the extent that risk and title in any Supplier </w:t>
            </w:r>
            <w:r>
              <w:rPr>
                <w:rFonts w:ascii="Arial" w:eastAsia="Arial" w:hAnsi="Arial" w:cs="Arial"/>
                <w:color w:val="000000"/>
                <w:sz w:val="24"/>
                <w:szCs w:val="24"/>
              </w:rPr>
              <w:t>Asset is not held by the Supplier) any cost actually incurred by the Supplier in respect of those Supplier Assets;</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operational costs which are not included within (a) or (b) above, to the extent that such costs are necessary and properly incurred by the Su</w:t>
            </w:r>
            <w:r>
              <w:rPr>
                <w:rFonts w:ascii="Arial" w:eastAsia="Arial" w:hAnsi="Arial" w:cs="Arial"/>
                <w:color w:val="000000"/>
                <w:sz w:val="24"/>
                <w:szCs w:val="24"/>
              </w:rPr>
              <w:t>pplier in the provision of the Deliverables; and</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Reimbursable Expenses to the extent these have been specified as allowable in the Order Form and are incurred in delivering any Deliverables;</w:t>
            </w:r>
          </w:p>
          <w:p w:rsidR="00791C43" w:rsidRDefault="009A3165">
            <w:pPr>
              <w:numPr>
                <w:ilvl w:val="0"/>
                <w:numId w:val="5"/>
              </w:numPr>
              <w:pBdr>
                <w:top w:val="nil"/>
                <w:left w:val="nil"/>
                <w:bottom w:val="nil"/>
                <w:right w:val="nil"/>
                <w:between w:val="nil"/>
              </w:pBdr>
              <w:tabs>
                <w:tab w:val="left" w:pos="-179"/>
                <w:tab w:val="left" w:pos="411"/>
              </w:tabs>
              <w:spacing w:after="120"/>
              <w:jc w:val="both"/>
              <w:rPr>
                <w:color w:val="000000"/>
              </w:rPr>
            </w:pPr>
            <w:r>
              <w:rPr>
                <w:rFonts w:ascii="Arial" w:eastAsia="Arial" w:hAnsi="Arial" w:cs="Arial"/>
                <w:color w:val="000000"/>
                <w:sz w:val="24"/>
                <w:szCs w:val="24"/>
              </w:rPr>
              <w:tab/>
              <w:t>but excluding:</w:t>
            </w:r>
          </w:p>
          <w:p w:rsidR="00791C43" w:rsidRDefault="009A3165">
            <w:pPr>
              <w:numPr>
                <w:ilvl w:val="1"/>
                <w:numId w:val="5"/>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Overhead;</w:t>
            </w:r>
          </w:p>
          <w:p w:rsidR="00791C43" w:rsidRDefault="009A3165">
            <w:pPr>
              <w:numPr>
                <w:ilvl w:val="1"/>
                <w:numId w:val="5"/>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financing or similar costs;</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taxation;</w:t>
            </w:r>
          </w:p>
          <w:p w:rsidR="00791C43" w:rsidRDefault="009A3165">
            <w:pPr>
              <w:numPr>
                <w:ilvl w:val="1"/>
                <w:numId w:val="5"/>
              </w:numPr>
              <w:pBdr>
                <w:top w:val="nil"/>
                <w:left w:val="nil"/>
                <w:bottom w:val="nil"/>
                <w:right w:val="nil"/>
                <w:between w:val="nil"/>
              </w:pBdr>
              <w:tabs>
                <w:tab w:val="left" w:pos="-576"/>
                <w:tab w:val="left" w:pos="144"/>
              </w:tabs>
              <w:spacing w:after="120"/>
              <w:ind w:left="689" w:hanging="545"/>
              <w:jc w:val="both"/>
              <w:rPr>
                <w:sz w:val="24"/>
                <w:szCs w:val="24"/>
              </w:rPr>
            </w:pPr>
            <w:r>
              <w:rPr>
                <w:rFonts w:ascii="Arial" w:eastAsia="Arial" w:hAnsi="Arial" w:cs="Arial"/>
                <w:color w:val="000000"/>
                <w:sz w:val="24"/>
                <w:szCs w:val="24"/>
              </w:rPr>
              <w:t>fines and penalties;</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amounts payable under Call-Off Schedule 16 (Benchmarking) where such Schedule is used; and</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non-cash items (including depreciation, amortisation, impairments and movements in provisions);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"Crown Body"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but not limited to, government ministers and government departments and particul</w:t>
            </w:r>
            <w:r>
              <w:rPr>
                <w:rFonts w:ascii="Arial" w:eastAsia="Arial" w:hAnsi="Arial" w:cs="Arial"/>
                <w:color w:val="000000"/>
                <w:sz w:val="24"/>
                <w:szCs w:val="24"/>
              </w:rPr>
              <w:t>ar bodies, persons, commissions or agencies from time to time carrying out functions on its behalf;</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"CRTPA"</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Contract Rights of Third Parties Act 1999;</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“CSHR”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Minister for the Cabinet Office as represented by Civil Service Human Resource, which is a department of the Cabinet Office,  a buyer for civil service departments, professions and functions, whose offices are located at 151 Buckingham Palace Road, Lon</w:t>
            </w:r>
            <w:r>
              <w:rPr>
                <w:rFonts w:ascii="Arial" w:eastAsia="Arial" w:hAnsi="Arial" w:cs="Arial"/>
                <w:color w:val="000000"/>
                <w:sz w:val="24"/>
                <w:szCs w:val="24"/>
              </w:rPr>
              <w:t>don, SW1W 9SZ, United Kingdom.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“Data Protection Impact Assessment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 assessment by the Controller of the impact of the envisaged Processing on the protection of Personal Data;</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Legislation"</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 the GDPR, the LED and any applicable nationa</w:t>
            </w:r>
            <w:r>
              <w:rPr>
                <w:rFonts w:ascii="Arial" w:eastAsia="Arial" w:hAnsi="Arial" w:cs="Arial"/>
                <w:color w:val="000000"/>
                <w:sz w:val="24"/>
                <w:szCs w:val="24"/>
              </w:rPr>
              <w:t>l implementing Laws as amended from time to time (ii) the DPA 2018 to the extent that it relates to Processing of personal data and privacy; (iii) all applicable Law about the Processing of personal data and privacy;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Protection Officer"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"Data Subject Access Request"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"Deductions"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all Service Credits, Delay Payments (if applicable), or any other deduction which </w:t>
            </w:r>
            <w:r>
              <w:rPr>
                <w:rFonts w:ascii="Arial" w:eastAsia="Arial" w:hAnsi="Arial" w:cs="Arial"/>
                <w:color w:val="000000"/>
                <w:sz w:val="24"/>
                <w:szCs w:val="24"/>
              </w:rPr>
              <w:t>the Buyer is paid or is payable to the Buyer under a Call-Off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w:t>
            </w:r>
            <w:r>
              <w:rPr>
                <w:rFonts w:ascii="Arial" w:eastAsia="Arial" w:hAnsi="Arial" w:cs="Arial"/>
                <w:color w:val="000000"/>
                <w:sz w:val="24"/>
                <w:szCs w:val="24"/>
              </w:rPr>
              <w:t>f howsoever arising in connection with or in relation to the subject-matter of a Contract and in respect of which the Supplier is liable to the Relevant Authority;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"Default Management Charge"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Paragraph 8.1.1 of Framework Schedule 5 (Management Charges and Information);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"Delay Payments"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amounts (if any) payable by the Supplier to the Buyer in respect of a delay in respect of a Milestone as specified in the Imp</w:t>
            </w:r>
            <w:r>
              <w:rPr>
                <w:rFonts w:ascii="Arial" w:eastAsia="Arial" w:hAnsi="Arial" w:cs="Arial"/>
                <w:color w:val="000000"/>
                <w:sz w:val="24"/>
                <w:szCs w:val="24"/>
              </w:rPr>
              <w:t>lementation Plan;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"Deliverables"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Goods and/or Services that may be ordered under the Contract including the Documentation;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"Delivery"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w:t>
            </w:r>
            <w:r>
              <w:rPr>
                <w:rFonts w:ascii="Arial" w:eastAsia="Arial" w:hAnsi="Arial" w:cs="Arial"/>
                <w:color w:val="000000"/>
                <w:sz w:val="24"/>
                <w:szCs w:val="24"/>
              </w:rPr>
              <w:t>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"Disaster"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 for the period specified in the Order Form (for</w:t>
            </w:r>
            <w:r>
              <w:rPr>
                <w:rFonts w:ascii="Arial" w:eastAsia="Arial" w:hAnsi="Arial" w:cs="Arial"/>
                <w:color w:val="000000"/>
                <w:sz w:val="24"/>
                <w:szCs w:val="24"/>
              </w:rPr>
              <w:t xml:space="preserve"> the purposes of this definition the </w:t>
            </w:r>
            <w:r>
              <w:rPr>
                <w:rFonts w:ascii="Arial" w:eastAsia="Arial" w:hAnsi="Arial" w:cs="Arial"/>
                <w:b/>
                <w:color w:val="000000"/>
                <w:sz w:val="24"/>
                <w:szCs w:val="24"/>
              </w:rPr>
              <w:t>"Disaster Period</w:t>
            </w:r>
            <w:r>
              <w:rPr>
                <w:rFonts w:ascii="Arial" w:eastAsia="Arial" w:hAnsi="Arial" w:cs="Arial"/>
                <w:color w:val="000000"/>
                <w:sz w:val="24"/>
                <w:szCs w:val="24"/>
              </w:rPr>
              <w:t xml:space="preserve">");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"Disclosing Party"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claim, dispute or difference arises out of or in connection with the Contract or in connection with the negotiation, existence, legal validity, enforceability or termination of the Contract, whether the alleged liability shall arise under English law o</w:t>
            </w:r>
            <w:r>
              <w:rPr>
                <w:rFonts w:ascii="Arial" w:eastAsia="Arial" w:hAnsi="Arial" w:cs="Arial"/>
                <w:color w:val="000000"/>
                <w:sz w:val="24"/>
                <w:szCs w:val="24"/>
              </w:rPr>
              <w:t xml:space="preserve">r under the law of some other country and regardless of whether a particular cause of action may successfully be brought in the English courts;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"Dispute Resolution Procedure"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dispute resolution procedure set out in Clause 34 (Resolving disputes);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"Documentation"</w:t>
            </w:r>
          </w:p>
        </w:tc>
        <w:tc>
          <w:tcPr>
            <w:tcW w:w="7566" w:type="dxa"/>
          </w:tcPr>
          <w:p w:rsidR="00791C43" w:rsidRDefault="009A3165">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w:t>
            </w:r>
            <w:r>
              <w:rPr>
                <w:rFonts w:ascii="Arial" w:eastAsia="Arial" w:hAnsi="Arial" w:cs="Arial"/>
                <w:color w:val="000000"/>
                <w:sz w:val="24"/>
                <w:szCs w:val="24"/>
              </w:rPr>
              <w:t>ronic form) is required to be supplied by the Supplier to the Buyer under a Contract as:</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is required by the </w:t>
            </w:r>
            <w:r>
              <w:rPr>
                <w:rFonts w:ascii="Arial" w:eastAsia="Arial" w:hAnsi="Arial" w:cs="Arial"/>
                <w:color w:val="000000"/>
                <w:sz w:val="24"/>
                <w:szCs w:val="24"/>
              </w:rPr>
              <w:t>Supplier in order to provide the Deliverables; and/or</w:t>
            </w:r>
          </w:p>
          <w:p w:rsidR="00791C43" w:rsidRDefault="009A3165">
            <w:pPr>
              <w:numPr>
                <w:ilvl w:val="1"/>
                <w:numId w:val="5"/>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has been or shall be generated for the purpose of providing the Deliverables;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"DOTAS"</w:t>
            </w:r>
          </w:p>
        </w:tc>
        <w:tc>
          <w:tcPr>
            <w:tcW w:w="7566" w:type="dxa"/>
          </w:tcPr>
          <w:p w:rsidR="00791C43" w:rsidRDefault="009A3165">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w:t>
            </w:r>
            <w:r>
              <w:rPr>
                <w:rFonts w:ascii="Arial" w:eastAsia="Arial" w:hAnsi="Arial" w:cs="Arial"/>
                <w:color w:val="000000"/>
                <w:sz w:val="24"/>
                <w:szCs w:val="24"/>
              </w:rPr>
              <w:t>ained in Part 7 of the Finance Act 2004 and in secondary legislation made under vires contained in Part 7 of the Finance Act 2004 and as extended to National Insurance Contributions;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“DPA 2018”</w:t>
            </w:r>
          </w:p>
        </w:tc>
        <w:tc>
          <w:tcPr>
            <w:tcW w:w="7566" w:type="dxa"/>
          </w:tcPr>
          <w:p w:rsidR="00791C43" w:rsidRDefault="009A3165">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the Data Protection Act 2018;</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"Due Diligence Information"</w:t>
            </w:r>
          </w:p>
        </w:tc>
        <w:tc>
          <w:tcPr>
            <w:tcW w:w="7566" w:type="dxa"/>
          </w:tcPr>
          <w:p w:rsidR="00791C43" w:rsidRDefault="009A3165">
            <w:pPr>
              <w:pBdr>
                <w:top w:val="nil"/>
                <w:left w:val="nil"/>
                <w:bottom w:val="nil"/>
                <w:right w:val="nil"/>
                <w:between w:val="nil"/>
              </w:pBdr>
              <w:tabs>
                <w:tab w:val="left" w:pos="-576"/>
                <w:tab w:val="left" w:pos="144"/>
              </w:tabs>
              <w:spacing w:after="120"/>
              <w:ind w:left="175"/>
              <w:jc w:val="both"/>
              <w:rPr>
                <w:rFonts w:ascii="Arial" w:eastAsia="Arial" w:hAnsi="Arial" w:cs="Arial"/>
                <w:color w:val="000000"/>
                <w:sz w:val="24"/>
                <w:szCs w:val="24"/>
              </w:rPr>
            </w:pPr>
            <w:r>
              <w:rPr>
                <w:rFonts w:ascii="Arial" w:eastAsia="Arial" w:hAnsi="Arial" w:cs="Arial"/>
                <w:color w:val="000000"/>
                <w:sz w:val="24"/>
                <w:szCs w:val="24"/>
              </w:rPr>
              <w:t>any information supplied to the Supplier by or on behalf of the Authority prior to the Start Date;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"Effective Date"</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date on which the final Party has signed the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"EIR"</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Environmental Information Regulations 2004;</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"Employment Regulations"</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"End Date" </w:t>
            </w:r>
          </w:p>
        </w:tc>
        <w:tc>
          <w:tcPr>
            <w:tcW w:w="7566" w:type="dxa"/>
          </w:tcPr>
          <w:p w:rsidR="00791C43" w:rsidRDefault="009A3165">
            <w:pPr>
              <w:pBdr>
                <w:top w:val="nil"/>
                <w:left w:val="nil"/>
                <w:bottom w:val="nil"/>
                <w:right w:val="nil"/>
                <w:between w:val="nil"/>
              </w:pBdr>
              <w:tabs>
                <w:tab w:val="left" w:pos="-576"/>
                <w:tab w:val="left" w:pos="144"/>
              </w:tabs>
              <w:spacing w:after="120"/>
              <w:ind w:firstLine="141"/>
              <w:jc w:val="both"/>
              <w:rPr>
                <w:rFonts w:ascii="Arial" w:eastAsia="Arial" w:hAnsi="Arial" w:cs="Arial"/>
                <w:color w:val="000000"/>
                <w:sz w:val="24"/>
                <w:szCs w:val="24"/>
              </w:rPr>
            </w:pPr>
            <w:r>
              <w:rPr>
                <w:rFonts w:ascii="Arial" w:eastAsia="Arial" w:hAnsi="Arial" w:cs="Arial"/>
                <w:color w:val="000000"/>
                <w:sz w:val="24"/>
                <w:szCs w:val="24"/>
              </w:rPr>
              <w:t xml:space="preserve">the earlier of: </w:t>
            </w:r>
          </w:p>
          <w:p w:rsidR="00791C43" w:rsidRDefault="009A3165">
            <w:pPr>
              <w:numPr>
                <w:ilvl w:val="1"/>
                <w:numId w:val="5"/>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lastRenderedPageBreak/>
              <w:t>the Expiry Date (as extended by any Extension Period exercised by the Authority under Clause 10.2); or</w:t>
            </w:r>
          </w:p>
          <w:p w:rsidR="00791C43" w:rsidRDefault="009A3165">
            <w:pPr>
              <w:numPr>
                <w:ilvl w:val="1"/>
                <w:numId w:val="5"/>
              </w:numPr>
              <w:pBdr>
                <w:top w:val="nil"/>
                <w:left w:val="nil"/>
                <w:bottom w:val="nil"/>
                <w:right w:val="nil"/>
                <w:between w:val="nil"/>
              </w:pBdr>
              <w:tabs>
                <w:tab w:val="left" w:pos="-576"/>
                <w:tab w:val="left" w:pos="144"/>
              </w:tabs>
              <w:spacing w:after="120"/>
              <w:ind w:hanging="291"/>
              <w:jc w:val="both"/>
              <w:rPr>
                <w:sz w:val="24"/>
                <w:szCs w:val="24"/>
              </w:rPr>
            </w:pPr>
            <w:r>
              <w:rPr>
                <w:rFonts w:ascii="Arial" w:eastAsia="Arial" w:hAnsi="Arial" w:cs="Arial"/>
                <w:color w:val="000000"/>
                <w:sz w:val="24"/>
                <w:szCs w:val="24"/>
              </w:rPr>
              <w:t>if a Contract is terminated before the date specified in (a) above, the date of termination of the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"Environmental Policy"</w:t>
            </w:r>
          </w:p>
        </w:tc>
        <w:tc>
          <w:tcPr>
            <w:tcW w:w="7566" w:type="dxa"/>
          </w:tcPr>
          <w:p w:rsidR="00791C43" w:rsidRDefault="009A3165">
            <w:pPr>
              <w:numPr>
                <w:ilvl w:val="0"/>
                <w:numId w:val="5"/>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w:t>
            </w:r>
            <w:r>
              <w:rPr>
                <w:rFonts w:ascii="Arial" w:eastAsia="Arial" w:hAnsi="Arial" w:cs="Arial"/>
                <w:color w:val="000000"/>
                <w:sz w:val="24"/>
                <w:szCs w:val="24"/>
              </w:rPr>
              <w:t>t, including any written environmental policy of the Buyer;</w:t>
            </w:r>
          </w:p>
        </w:tc>
      </w:tr>
      <w:tr w:rsidR="00791C43">
        <w:tc>
          <w:tcPr>
            <w:tcW w:w="2181" w:type="dxa"/>
          </w:tcPr>
          <w:p w:rsidR="00791C43" w:rsidRDefault="009A3165">
            <w:pPr>
              <w:pBdr>
                <w:top w:val="nil"/>
                <w:left w:val="nil"/>
                <w:bottom w:val="nil"/>
                <w:right w:val="nil"/>
                <w:between w:val="nil"/>
              </w:pBdr>
              <w:spacing w:after="120" w:line="480" w:lineRule="auto"/>
              <w:ind w:left="-108"/>
              <w:rPr>
                <w:rFonts w:ascii="Arial" w:eastAsia="Arial" w:hAnsi="Arial" w:cs="Arial"/>
                <w:b/>
                <w:color w:val="000000"/>
                <w:sz w:val="24"/>
                <w:szCs w:val="24"/>
              </w:rPr>
            </w:pPr>
            <w:r>
              <w:rPr>
                <w:rFonts w:ascii="Arial" w:eastAsia="Arial" w:hAnsi="Arial" w:cs="Arial"/>
                <w:b/>
                <w:color w:val="000000"/>
                <w:sz w:val="24"/>
                <w:szCs w:val="24"/>
              </w:rPr>
              <w:t>“Estimated Year 1 Charges”</w:t>
            </w:r>
          </w:p>
        </w:tc>
        <w:tc>
          <w:tcPr>
            <w:tcW w:w="7566" w:type="dxa"/>
          </w:tcPr>
          <w:p w:rsidR="00791C43" w:rsidRDefault="009A3165">
            <w:pPr>
              <w:numPr>
                <w:ilvl w:val="0"/>
                <w:numId w:val="5"/>
              </w:numPr>
              <w:pBdr>
                <w:top w:val="nil"/>
                <w:left w:val="nil"/>
                <w:bottom w:val="nil"/>
                <w:right w:val="nil"/>
                <w:between w:val="nil"/>
              </w:pBdr>
              <w:tabs>
                <w:tab w:val="left" w:pos="-179"/>
              </w:tabs>
              <w:spacing w:after="120"/>
              <w:jc w:val="both"/>
              <w:rPr>
                <w:color w:val="000000"/>
              </w:rPr>
            </w:pPr>
            <w:r>
              <w:rPr>
                <w:rFonts w:ascii="Arial" w:eastAsia="Arial" w:hAnsi="Arial" w:cs="Arial"/>
                <w:color w:val="000000"/>
                <w:sz w:val="24"/>
                <w:szCs w:val="24"/>
              </w:rPr>
              <w:t>the anticipated total Charges payable by the Buyer in the first Contract Year specified in the Order Form;</w:t>
            </w:r>
          </w:p>
          <w:p w:rsidR="00791C43" w:rsidRDefault="00791C43">
            <w:pPr>
              <w:numPr>
                <w:ilvl w:val="0"/>
                <w:numId w:val="5"/>
              </w:numPr>
              <w:pBdr>
                <w:top w:val="nil"/>
                <w:left w:val="nil"/>
                <w:bottom w:val="nil"/>
                <w:right w:val="nil"/>
                <w:between w:val="nil"/>
              </w:pBdr>
              <w:tabs>
                <w:tab w:val="left" w:pos="-179"/>
                <w:tab w:val="left" w:pos="-9"/>
              </w:tabs>
              <w:spacing w:after="120"/>
              <w:jc w:val="both"/>
              <w:rPr>
                <w:color w:val="000000"/>
              </w:rPr>
            </w:pPr>
          </w:p>
        </w:tc>
      </w:tr>
    </w:tbl>
    <w:p w:rsidR="00791C43" w:rsidRDefault="00791C43">
      <w:pPr>
        <w:widowControl w:val="0"/>
        <w:pBdr>
          <w:top w:val="nil"/>
          <w:left w:val="nil"/>
          <w:bottom w:val="nil"/>
          <w:right w:val="nil"/>
          <w:between w:val="nil"/>
        </w:pBdr>
        <w:spacing w:after="0"/>
        <w:rPr>
          <w:rFonts w:ascii="Arial" w:eastAsia="Arial" w:hAnsi="Arial" w:cs="Arial"/>
          <w:color w:val="000000"/>
          <w:sz w:val="24"/>
          <w:szCs w:val="24"/>
        </w:rPr>
      </w:pPr>
    </w:p>
    <w:tbl>
      <w:tblPr>
        <w:tblStyle w:val="a0"/>
        <w:tblW w:w="9750" w:type="dxa"/>
        <w:tblInd w:w="-108" w:type="dxa"/>
        <w:tblLayout w:type="fixed"/>
        <w:tblLook w:val="0400" w:firstRow="0" w:lastRow="0" w:firstColumn="0" w:lastColumn="0" w:noHBand="0" w:noVBand="1"/>
      </w:tblPr>
      <w:tblGrid>
        <w:gridCol w:w="2182"/>
        <w:gridCol w:w="7568"/>
      </w:tblGrid>
      <w:tr w:rsidR="00791C43">
        <w:tc>
          <w:tcPr>
            <w:tcW w:w="2182" w:type="dxa"/>
            <w:tcBorders>
              <w:top w:val="nil"/>
              <w:left w:val="single" w:sz="8" w:space="0" w:color="000000"/>
              <w:bottom w:val="single" w:sz="8" w:space="0" w:color="000000"/>
              <w:right w:val="single" w:sz="8" w:space="0" w:color="000000"/>
            </w:tcBorders>
            <w:tcMar>
              <w:top w:w="0" w:type="dxa"/>
              <w:left w:w="108" w:type="dxa"/>
              <w:bottom w:w="0" w:type="dxa"/>
              <w:right w:w="108" w:type="dxa"/>
            </w:tcMar>
          </w:tcPr>
          <w:p w:rsidR="00791C43" w:rsidRDefault="009A3165">
            <w:pPr>
              <w:pBdr>
                <w:top w:val="nil"/>
                <w:left w:val="nil"/>
                <w:bottom w:val="nil"/>
                <w:right w:val="nil"/>
                <w:between w:val="nil"/>
              </w:pBdr>
              <w:spacing w:after="120" w:line="240" w:lineRule="auto"/>
              <w:ind w:left="-108"/>
              <w:rPr>
                <w:rFonts w:ascii="Arial" w:eastAsia="Arial" w:hAnsi="Arial" w:cs="Arial"/>
                <w:b/>
                <w:color w:val="000000"/>
                <w:sz w:val="24"/>
                <w:szCs w:val="24"/>
              </w:rPr>
            </w:pPr>
            <w:r>
              <w:rPr>
                <w:rFonts w:ascii="Arial" w:eastAsia="Arial" w:hAnsi="Arial" w:cs="Arial"/>
                <w:b/>
                <w:color w:val="000000"/>
                <w:sz w:val="24"/>
                <w:szCs w:val="24"/>
              </w:rPr>
              <w:t>"Estimated Yearly Charges"</w:t>
            </w:r>
          </w:p>
        </w:tc>
        <w:tc>
          <w:tcPr>
            <w:tcW w:w="7568" w:type="dxa"/>
            <w:tcBorders>
              <w:top w:val="nil"/>
              <w:left w:val="nil"/>
              <w:bottom w:val="single" w:sz="8" w:space="0" w:color="000000"/>
              <w:right w:val="single" w:sz="8" w:space="0" w:color="000000"/>
            </w:tcBorders>
            <w:tcMar>
              <w:top w:w="0" w:type="dxa"/>
              <w:left w:w="108" w:type="dxa"/>
              <w:bottom w:w="0" w:type="dxa"/>
              <w:right w:w="108" w:type="dxa"/>
            </w:tcMar>
          </w:tcPr>
          <w:p w:rsidR="00791C43" w:rsidRDefault="009A3165">
            <w:pPr>
              <w:numPr>
                <w:ilvl w:val="0"/>
                <w:numId w:val="4"/>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means for the purposes of calculating each Party’s annual liability under clause 11.2 :</w:t>
            </w:r>
          </w:p>
          <w:p w:rsidR="00791C43" w:rsidRDefault="009A3165">
            <w:pPr>
              <w:numPr>
                <w:ilvl w:val="0"/>
                <w:numId w:val="4"/>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 xml:space="preserve">i)  in the first Contract Year, the Estimated Year 1 Charges; or </w:t>
            </w:r>
          </w:p>
          <w:p w:rsidR="00791C43" w:rsidRDefault="00791C43">
            <w:pPr>
              <w:numPr>
                <w:ilvl w:val="0"/>
                <w:numId w:val="4"/>
              </w:numPr>
              <w:pBdr>
                <w:top w:val="nil"/>
                <w:left w:val="nil"/>
                <w:bottom w:val="nil"/>
                <w:right w:val="nil"/>
                <w:between w:val="nil"/>
              </w:pBdr>
              <w:tabs>
                <w:tab w:val="left" w:pos="-179"/>
              </w:tabs>
              <w:spacing w:after="120" w:line="240" w:lineRule="auto"/>
              <w:jc w:val="both"/>
              <w:rPr>
                <w:color w:val="000000"/>
              </w:rPr>
            </w:pPr>
          </w:p>
          <w:p w:rsidR="00791C43" w:rsidRDefault="009A3165">
            <w:pPr>
              <w:numPr>
                <w:ilvl w:val="0"/>
                <w:numId w:val="4"/>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ii) in the any subsequent Contract Years, the Charges paid or payable in the previous Call-off Contra</w:t>
            </w:r>
            <w:r>
              <w:rPr>
                <w:rFonts w:ascii="Arial" w:eastAsia="Arial" w:hAnsi="Arial" w:cs="Arial"/>
                <w:color w:val="000000"/>
                <w:sz w:val="24"/>
                <w:szCs w:val="24"/>
              </w:rPr>
              <w:t>ct Year; or</w:t>
            </w:r>
          </w:p>
          <w:p w:rsidR="00791C43" w:rsidRDefault="00791C43">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rsidR="00791C43" w:rsidRDefault="009A3165">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    iii) after the end of the Call-off Contract, the Charges paid or payable in the last Contract Year during the Call-off Contract Period; </w:t>
            </w:r>
          </w:p>
          <w:p w:rsidR="00791C43" w:rsidRDefault="00791C43">
            <w:pPr>
              <w:pBdr>
                <w:top w:val="nil"/>
                <w:left w:val="nil"/>
                <w:bottom w:val="nil"/>
                <w:right w:val="nil"/>
                <w:between w:val="nil"/>
              </w:pBdr>
              <w:tabs>
                <w:tab w:val="left" w:pos="-179"/>
              </w:tabs>
              <w:spacing w:after="120" w:line="240" w:lineRule="auto"/>
              <w:jc w:val="both"/>
              <w:rPr>
                <w:rFonts w:ascii="Arial" w:eastAsia="Arial" w:hAnsi="Arial" w:cs="Arial"/>
                <w:color w:val="000000"/>
                <w:sz w:val="24"/>
                <w:szCs w:val="24"/>
              </w:rPr>
            </w:pPr>
          </w:p>
          <w:p w:rsidR="00791C43" w:rsidRDefault="009A3165">
            <w:pPr>
              <w:numPr>
                <w:ilvl w:val="0"/>
                <w:numId w:val="4"/>
              </w:numPr>
              <w:pBdr>
                <w:top w:val="nil"/>
                <w:left w:val="nil"/>
                <w:bottom w:val="nil"/>
                <w:right w:val="nil"/>
                <w:between w:val="nil"/>
              </w:pBdr>
              <w:tabs>
                <w:tab w:val="left" w:pos="-179"/>
              </w:tabs>
              <w:spacing w:after="120" w:line="240" w:lineRule="auto"/>
              <w:jc w:val="both"/>
              <w:rPr>
                <w:color w:val="000000"/>
              </w:rPr>
            </w:pPr>
            <w:r>
              <w:rPr>
                <w:rFonts w:ascii="Arial" w:eastAsia="Arial" w:hAnsi="Arial" w:cs="Arial"/>
                <w:color w:val="000000"/>
                <w:sz w:val="24"/>
                <w:szCs w:val="24"/>
              </w:rPr>
              <w:t> </w:t>
            </w:r>
          </w:p>
        </w:tc>
      </w:tr>
    </w:tbl>
    <w:p w:rsidR="00791C43" w:rsidRDefault="00791C43">
      <w:pPr>
        <w:widowControl w:val="0"/>
        <w:pBdr>
          <w:top w:val="nil"/>
          <w:left w:val="nil"/>
          <w:bottom w:val="nil"/>
          <w:right w:val="nil"/>
          <w:between w:val="nil"/>
        </w:pBdr>
        <w:spacing w:after="0"/>
        <w:rPr>
          <w:rFonts w:ascii="Arial" w:eastAsia="Arial" w:hAnsi="Arial" w:cs="Arial"/>
          <w:color w:val="000000"/>
          <w:sz w:val="24"/>
          <w:szCs w:val="24"/>
        </w:rPr>
      </w:pPr>
    </w:p>
    <w:tbl>
      <w:tblPr>
        <w:tblStyle w:val="a1"/>
        <w:tblW w:w="974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181"/>
        <w:gridCol w:w="7566"/>
      </w:tblGrid>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"Equality and Human Rights Commission"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UK Government body named as such as may be renamed or replaced by an equivalent body from time to time;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"Existing IPR"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"Expiry Date"</w:t>
            </w:r>
          </w:p>
        </w:tc>
        <w:tc>
          <w:tcPr>
            <w:tcW w:w="7566" w:type="dxa"/>
          </w:tcPr>
          <w:p w:rsidR="00791C43" w:rsidRDefault="009A3165">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 xml:space="preserve">the Framework Expiry Date or the Call-Off Expiry Date (as the context dictates);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"Extension Period"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Framework Optional Extension Period or the Call-Off Optional Extension Period as the context dictates;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"FOIA"</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w:t>
            </w:r>
            <w:r>
              <w:rPr>
                <w:rFonts w:ascii="Arial" w:eastAsia="Arial" w:hAnsi="Arial" w:cs="Arial"/>
                <w:color w:val="000000"/>
                <w:sz w:val="24"/>
                <w:szCs w:val="24"/>
              </w:rPr>
              <w:t>lation;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"Force Majeure Event"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event, occurrence, circumstance, matter or cause affecting the performance by either the Relevant Authority or the Supplier of its obligations arising from:</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events, omissions, happenings or non-happenings beyond the reasonable control of the Affected Party which prevent or materially delay the Affected Party from performing its obligations under a Contract;</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riots, civil commotion, war or armed conflict, </w:t>
            </w:r>
            <w:r>
              <w:rPr>
                <w:rFonts w:ascii="Arial" w:eastAsia="Arial" w:hAnsi="Arial" w:cs="Arial"/>
                <w:color w:val="000000"/>
                <w:sz w:val="24"/>
                <w:szCs w:val="24"/>
              </w:rPr>
              <w:t>acts of terrorism, nuclear, biological or chemical warfare;</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acts of a Crown Body, local government or regulatory bodies;</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fire, flood or any disaster; 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 industrial dispute affecting a third party for which a substitute third party is not reasonably avai</w:t>
            </w:r>
            <w:r>
              <w:rPr>
                <w:rFonts w:ascii="Arial" w:eastAsia="Arial" w:hAnsi="Arial" w:cs="Arial"/>
                <w:color w:val="000000"/>
                <w:sz w:val="24"/>
                <w:szCs w:val="24"/>
              </w:rPr>
              <w:t>lable but excluding:</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any industrial dispute relating to the Supplier, the Supplier Staff (including any subsets of them) or any other failure in the Supplier or the Subcontractor's supply chain; </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any event, occurrence, circumstance, matter or cause which is attributable to the wilful act, neglect or failure to take reasonable precautions against it by the Party concerned; and</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any failure of delay caused by a lack of funds;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"Force Majeure Notice"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Award Form"</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document outlining the Framework Incorporated Terms and crucial information required </w:t>
            </w:r>
            <w:r>
              <w:rPr>
                <w:rFonts w:ascii="Arial" w:eastAsia="Arial" w:hAnsi="Arial" w:cs="Arial"/>
                <w:color w:val="000000"/>
                <w:sz w:val="24"/>
                <w:szCs w:val="24"/>
              </w:rPr>
              <w:t>for the Framework Contract, to be executed by the Supplier and CCS;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w:t>
            </w:r>
            <w:r>
              <w:rPr>
                <w:rFonts w:ascii="Arial" w:eastAsia="Arial" w:hAnsi="Arial" w:cs="Arial"/>
                <w:color w:val="000000"/>
                <w:sz w:val="24"/>
                <w:szCs w:val="24"/>
              </w:rPr>
              <w:t xml:space="preserve"> Buyers by the Supplier pursuant to the OJEU Notice;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Contract Period"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period from the Framework Start Date until the End Date or earlier termination of the Framework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Expiry Date"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date of the end of the Framework Contract as stated in the Framework Award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Incorporated Terms"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contractual terms applicable to the Framework Contract specified in the Framework Award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Initial Period"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initial term of the Framework Contract as specified in the Framework Award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 xml:space="preserve">"Framework Optional </w:t>
            </w:r>
            <w:r>
              <w:rPr>
                <w:rFonts w:ascii="Arial" w:eastAsia="Arial" w:hAnsi="Arial" w:cs="Arial"/>
                <w:b/>
                <w:color w:val="000000"/>
                <w:sz w:val="24"/>
                <w:szCs w:val="24"/>
              </w:rPr>
              <w:lastRenderedPageBreak/>
              <w:t>Extension Period"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lastRenderedPageBreak/>
              <w:t>such period or periods beyond which the Framework Initial Period may be extended up to a maximum of the number of years in total specified in the Framework Award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Price(s)"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price(s) applicable to the provision of the Deliverables set out in Framework Schedule 3 (Framework Prices);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Special Terms"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additional terms and conditions specified in the Framework Award Form incorporated into the Framework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Start Date"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date of start of the Framework Contract as stated in the Framework Award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"Framework Tender Response"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tender submitted by the Supplier to CCS and annexed to or referred to in Framework Schedule 2 (Framework Tender Response);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"Further Competition Procedure"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further competition procedure described in Framework Schedule 7 (Call-Off Procedure and Awar</w:t>
            </w:r>
            <w:r>
              <w:rPr>
                <w:rFonts w:ascii="Arial" w:eastAsia="Arial" w:hAnsi="Arial" w:cs="Arial"/>
                <w:color w:val="000000"/>
                <w:sz w:val="24"/>
                <w:szCs w:val="24"/>
              </w:rPr>
              <w:t>d Criteria);</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"GDPR"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General Data Protection Regulation (Regulation (EU) 2016/679);</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Anti-Abuse Rule"</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the legislation in Part 5 of the Finance Act 2013 and; and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"General Change in Law"</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goods made available by the Supplier as specified in Framewor</w:t>
            </w:r>
            <w:r>
              <w:rPr>
                <w:rFonts w:ascii="Arial" w:eastAsia="Arial" w:hAnsi="Arial" w:cs="Arial"/>
                <w:color w:val="000000"/>
                <w:sz w:val="24"/>
                <w:szCs w:val="24"/>
              </w:rPr>
              <w:t>k Schedule 1 (Specification) and in relation to a Call-Off Contract as specified in the Order Form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"Good Industry Practice"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standards, practices, methods and procedures conforming to the Law and the exercise of the degree of skill and care, diligence, p</w:t>
            </w:r>
            <w:r>
              <w:rPr>
                <w:rFonts w:ascii="Arial" w:eastAsia="Arial" w:hAnsi="Arial" w:cs="Arial"/>
                <w:color w:val="000000"/>
                <w:sz w:val="24"/>
                <w:szCs w:val="24"/>
              </w:rPr>
              <w:t>rudence and foresight which would reasonably and ordinarily be expected from a skilled and experienced person or body engaged within the relevant industry or business sector;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w:t>
            </w:r>
            <w:r>
              <w:rPr>
                <w:rFonts w:ascii="Arial" w:eastAsia="Arial" w:hAnsi="Arial" w:cs="Arial"/>
                <w:color w:val="000000"/>
                <w:sz w:val="24"/>
                <w:szCs w:val="24"/>
              </w:rPr>
              <w:t>sions or agencies from time to time carrying out functions on its behalf;</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"Government Data"</w:t>
            </w:r>
          </w:p>
        </w:tc>
        <w:tc>
          <w:tcPr>
            <w:tcW w:w="7566" w:type="dxa"/>
          </w:tcPr>
          <w:p w:rsidR="00791C43" w:rsidRDefault="009A3165">
            <w:pPr>
              <w:pBdr>
                <w:top w:val="nil"/>
                <w:left w:val="nil"/>
                <w:bottom w:val="nil"/>
                <w:right w:val="nil"/>
                <w:between w:val="nil"/>
              </w:pBdr>
              <w:tabs>
                <w:tab w:val="left" w:pos="-576"/>
                <w:tab w:val="left" w:pos="144"/>
              </w:tabs>
              <w:spacing w:after="120"/>
              <w:jc w:val="both"/>
              <w:rPr>
                <w:rFonts w:ascii="Arial" w:eastAsia="Arial" w:hAnsi="Arial" w:cs="Arial"/>
                <w:color w:val="000000"/>
                <w:sz w:val="24"/>
                <w:szCs w:val="24"/>
              </w:rPr>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are s</w:t>
            </w:r>
            <w:r>
              <w:rPr>
                <w:rFonts w:ascii="Arial" w:eastAsia="Arial" w:hAnsi="Arial" w:cs="Arial"/>
                <w:color w:val="000000"/>
                <w:sz w:val="24"/>
                <w:szCs w:val="24"/>
              </w:rPr>
              <w:t>upplied to the Supplier by or on behalf of the Authority; or</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lastRenderedPageBreak/>
              <w:t xml:space="preserve">the Supplier is required to generate, process, store or transmit pursuant to a Contract;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"Government Procurement Card"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Government’s preferred method of purchasing and payment for low value goods or services https://www.gov.uk/government/publications/government-procurement-card--2;</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"Guarantor"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person (if any) who has entered into a guarantee in the form set out in Joint Schedule 8 (Guarantee) in relation to this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"Halifax Abuse Principle"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principle explained in the CJEU Case C-255/02 Halifax and others;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"HMRC"</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Her Majesty’s Revenue and Customs;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"ICT Policy"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Buyer's policy in respect of information and communications technology, referred to in the Order Form, which is in force as at the Call-Off Start Date (a copy of which has been supplied to the Supplier), as updated from time to time in accordance with </w:t>
            </w:r>
            <w:r>
              <w:rPr>
                <w:rFonts w:ascii="Arial" w:eastAsia="Arial" w:hAnsi="Arial" w:cs="Arial"/>
                <w:color w:val="000000"/>
                <w:sz w:val="24"/>
                <w:szCs w:val="24"/>
              </w:rPr>
              <w:t>the Variation Procedure;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"Impact Assessment"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 assessment of the impact of a Variation request by the Relevant Authority completed in good faith, including:</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details of the impact of the proposed Variation on the Deliverables and the Supplier's ability to meet its other obligations under the Contract;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cost of implementing the proposed Variation;</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details of the ongoing costs required by the propo</w:t>
            </w:r>
            <w:r>
              <w:rPr>
                <w:rFonts w:ascii="Arial" w:eastAsia="Arial" w:hAnsi="Arial" w:cs="Arial"/>
                <w:color w:val="000000"/>
                <w:sz w:val="24"/>
                <w:szCs w:val="24"/>
              </w:rPr>
              <w:t>sed Variation when implemented, including any increase or decrease in the Framework Prices/Charges (as applicable), any alteration in the resources and/or expenditure required by either Party and any alteration to the working practices of either Party;</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 t</w:t>
            </w:r>
            <w:r>
              <w:rPr>
                <w:rFonts w:ascii="Arial" w:eastAsia="Arial" w:hAnsi="Arial" w:cs="Arial"/>
                <w:color w:val="000000"/>
                <w:sz w:val="24"/>
                <w:szCs w:val="24"/>
              </w:rPr>
              <w:t>imetable for the implementation, together with any proposals for the testing of the Variation; and</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such other information as the Relevant Authority may reasonably request in (or in response to) the Variation request;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"Implementation Plan"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"Indemnifier"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Party from whom an indemnity is sought unde</w:t>
            </w:r>
            <w:r>
              <w:rPr>
                <w:rFonts w:ascii="Arial" w:eastAsia="Arial" w:hAnsi="Arial" w:cs="Arial"/>
                <w:color w:val="000000"/>
                <w:sz w:val="24"/>
                <w:szCs w:val="24"/>
              </w:rPr>
              <w:t>r this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“Independent Control”</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w:t>
            </w:r>
            <w:r>
              <w:rPr>
                <w:rFonts w:ascii="Arial" w:eastAsia="Arial" w:hAnsi="Arial" w:cs="Arial"/>
                <w:color w:val="000000"/>
                <w:sz w:val="24"/>
                <w:szCs w:val="24"/>
              </w:rPr>
              <w: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"Indexation"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adjustment of an amount or sum in accordance with Framework Schedule 3 (Framework Prices) and the relevant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under section 84 of the Freedom of Information Act 2000;</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"Information Commissioner"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UK’s independent authority which deals with ensuring information relating to rights in the public interest and data privacy for individuals is met, whilst promoting openness by public bodies;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"Initial Period"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initial term of a Contract specified </w:t>
            </w:r>
            <w:r>
              <w:rPr>
                <w:rFonts w:ascii="Arial" w:eastAsia="Arial" w:hAnsi="Arial" w:cs="Arial"/>
                <w:color w:val="000000"/>
                <w:sz w:val="24"/>
                <w:szCs w:val="24"/>
              </w:rPr>
              <w:t>in the Framework Award Form or the Order Form, as the context requires;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"Insolvency Event"</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in respect of a person:</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 proposal is made for a voluntary arrangement within Part I of the Insolvency Act 1986 or of any other composition scheme or arrangement with, or assignment for the benefit of, its creditors;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 shareholders' meeting is convened for the purpose of cons</w:t>
            </w:r>
            <w:r>
              <w:rPr>
                <w:rFonts w:ascii="Arial" w:eastAsia="Arial" w:hAnsi="Arial" w:cs="Arial"/>
                <w:color w:val="000000"/>
                <w:sz w:val="24"/>
                <w:szCs w:val="24"/>
              </w:rPr>
              <w:t>idering a resolution that it be wound up or a resolution for its winding-up is passed (other than as part of, and exclusively for the purpose of, a bona fide reconstruction or amalgamation); 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 petition is presented for its winding up (which is not dismi</w:t>
            </w:r>
            <w:r>
              <w:rPr>
                <w:rFonts w:ascii="Arial" w:eastAsia="Arial" w:hAnsi="Arial" w:cs="Arial"/>
                <w:color w:val="000000"/>
                <w:sz w:val="24"/>
                <w:szCs w:val="24"/>
              </w:rPr>
              <w:t xml:space="preserve">ssed within fourteen (14) Working Days of its service) or an application is made for the appointment of a provisional liquidator or a creditors' meeting is convened pursuant to section 98 of the Insolvency Act 1986;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 receiver, administrative receiver </w:t>
            </w:r>
            <w:r>
              <w:rPr>
                <w:rFonts w:ascii="Arial" w:eastAsia="Arial" w:hAnsi="Arial" w:cs="Arial"/>
                <w:color w:val="000000"/>
                <w:sz w:val="24"/>
                <w:szCs w:val="24"/>
              </w:rPr>
              <w:t xml:space="preserve">or similar officer is appointed over the whole or any part of its business or assets;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 application is made either for the appointment of an administrator or for an administration order, an administrator is appointed, or notice of intention to appoint</w:t>
            </w:r>
            <w:r>
              <w:rPr>
                <w:rFonts w:ascii="Arial" w:eastAsia="Arial" w:hAnsi="Arial" w:cs="Arial"/>
                <w:color w:val="000000"/>
                <w:sz w:val="24"/>
                <w:szCs w:val="24"/>
              </w:rPr>
              <w:t xml:space="preserve"> an administrator is given;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it is or becomes insolvent within the meaning of section 123 of the Insolvency Act 1986;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being a "small company" within the meaning of section 382(3) of the Companies Act 2006, a moratorium comes into force pursuant to S</w:t>
            </w:r>
            <w:r>
              <w:rPr>
                <w:rFonts w:ascii="Arial" w:eastAsia="Arial" w:hAnsi="Arial" w:cs="Arial"/>
                <w:color w:val="000000"/>
                <w:sz w:val="24"/>
                <w:szCs w:val="24"/>
              </w:rPr>
              <w:t xml:space="preserve">chedule A1 of the Insolvency Act 1986;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where the person is an individual or partnership, any event analogous to those listed in limbs (a) to (g) (inclusive) occurs in relation to that individual or partnership;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event analogous to those listed in limbs (a) to (h) (inclusive) occurs under the law of any other jurisdiction;</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"Installation Works"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"Intellectual Property Rights" or "IPR"</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w:t>
            </w:r>
            <w:r>
              <w:rPr>
                <w:rFonts w:ascii="Arial" w:eastAsia="Arial" w:hAnsi="Arial" w:cs="Arial"/>
                <w:color w:val="000000"/>
                <w:sz w:val="24"/>
                <w:szCs w:val="24"/>
              </w:rPr>
              <w:t xml:space="preserve"> or business names, goodwill, designs, Know-How, trade secrets and other rights in Confidential Information;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applications for registration, and the right to apply for registration, for any of the rights listed at (a) that are capable of being registered i</w:t>
            </w:r>
            <w:r>
              <w:rPr>
                <w:rFonts w:ascii="Arial" w:eastAsia="Arial" w:hAnsi="Arial" w:cs="Arial"/>
                <w:color w:val="000000"/>
                <w:sz w:val="24"/>
                <w:szCs w:val="24"/>
              </w:rPr>
              <w:t>n any country or jurisdiction; and</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other rights having equivalent or similar effect in any country or jurisdiction;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"Invoicing Address"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address to which the Supplier shall Invoice the Buyer as specified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"IPR Claim"</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w:t>
            </w:r>
            <w:r>
              <w:rPr>
                <w:rFonts w:ascii="Arial" w:eastAsia="Arial" w:hAnsi="Arial" w:cs="Arial"/>
                <w:color w:val="000000"/>
                <w:sz w:val="24"/>
                <w:szCs w:val="24"/>
              </w:rPr>
              <w:t xml:space="preserve"> access) to the Relevant Authority in the fulfilment of its obligations under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"IR35"</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off-payroll rules requiring individuals who work through their company pay the same tax and National Insurance contributions as an employee which can be f</w:t>
            </w:r>
            <w:r>
              <w:rPr>
                <w:rFonts w:ascii="Arial" w:eastAsia="Arial" w:hAnsi="Arial" w:cs="Arial"/>
                <w:color w:val="000000"/>
                <w:sz w:val="24"/>
                <w:szCs w:val="24"/>
              </w:rPr>
              <w:t xml:space="preserve">ound online at: </w:t>
            </w:r>
            <w:hyperlink r:id="rId7">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 Agreement”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“Joint Controllers”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where two or more Controllers jointly determine the purposes and means of Processing;</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Personnel"</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individuals (if any) identified as such in the Order Form;</w:t>
            </w:r>
          </w:p>
        </w:tc>
      </w:tr>
      <w:tr w:rsidR="00791C43">
        <w:trPr>
          <w:trHeight w:val="357"/>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each Sub-Contract with a Key Subcontractor;</w:t>
            </w:r>
          </w:p>
        </w:tc>
      </w:tr>
      <w:tr w:rsidR="00791C43">
        <w:trPr>
          <w:trHeight w:val="426"/>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"Key Subcontractor"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Subcontractor: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which is relied upon to deliver any work package within the Deliverables in their entirety; and/or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with a Sub-Contract with a contract value which at the time of appointment exceeds (or would </w:t>
            </w:r>
            <w:r>
              <w:rPr>
                <w:rFonts w:ascii="Arial" w:eastAsia="Arial" w:hAnsi="Arial" w:cs="Arial"/>
                <w:color w:val="000000"/>
                <w:sz w:val="24"/>
                <w:szCs w:val="24"/>
              </w:rPr>
              <w:t xml:space="preserve">exceed if appointed) 10% of the </w:t>
            </w:r>
            <w:r>
              <w:rPr>
                <w:rFonts w:ascii="Arial" w:eastAsia="Arial" w:hAnsi="Arial" w:cs="Arial"/>
                <w:color w:val="000000"/>
                <w:sz w:val="24"/>
                <w:szCs w:val="24"/>
              </w:rPr>
              <w:lastRenderedPageBreak/>
              <w:t>aggregate Charges forecast to be payable under the Call-Off Contract,</w:t>
            </w:r>
          </w:p>
          <w:p w:rsidR="00791C43" w:rsidRDefault="009A3165">
            <w:pPr>
              <w:pBdr>
                <w:top w:val="nil"/>
                <w:left w:val="nil"/>
                <w:bottom w:val="nil"/>
                <w:right w:val="nil"/>
                <w:between w:val="nil"/>
              </w:pBdr>
              <w:tabs>
                <w:tab w:val="left" w:pos="-576"/>
                <w:tab w:val="left" w:pos="144"/>
              </w:tabs>
              <w:spacing w:after="120"/>
              <w:ind w:left="144"/>
              <w:jc w:val="both"/>
              <w:rPr>
                <w:rFonts w:ascii="Arial" w:eastAsia="Arial" w:hAnsi="Arial" w:cs="Arial"/>
                <w:color w:val="000000"/>
                <w:sz w:val="24"/>
                <w:szCs w:val="24"/>
              </w:rPr>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"Know-How"</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w:t>
            </w:r>
            <w:r>
              <w:rPr>
                <w:rFonts w:ascii="Arial" w:eastAsia="Arial" w:hAnsi="Arial" w:cs="Arial"/>
                <w:color w:val="000000"/>
                <w:sz w:val="24"/>
                <w:szCs w:val="24"/>
              </w:rPr>
              <w:t>te;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"Law"</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w:t>
            </w:r>
            <w:r>
              <w:rPr>
                <w:rFonts w:ascii="Arial" w:eastAsia="Arial" w:hAnsi="Arial" w:cs="Arial"/>
                <w:color w:val="000000"/>
                <w:sz w:val="24"/>
                <w:szCs w:val="24"/>
              </w:rPr>
              <w:t>r code of practice, judgment of a relevant court of law, or directives or requirements with which the relevant Party is bound to comply;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“LED”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Law Enforcement Directive (Directive (EU) 2016/680);</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"Losses"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w:t>
            </w:r>
            <w:r>
              <w:rPr>
                <w:rFonts w:ascii="Arial" w:eastAsia="Arial" w:hAnsi="Arial" w:cs="Arial"/>
                <w:color w:val="000000"/>
                <w:sz w:val="24"/>
                <w:szCs w:val="24"/>
              </w:rPr>
              <w:t>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"Lots"</w:t>
            </w:r>
          </w:p>
        </w:tc>
        <w:tc>
          <w:tcPr>
            <w:tcW w:w="7566" w:type="dxa"/>
          </w:tcPr>
          <w:p w:rsidR="00791C43" w:rsidRDefault="009A3165">
            <w:pPr>
              <w:pBdr>
                <w:top w:val="nil"/>
                <w:left w:val="nil"/>
                <w:bottom w:val="nil"/>
                <w:right w:val="nil"/>
                <w:between w:val="nil"/>
              </w:pBdr>
              <w:tabs>
                <w:tab w:val="left" w:pos="-179"/>
                <w:tab w:val="left" w:pos="175"/>
              </w:tabs>
              <w:spacing w:after="120"/>
              <w:ind w:left="170"/>
              <w:jc w:val="both"/>
              <w:rPr>
                <w:rFonts w:ascii="Arial" w:eastAsia="Arial" w:hAnsi="Arial" w:cs="Arial"/>
                <w:color w:val="000000"/>
                <w:sz w:val="24"/>
                <w:szCs w:val="24"/>
              </w:rPr>
            </w:pPr>
            <w:r>
              <w:rPr>
                <w:rFonts w:ascii="Arial" w:eastAsia="Arial" w:hAnsi="Arial" w:cs="Arial"/>
                <w:color w:val="000000"/>
                <w:sz w:val="24"/>
                <w:szCs w:val="24"/>
              </w:rPr>
              <w:t>the number of lots specified in Framework Schedule 1 (Specification), if applicable;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 Day"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7.5 Man Hours, whether or not such hours are worked consecutively and whether or not they are worked on the same day;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 Hours"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hours spent by the Supplier Staff properly working on the provision of the Deliverables including time spent travelling (</w:t>
            </w:r>
            <w:r>
              <w:rPr>
                <w:rFonts w:ascii="Arial" w:eastAsia="Arial" w:hAnsi="Arial" w:cs="Arial"/>
                <w:color w:val="000000"/>
                <w:sz w:val="24"/>
                <w:szCs w:val="24"/>
              </w:rPr>
              <w:t>other than to and from the Supplier's offices, or to and from the Sites) but excluding lunch breaks;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Charge"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sum specified in the Framework Award Form payable by the Supplier to CCS in accordance with Framework Schedule 5 (Management Charg</w:t>
            </w:r>
            <w:r>
              <w:rPr>
                <w:rFonts w:ascii="Arial" w:eastAsia="Arial" w:hAnsi="Arial" w:cs="Arial"/>
                <w:color w:val="000000"/>
                <w:sz w:val="24"/>
                <w:szCs w:val="24"/>
              </w:rPr>
              <w:t>es and Information);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"Management Information" or “MI”</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management information specified in Framework Schedule 5 (Management Charges and Information);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"Marketing Contact"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shall be the person identified in the Framework Award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Default”</w:t>
            </w:r>
          </w:p>
        </w:tc>
        <w:tc>
          <w:tcPr>
            <w:tcW w:w="7566" w:type="dxa"/>
          </w:tcPr>
          <w:p w:rsidR="00791C43" w:rsidRDefault="009A3165">
            <w:pPr>
              <w:numPr>
                <w:ilvl w:val="0"/>
                <w:numId w:val="4"/>
              </w:numPr>
              <w:pBdr>
                <w:top w:val="nil"/>
                <w:left w:val="nil"/>
                <w:bottom w:val="nil"/>
                <w:right w:val="nil"/>
                <w:between w:val="nil"/>
              </w:pBdr>
              <w:tabs>
                <w:tab w:val="left" w:pos="-179"/>
                <w:tab w:val="left" w:pos="175"/>
              </w:tabs>
              <w:spacing w:after="120"/>
              <w:jc w:val="both"/>
              <w:rPr>
                <w:color w:val="000000"/>
              </w:rPr>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Failure"</w:t>
            </w:r>
          </w:p>
        </w:tc>
        <w:tc>
          <w:tcPr>
            <w:tcW w:w="7566" w:type="dxa"/>
          </w:tcPr>
          <w:p w:rsidR="00791C43" w:rsidRDefault="009A3165">
            <w:pPr>
              <w:numPr>
                <w:ilvl w:val="0"/>
                <w:numId w:val="4"/>
              </w:numPr>
              <w:pBdr>
                <w:top w:val="nil"/>
                <w:left w:val="nil"/>
                <w:bottom w:val="nil"/>
                <w:right w:val="nil"/>
                <w:between w:val="nil"/>
              </w:pBdr>
              <w:tabs>
                <w:tab w:val="left" w:pos="-179"/>
                <w:tab w:val="left" w:pos="175"/>
              </w:tabs>
              <w:spacing w:after="120"/>
              <w:jc w:val="both"/>
              <w:rPr>
                <w:color w:val="000000"/>
              </w:rPr>
            </w:pPr>
            <w:r>
              <w:rPr>
                <w:rFonts w:ascii="Arial" w:eastAsia="Arial" w:hAnsi="Arial" w:cs="Arial"/>
                <w:color w:val="000000"/>
                <w:sz w:val="24"/>
                <w:szCs w:val="24"/>
              </w:rPr>
              <w:t>means when an MI report:</w:t>
            </w:r>
          </w:p>
          <w:p w:rsidR="00791C43" w:rsidRDefault="009A3165">
            <w:pPr>
              <w:numPr>
                <w:ilvl w:val="1"/>
                <w:numId w:val="4"/>
              </w:numPr>
              <w:pBdr>
                <w:top w:val="nil"/>
                <w:left w:val="nil"/>
                <w:bottom w:val="nil"/>
                <w:right w:val="nil"/>
                <w:between w:val="nil"/>
              </w:pBdr>
              <w:tabs>
                <w:tab w:val="left" w:pos="-576"/>
                <w:tab w:val="left" w:pos="175"/>
              </w:tabs>
              <w:spacing w:after="120"/>
              <w:ind w:left="720" w:hanging="544"/>
              <w:jc w:val="both"/>
              <w:rPr>
                <w:sz w:val="24"/>
                <w:szCs w:val="24"/>
              </w:rPr>
            </w:pPr>
            <w:r>
              <w:rPr>
                <w:rFonts w:ascii="Arial" w:eastAsia="Arial" w:hAnsi="Arial" w:cs="Arial"/>
                <w:color w:val="000000"/>
                <w:sz w:val="24"/>
                <w:szCs w:val="24"/>
              </w:rPr>
              <w:t xml:space="preserve">contains any material errors or material omissions or a missing mandatory field; or  </w:t>
            </w:r>
          </w:p>
          <w:p w:rsidR="00791C43" w:rsidRDefault="009A3165">
            <w:pPr>
              <w:numPr>
                <w:ilvl w:val="1"/>
                <w:numId w:val="4"/>
              </w:numPr>
              <w:pBdr>
                <w:top w:val="nil"/>
                <w:left w:val="nil"/>
                <w:bottom w:val="nil"/>
                <w:right w:val="nil"/>
                <w:between w:val="nil"/>
              </w:pBdr>
              <w:tabs>
                <w:tab w:val="left" w:pos="-576"/>
                <w:tab w:val="left" w:pos="175"/>
              </w:tabs>
              <w:spacing w:after="120"/>
              <w:ind w:left="720" w:hanging="544"/>
              <w:jc w:val="both"/>
              <w:rPr>
                <w:sz w:val="24"/>
                <w:szCs w:val="24"/>
              </w:rPr>
            </w:pPr>
            <w:r>
              <w:rPr>
                <w:rFonts w:ascii="Arial" w:eastAsia="Arial" w:hAnsi="Arial" w:cs="Arial"/>
                <w:color w:val="000000"/>
                <w:sz w:val="24"/>
                <w:szCs w:val="24"/>
              </w:rPr>
              <w:t xml:space="preserve">is submitted using an incorrect MI reporting Template; or </w:t>
            </w:r>
          </w:p>
          <w:p w:rsidR="00791C43" w:rsidRDefault="009A3165">
            <w:pPr>
              <w:numPr>
                <w:ilvl w:val="1"/>
                <w:numId w:val="4"/>
              </w:numPr>
              <w:pBdr>
                <w:top w:val="nil"/>
                <w:left w:val="nil"/>
                <w:bottom w:val="nil"/>
                <w:right w:val="nil"/>
                <w:between w:val="nil"/>
              </w:pBdr>
              <w:tabs>
                <w:tab w:val="left" w:pos="-576"/>
                <w:tab w:val="left" w:pos="175"/>
              </w:tabs>
              <w:spacing w:after="120"/>
              <w:ind w:left="720" w:hanging="544"/>
              <w:rPr>
                <w:sz w:val="24"/>
                <w:szCs w:val="24"/>
              </w:rPr>
            </w:pPr>
            <w:r>
              <w:rPr>
                <w:rFonts w:ascii="Arial" w:eastAsia="Arial" w:hAnsi="Arial" w:cs="Arial"/>
                <w:color w:val="000000"/>
                <w:sz w:val="24"/>
                <w:szCs w:val="24"/>
              </w:rPr>
              <w:lastRenderedPageBreak/>
              <w:t>is not submitted by the reporting date (including where a declaration of no business should have been filed);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"MI Report"</w:t>
            </w:r>
          </w:p>
        </w:tc>
        <w:tc>
          <w:tcPr>
            <w:tcW w:w="7566" w:type="dxa"/>
          </w:tcPr>
          <w:p w:rsidR="00791C43" w:rsidRDefault="009A3165">
            <w:pPr>
              <w:numPr>
                <w:ilvl w:val="0"/>
                <w:numId w:val="4"/>
              </w:numPr>
              <w:pBdr>
                <w:top w:val="nil"/>
                <w:left w:val="nil"/>
                <w:bottom w:val="nil"/>
                <w:right w:val="nil"/>
                <w:between w:val="nil"/>
              </w:pBdr>
              <w:tabs>
                <w:tab w:val="left" w:pos="-179"/>
                <w:tab w:val="left" w:pos="175"/>
              </w:tabs>
              <w:spacing w:after="120"/>
              <w:jc w:val="both"/>
              <w:rPr>
                <w:color w:val="000000"/>
              </w:rPr>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 Reporting Template"</w:t>
            </w:r>
          </w:p>
        </w:tc>
        <w:tc>
          <w:tcPr>
            <w:tcW w:w="7566" w:type="dxa"/>
          </w:tcPr>
          <w:p w:rsidR="00791C43" w:rsidRDefault="009A3165">
            <w:pPr>
              <w:numPr>
                <w:ilvl w:val="0"/>
                <w:numId w:val="4"/>
              </w:numPr>
              <w:pBdr>
                <w:top w:val="nil"/>
                <w:left w:val="nil"/>
                <w:bottom w:val="nil"/>
                <w:right w:val="nil"/>
                <w:between w:val="nil"/>
              </w:pBdr>
              <w:tabs>
                <w:tab w:val="left" w:pos="-179"/>
                <w:tab w:val="left" w:pos="175"/>
              </w:tabs>
              <w:spacing w:after="120"/>
              <w:jc w:val="both"/>
              <w:rPr>
                <w:color w:val="000000"/>
              </w:rPr>
            </w:pPr>
            <w:r>
              <w:rPr>
                <w:rFonts w:ascii="Arial" w:eastAsia="Arial" w:hAnsi="Arial" w:cs="Arial"/>
                <w:color w:val="000000"/>
                <w:sz w:val="24"/>
                <w:szCs w:val="24"/>
              </w:rPr>
              <w:t>means the form of report set out in the Annex to Framework Schedule 5 (Manage</w:t>
            </w:r>
            <w:r>
              <w:rPr>
                <w:rFonts w:ascii="Arial" w:eastAsia="Arial" w:hAnsi="Arial" w:cs="Arial"/>
                <w:color w:val="000000"/>
                <w:sz w:val="24"/>
                <w:szCs w:val="24"/>
              </w:rPr>
              <w:t>ment Charges and Information) setting out the information the Supplier is required to supply to the Authority;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 event or task described in the Implementation Plan;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"Milestone Date"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target date set out against the relevant Milestone in the Implementation Plan by which the Milestone must be Achieved;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"Month"</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"National Insurance"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contributions required by the National Insurance Contributions Regulations 2012 (SI 2012/1868) made under section 132A of  the Social Security Administration Act 1992;</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"New IPR"</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IPR in or arising as a result </w:t>
            </w:r>
            <w:r>
              <w:rPr>
                <w:rFonts w:ascii="Arial" w:eastAsia="Arial" w:hAnsi="Arial" w:cs="Arial"/>
                <w:color w:val="000000"/>
                <w:sz w:val="24"/>
                <w:szCs w:val="24"/>
              </w:rPr>
              <w:t xml:space="preserve">of the performance of the Supplier’s obligations under a Contract and all updates and amendments to the same; </w:t>
            </w:r>
          </w:p>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but shall not include the Supplier’s Existing IPR;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"Occasion of Tax Non–Compliance"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where: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w:t>
            </w:r>
            <w:r>
              <w:rPr>
                <w:rFonts w:ascii="Arial" w:eastAsia="Arial" w:hAnsi="Arial" w:cs="Arial"/>
                <w:color w:val="000000"/>
                <w:sz w:val="24"/>
                <w:szCs w:val="24"/>
              </w:rPr>
              <w:t>le or the Halifax Abuse Principle;</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w:t>
            </w:r>
            <w:r>
              <w:rPr>
                <w:rFonts w:ascii="Arial" w:eastAsia="Arial" w:hAnsi="Arial" w:cs="Arial"/>
                <w:color w:val="000000"/>
                <w:sz w:val="24"/>
                <w:szCs w:val="24"/>
              </w:rPr>
              <w:t>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any tax return of the Supplier submitted to a Relevant Tax Authority on or after 1 October 2012 which gives rise, on or after 1 April 2013, to a criminal conviction in any jurisdiction for tax related offences which is not spent at the Start Date or to </w:t>
            </w:r>
            <w:r>
              <w:rPr>
                <w:rFonts w:ascii="Arial" w:eastAsia="Arial" w:hAnsi="Arial" w:cs="Arial"/>
                <w:color w:val="000000"/>
                <w:sz w:val="24"/>
                <w:szCs w:val="24"/>
              </w:rPr>
              <w:t>a civil penalty for fraud or evasion;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"Open Book Data "</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w:t>
            </w:r>
            <w:r>
              <w:rPr>
                <w:rFonts w:ascii="Arial" w:eastAsia="Arial" w:hAnsi="Arial" w:cs="Arial"/>
                <w:color w:val="000000"/>
                <w:sz w:val="24"/>
                <w:szCs w:val="24"/>
              </w:rPr>
              <w:t>umptions relating to:</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operating e</w:t>
            </w:r>
            <w:r>
              <w:rPr>
                <w:rFonts w:ascii="Arial" w:eastAsia="Arial" w:hAnsi="Arial" w:cs="Arial"/>
                <w:color w:val="000000"/>
                <w:sz w:val="24"/>
                <w:szCs w:val="24"/>
              </w:rPr>
              <w:t>xpenditure relating to the provision of the Deliverables including an analysis showing:</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the unit costs and quantity of Goods and any other consumables and bought-in Deliverables;</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manpower resources broken down into the number and grade/role of all Supplier Staff (free of any contingency) together with a list of agreed rates against each manpower grade;</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a list of Costs underpinning those rates for each manpower grade, being the agre</w:t>
            </w:r>
            <w:r>
              <w:rPr>
                <w:rFonts w:ascii="Arial" w:eastAsia="Arial" w:hAnsi="Arial" w:cs="Arial"/>
                <w:color w:val="000000"/>
                <w:sz w:val="24"/>
                <w:szCs w:val="24"/>
              </w:rPr>
              <w:t>ed rate less the Supplier Profit Margin; and</w:t>
            </w:r>
          </w:p>
          <w:p w:rsidR="00791C43" w:rsidRDefault="009A3165">
            <w:pPr>
              <w:numPr>
                <w:ilvl w:val="2"/>
                <w:numId w:val="4"/>
              </w:numPr>
              <w:pBdr>
                <w:top w:val="nil"/>
                <w:left w:val="nil"/>
                <w:bottom w:val="nil"/>
                <w:right w:val="nil"/>
                <w:between w:val="nil"/>
              </w:pBdr>
              <w:tabs>
                <w:tab w:val="left" w:pos="-576"/>
                <w:tab w:val="left" w:pos="144"/>
              </w:tabs>
              <w:spacing w:after="120"/>
              <w:ind w:left="792"/>
              <w:jc w:val="both"/>
              <w:rPr>
                <w:color w:val="000000"/>
              </w:rPr>
            </w:pPr>
            <w:r>
              <w:rPr>
                <w:rFonts w:ascii="Arial" w:eastAsia="Arial" w:hAnsi="Arial" w:cs="Arial"/>
                <w:color w:val="000000"/>
                <w:sz w:val="24"/>
                <w:szCs w:val="24"/>
              </w:rPr>
              <w:t xml:space="preserve">Reimbursable Expenses, if allowed under the Order Form; </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 xml:space="preserve">Overheads;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all interest, expenses and any other third party financing costs incurred in relation to the provision of the Deliverables;</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Profit achieved over the Framework Contract Period and on an annual basis;</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confirmation that all methods of Cost apportionment and Overhead allocation are consistent with and not more onerous than such methods applied generally by the Supplier</w:t>
            </w:r>
            <w:r>
              <w:rPr>
                <w:rFonts w:ascii="Arial" w:eastAsia="Arial" w:hAnsi="Arial" w:cs="Arial"/>
                <w:color w:val="000000"/>
                <w:sz w:val="24"/>
                <w:szCs w:val="24"/>
              </w:rPr>
              <w:t>;</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 explanation of the type and value of risk and contingencies associated with the provision of the Deliverables, including the amount of money attributed to each risk and/or contingency; and</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actual Costs profile for each Service Period;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‘’Open Cour</w:t>
            </w:r>
            <w:r>
              <w:rPr>
                <w:rFonts w:ascii="Arial" w:eastAsia="Arial" w:hAnsi="Arial" w:cs="Arial"/>
                <w:b/>
                <w:color w:val="000000"/>
                <w:sz w:val="24"/>
                <w:szCs w:val="24"/>
              </w:rPr>
              <w:t>se’’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individuals can book onto a course and will pay for their place only.  This would be on non-Government estate. The Supplier will calculate the minimum and maximum number of attendees to optimise value for money.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means an order for the provision of the Deliverables placed by a Buyer with the Supplier under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"Order Form"</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completed Order Form Template (or equivalent information issued by the Buyer) used to create a Call-Off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"Order Form Template"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template in Framework Schedule 6 (Order Form Template and Call-Off Schedules);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"Other Contracting Authority"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actual or potential Buyer under the Framework Contract;</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"Overhead"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w:t>
            </w:r>
            <w:r>
              <w:rPr>
                <w:rFonts w:ascii="Arial" w:eastAsia="Arial" w:hAnsi="Arial" w:cs="Arial"/>
                <w:color w:val="000000"/>
                <w:sz w:val="24"/>
                <w:szCs w:val="24"/>
              </w:rPr>
              <w:t>s or penalties) but excluding allowable indirect costs apportioned to facilities and administration in the provision of Supplier Staff and accordingly included within limb (a) of the definition of "Costs";</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"Parliament"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takes its natural meaning as interpr</w:t>
            </w:r>
            <w:r>
              <w:rPr>
                <w:rFonts w:ascii="Arial" w:eastAsia="Arial" w:hAnsi="Arial" w:cs="Arial"/>
                <w:color w:val="000000"/>
                <w:sz w:val="24"/>
                <w:szCs w:val="24"/>
              </w:rPr>
              <w:t>eted by Law;</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"Party"</w:t>
            </w:r>
          </w:p>
          <w:p w:rsidR="00791C43" w:rsidRDefault="00791C43"/>
          <w:p w:rsidR="00791C43" w:rsidRDefault="00791C43">
            <w:pPr>
              <w:jc w:val="right"/>
            </w:pP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"Performance Indicators" or "PIs"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“Personal Data Breach”</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“Personnel”</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"Prescribed Person"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8">
              <w:r>
                <w:rPr>
                  <w:rFonts w:ascii="Arial" w:eastAsia="Arial" w:hAnsi="Arial" w:cs="Arial"/>
                  <w:color w:val="0000FF"/>
                  <w:sz w:val="24"/>
                  <w:szCs w:val="24"/>
                  <w:u w:val="single"/>
                </w:rPr>
                <w:t>https://www.gov.uk/government/publications/blowing-the-whistle-list-of-prescribed-people-and-bodies--2/whistleblowing-list-of-prescrib</w:t>
              </w:r>
              <w:r>
                <w:rPr>
                  <w:rFonts w:ascii="Arial" w:eastAsia="Arial" w:hAnsi="Arial" w:cs="Arial"/>
                  <w:color w:val="0000FF"/>
                  <w:sz w:val="24"/>
                  <w:szCs w:val="24"/>
                  <w:u w:val="single"/>
                </w:rPr>
                <w:t>ed-people-and-bodies</w:t>
              </w:r>
            </w:hyperlink>
            <w:r>
              <w:rPr>
                <w:rFonts w:ascii="Arial" w:eastAsia="Arial" w:hAnsi="Arial" w:cs="Arial"/>
                <w:color w:val="000000"/>
                <w:sz w:val="24"/>
                <w:szCs w:val="24"/>
              </w:rPr>
              <w: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“Processing”</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GDPR;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“Processor Personnel”</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 meeting between the Buyer Authorised Representative and the Supplier Authorised Representative;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"Progress Meeting Frequency"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frequency at which the Supplier shall conduct a Progress Meeting in accordance with Clause 6.1 as specified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“Progress Report”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report provided by the Supplier indicating the steps taken to achieve Milestones or delivery dates;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w:t>
            </w:r>
            <w:r>
              <w:rPr>
                <w:rFonts w:ascii="Arial" w:eastAsia="Arial" w:hAnsi="Arial" w:cs="Arial"/>
                <w:b/>
                <w:color w:val="000000"/>
                <w:sz w:val="24"/>
                <w:szCs w:val="24"/>
              </w:rPr>
              <w:t>ogress Report Frequency”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frequency at which the Supplier shall deliver Progress Reports in accordance with Clause 6.1 as specified in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“Prohibited Acts”</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rsidR="00791C43" w:rsidRDefault="009A3165">
            <w:pPr>
              <w:numPr>
                <w:ilvl w:val="2"/>
                <w:numId w:val="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induce that person to perform improperly a relevant function or activity; or</w:t>
            </w:r>
          </w:p>
          <w:p w:rsidR="00791C43" w:rsidRDefault="009A3165">
            <w:pPr>
              <w:numPr>
                <w:ilvl w:val="2"/>
                <w:numId w:val="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reward that person for im</w:t>
            </w:r>
            <w:r>
              <w:rPr>
                <w:rFonts w:ascii="Arial" w:eastAsia="Arial" w:hAnsi="Arial" w:cs="Arial"/>
                <w:color w:val="000000"/>
                <w:sz w:val="24"/>
                <w:szCs w:val="24"/>
              </w:rPr>
              <w:t xml:space="preserve">proper performance of a relevant function or activity;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to directly or indirectly request, agree to receive or accept any financial or other advantage as an inducement or a reward for improper performance of a relevant function or activity in connection wi</w:t>
            </w:r>
            <w:r>
              <w:rPr>
                <w:rFonts w:ascii="Arial" w:eastAsia="Arial" w:hAnsi="Arial" w:cs="Arial"/>
                <w:color w:val="000000"/>
                <w:sz w:val="24"/>
                <w:szCs w:val="24"/>
              </w:rPr>
              <w:t>th each Contract; or</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committing any offence:</w:t>
            </w:r>
            <w:r>
              <w:rPr>
                <w:rFonts w:ascii="Arial" w:eastAsia="Arial" w:hAnsi="Arial" w:cs="Arial"/>
                <w:color w:val="000000"/>
                <w:sz w:val="24"/>
                <w:szCs w:val="24"/>
              </w:rPr>
              <w:tab/>
            </w:r>
          </w:p>
          <w:p w:rsidR="00791C43" w:rsidRDefault="009A3165">
            <w:pPr>
              <w:numPr>
                <w:ilvl w:val="2"/>
                <w:numId w:val="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the Bribery Act 2010 (or any legislation repealed or revoked by such Act); or</w:t>
            </w:r>
          </w:p>
          <w:p w:rsidR="00791C43" w:rsidRDefault="009A3165">
            <w:pPr>
              <w:numPr>
                <w:ilvl w:val="2"/>
                <w:numId w:val="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under legislation or common law concerning fraudulent acts; or</w:t>
            </w:r>
          </w:p>
          <w:p w:rsidR="00791C43" w:rsidRDefault="009A3165">
            <w:pPr>
              <w:numPr>
                <w:ilvl w:val="2"/>
                <w:numId w:val="4"/>
              </w:numPr>
              <w:pBdr>
                <w:top w:val="nil"/>
                <w:left w:val="nil"/>
                <w:bottom w:val="nil"/>
                <w:right w:val="nil"/>
                <w:between w:val="nil"/>
              </w:pBdr>
              <w:tabs>
                <w:tab w:val="left" w:pos="-179"/>
                <w:tab w:val="left" w:pos="-9"/>
              </w:tabs>
              <w:spacing w:after="120"/>
              <w:ind w:left="792"/>
              <w:jc w:val="both"/>
              <w:rPr>
                <w:color w:val="000000"/>
              </w:rPr>
            </w:pPr>
            <w:r>
              <w:rPr>
                <w:rFonts w:ascii="Arial" w:eastAsia="Arial" w:hAnsi="Arial" w:cs="Arial"/>
                <w:color w:val="000000"/>
                <w:sz w:val="24"/>
                <w:szCs w:val="24"/>
              </w:rPr>
              <w:t xml:space="preserve">defrauding, attempting to defraud or conspiring to defraud a Buyer or other public body; or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“Protective Measures”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rPr>
                <w:color w:val="000000"/>
              </w:rPr>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w:t>
            </w:r>
            <w:r>
              <w:rPr>
                <w:rFonts w:ascii="Arial" w:eastAsia="Arial" w:hAnsi="Arial" w:cs="Arial"/>
                <w:color w:val="000000"/>
                <w:sz w:val="24"/>
                <w:szCs w:val="24"/>
              </w:rPr>
              <w:t xml:space="preserve"> Data can be restored in a timely manner after an incident, and regularly assessing and evaluating the effectiveness of the such measures adopted by it including those outlined in Framework Schedule 9 (Cyber Essentials), if applicable, in the case of the F</w:t>
            </w:r>
            <w:r>
              <w:rPr>
                <w:rFonts w:ascii="Arial" w:eastAsia="Arial" w:hAnsi="Arial" w:cs="Arial"/>
                <w:color w:val="000000"/>
                <w:sz w:val="24"/>
                <w:szCs w:val="24"/>
              </w:rPr>
              <w:t>ramework Contract or Call-Off Schedule 9 A (Security) for CSHR and Call off schedule 9 B – Security for all other contracts, if applicable, in the case of a Call-Off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“Recall”</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"Recipient Party"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Party which r</w:t>
            </w:r>
            <w:r>
              <w:rPr>
                <w:rFonts w:ascii="Arial" w:eastAsia="Arial" w:hAnsi="Arial" w:cs="Arial"/>
                <w:color w:val="000000"/>
                <w:sz w:val="24"/>
                <w:szCs w:val="24"/>
              </w:rPr>
              <w:t>eceives or obtains directly or indirectly Confidential Information;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"Rectification Plan"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Supplier’s plan (or revised plan) to rectify it’s breach using the template in Joint Schedule 10 (Rectification Plan Template)which shall include:</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full details of the Default that has occurred, including a root cause analysis; </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the actual or anticipated effect of the Default; and</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steps which the Supplier proposes to take to rectify the Default (if applicable) and to prevent such Default from recu</w:t>
            </w:r>
            <w:r>
              <w:rPr>
                <w:rFonts w:ascii="Arial" w:eastAsia="Arial" w:hAnsi="Arial" w:cs="Arial"/>
                <w:color w:val="000000"/>
                <w:sz w:val="24"/>
                <w:szCs w:val="24"/>
              </w:rPr>
              <w:t>rring, including timescales for such steps and for the rectification of the Default (where applicable);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"Rectification Plan Process"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process set out in Clause 10.4.3 to 10.4.5 (Rectification Plan Process);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"Regulations"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Public Contracts Regulations 2015 and/or the Public Contracts (Scotland) Regulations 2015 (as the context requires);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"Reimbursable Expenses"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w:t>
            </w:r>
            <w:r>
              <w:rPr>
                <w:rFonts w:ascii="Arial" w:eastAsia="Arial" w:hAnsi="Arial" w:cs="Arial"/>
                <w:color w:val="000000"/>
                <w:sz w:val="24"/>
                <w:szCs w:val="24"/>
              </w:rPr>
              <w:t>o time, but not including:</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w:t>
            </w:r>
            <w:r>
              <w:rPr>
                <w:rFonts w:ascii="Arial" w:eastAsia="Arial" w:hAnsi="Arial" w:cs="Arial"/>
                <w:color w:val="000000"/>
                <w:sz w:val="24"/>
                <w:szCs w:val="24"/>
              </w:rPr>
              <w:t>nce in writing; and</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Authority which is party to the Contract to which a right or obligation is owed, as the context requires;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Authority's Confidential Information"</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all Personal Data and any information, however it is conveyed, that relates to the business, affairs, developments, property rights, trade secrets, Know-How and IPR of the Relevant Authority (including all Relevant Authority Existing IPR and New IPR);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any</w:t>
            </w:r>
            <w:r>
              <w:rPr>
                <w:rFonts w:ascii="Arial" w:eastAsia="Arial" w:hAnsi="Arial" w:cs="Arial"/>
                <w:color w:val="000000"/>
                <w:sz w:val="24"/>
                <w:szCs w:val="24"/>
              </w:rPr>
              <w:t xml:space="preserve"> other information clearly designated as being confidential (whether or not it is marked "confidential") or which ought reasonably be considered confidential which comes (or has come) to the Relevant Authority’s attention or into the Relevant Authority’s p</w:t>
            </w:r>
            <w:r>
              <w:rPr>
                <w:rFonts w:ascii="Arial" w:eastAsia="Arial" w:hAnsi="Arial" w:cs="Arial"/>
                <w:color w:val="000000"/>
                <w:sz w:val="24"/>
                <w:szCs w:val="24"/>
              </w:rPr>
              <w:t>ossession in connection with a Contract; and</w:t>
            </w:r>
          </w:p>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information derived from any of the above;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"Relevant   Requirements"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"Relevant Tax Authority"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HMRC, or, if applicable, the tax authority in the jurisdiction in which the Supplier is established;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"Reminder Notice"</w:t>
            </w:r>
          </w:p>
        </w:tc>
        <w:tc>
          <w:tcPr>
            <w:tcW w:w="7566" w:type="dxa"/>
          </w:tcPr>
          <w:p w:rsidR="00791C43" w:rsidRDefault="009A3165">
            <w:pPr>
              <w:numPr>
                <w:ilvl w:val="0"/>
                <w:numId w:val="4"/>
              </w:numPr>
              <w:pBdr>
                <w:top w:val="nil"/>
                <w:left w:val="nil"/>
                <w:bottom w:val="nil"/>
                <w:right w:val="nil"/>
                <w:between w:val="nil"/>
              </w:pBdr>
              <w:tabs>
                <w:tab w:val="left" w:pos="1985"/>
                <w:tab w:val="left" w:pos="2127"/>
              </w:tabs>
              <w:spacing w:after="120"/>
              <w:ind w:left="173" w:hanging="173"/>
              <w:jc w:val="both"/>
              <w:rPr>
                <w:color w:val="000000"/>
              </w:rPr>
            </w:pPr>
            <w:r>
              <w:rPr>
                <w:rFonts w:ascii="Arial" w:eastAsia="Arial" w:hAnsi="Arial" w:cs="Arial"/>
                <w:color w:val="000000"/>
                <w:sz w:val="24"/>
                <w:szCs w:val="24"/>
              </w:rPr>
              <w:t xml:space="preserve">a notice sent in accordance with Clause 10.6 given by the Supplier to the Buyer providing notification that payment has not been received on time;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Deliverables"</w:t>
            </w:r>
          </w:p>
        </w:tc>
        <w:tc>
          <w:tcPr>
            <w:tcW w:w="7566" w:type="dxa"/>
          </w:tcPr>
          <w:p w:rsidR="00791C43" w:rsidRDefault="009A3165">
            <w:pPr>
              <w:numPr>
                <w:ilvl w:val="0"/>
                <w:numId w:val="4"/>
              </w:numPr>
              <w:pBdr>
                <w:top w:val="nil"/>
                <w:left w:val="nil"/>
                <w:bottom w:val="nil"/>
                <w:right w:val="nil"/>
                <w:between w:val="nil"/>
              </w:pBdr>
              <w:tabs>
                <w:tab w:val="left" w:pos="1985"/>
                <w:tab w:val="left" w:pos="2127"/>
              </w:tabs>
              <w:spacing w:after="120"/>
              <w:ind w:left="173" w:hanging="173"/>
              <w:jc w:val="both"/>
              <w:rPr>
                <w:color w:val="000000"/>
              </w:rPr>
            </w:pPr>
            <w:r>
              <w:rPr>
                <w:rFonts w:ascii="Arial" w:eastAsia="Arial" w:hAnsi="Arial" w:cs="Arial"/>
                <w:color w:val="000000"/>
                <w:sz w:val="24"/>
                <w:szCs w:val="24"/>
              </w:rPr>
              <w:t xml:space="preserve">any deliverables which are substantially similar to any of the Deliverables and which the Buyer receives in substitution for any of the Deliverables following the Call-Off Expiry Date, whether those goods are provided by the Buyer internally and/or by any </w:t>
            </w:r>
            <w:r>
              <w:rPr>
                <w:rFonts w:ascii="Arial" w:eastAsia="Arial" w:hAnsi="Arial" w:cs="Arial"/>
                <w:color w:val="000000"/>
                <w:sz w:val="24"/>
                <w:szCs w:val="24"/>
              </w:rPr>
              <w:t>third party;</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Subcontractor"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 Subcontractor of the Replacement Supplier to whom Transferring Supplier Employees will transfer on a Service Transfer Date (or any Subcontractor of any such Subcontractor);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"Replacement Supplier"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"Request For Information"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re</w:t>
            </w:r>
            <w:r>
              <w:rPr>
                <w:rFonts w:ascii="Arial" w:eastAsia="Arial" w:hAnsi="Arial" w:cs="Arial"/>
                <w:color w:val="000000"/>
                <w:sz w:val="24"/>
                <w:szCs w:val="24"/>
              </w:rPr>
              <w:t>quest for information or an apparent request relating to a Contract for the provision of the Deliverables or an apparent request for such information under the FOIA or the EIRs;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"Required Insurances"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insurances required by Joint Schedule 3 (Insurance Requirements) or any additional insurances specified in the Order Form;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"Satisfaction Certificate"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certificate (materially in the form of the document contained in of Part B of Call-Off Schedule </w:t>
            </w:r>
            <w:r>
              <w:rPr>
                <w:rFonts w:ascii="Arial" w:eastAsia="Arial" w:hAnsi="Arial" w:cs="Arial"/>
                <w:color w:val="000000"/>
                <w:sz w:val="24"/>
                <w:szCs w:val="24"/>
              </w:rPr>
              <w:t>13 (Implementation Plan and Testing) or as agreed by the Parties where Call-Off Schedule 13 is not used in this Contract) granted by the Buyer when the Supplier has met all of the requirements of an Order, Achieved a Milestone or a Test;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“Schedules"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a</w:t>
            </w:r>
            <w:r>
              <w:rPr>
                <w:rFonts w:ascii="Arial" w:eastAsia="Arial" w:hAnsi="Arial" w:cs="Arial"/>
                <w:color w:val="000000"/>
                <w:sz w:val="24"/>
                <w:szCs w:val="24"/>
              </w:rPr>
              <w:t>ttachment to a Framework Contract or Call-Off Contract which contains important information specific to each aspect of buying and selling;</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Management Plan"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Supplier's security management plan prepared pursuant to Call-Off Schedule 9 A (Security) for CSHR</w:t>
            </w:r>
          </w:p>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Call off Schedule 9 B (Security) for all other contracts;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"Security Policy"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Buyer's security policy, referred to in the Order Form, in force as at </w:t>
            </w:r>
            <w:r>
              <w:rPr>
                <w:rFonts w:ascii="Arial" w:eastAsia="Arial" w:hAnsi="Arial" w:cs="Arial"/>
                <w:color w:val="000000"/>
                <w:sz w:val="24"/>
                <w:szCs w:val="24"/>
              </w:rPr>
              <w:t>the Call-Off Start Date (a copy of which has been supplied to the Supplier), as updated from time to time and notified to the Supplier;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"Self Audit Certificate"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means the certificate in the form as set out in Framework Schedule 8 (Self Audit Certificate);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"Serious Fraud Office"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UK Government body named as such as may be renamed or replaced by an equivalent body from time to time;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“Service Levels”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service levels applicable to the provision of the Deliverables under the Call Off Contract (which, where Call Off Schedule 14 (Service Credits) is used in this Contract, are specified in the Annex to Part A of such Schedule);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Period"</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given to it in the Order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"Service Transfer"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highlight w:val="green"/>
              </w:rPr>
            </w:pPr>
            <w:r>
              <w:rPr>
                <w:rFonts w:ascii="Arial" w:eastAsia="Arial" w:hAnsi="Arial" w:cs="Arial"/>
                <w:b/>
                <w:color w:val="000000"/>
                <w:sz w:val="24"/>
                <w:szCs w:val="24"/>
              </w:rPr>
              <w:t>"Service Transfer Date"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date of a Service Transfer;</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"Sites"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premises (including the Buyer Premises, the Supplier’s premises or third party premises) from, to or at which:</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the Deliverables are (or are to be) provided; 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the Supplier manages, organises or otherwise directs the provision or the use of the Deliverables;</w:t>
            </w:r>
          </w:p>
        </w:tc>
      </w:tr>
      <w:tr w:rsidR="00791C43">
        <w:trPr>
          <w:trHeight w:val="945"/>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"SME"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791C43">
        <w:trPr>
          <w:trHeight w:val="945"/>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"Special Terms"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any additional Clauses set out </w:t>
            </w:r>
            <w:r>
              <w:rPr>
                <w:rFonts w:ascii="Arial" w:eastAsia="Arial" w:hAnsi="Arial" w:cs="Arial"/>
                <w:color w:val="000000"/>
                <w:sz w:val="24"/>
                <w:szCs w:val="24"/>
              </w:rPr>
              <w:t>in the Framework Award Form or Order Form which shall form part of the respective Contract;</w:t>
            </w:r>
          </w:p>
        </w:tc>
      </w:tr>
      <w:tr w:rsidR="00791C43">
        <w:trPr>
          <w:trHeight w:val="945"/>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 Change in Law"</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791C43">
        <w:trPr>
          <w:trHeight w:val="945"/>
        </w:trPr>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"Specification"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w:t>
            </w:r>
            <w:r>
              <w:rPr>
                <w:rFonts w:ascii="Arial" w:eastAsia="Arial" w:hAnsi="Arial" w:cs="Arial"/>
                <w:color w:val="000000"/>
                <w:sz w:val="24"/>
                <w:szCs w:val="24"/>
              </w:rPr>
              <w:t>specification set out in Framework Schedule 1 (Specification), as may, in relation to a Call-Off Contract, be supplemented by the Order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"Standards"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w:t>
            </w:r>
            <w:r>
              <w:rPr>
                <w:rFonts w:ascii="Arial" w:eastAsia="Arial" w:hAnsi="Arial" w:cs="Arial"/>
                <w:color w:val="000000"/>
                <w:sz w:val="24"/>
                <w:szCs w:val="24"/>
              </w:rPr>
              <w:t xml:space="preserve"> in the same type of industry or business sector as the Supplier would reasonably and ordinarily be expected to comply with;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standards detailed in the specification in Schedule 1 (Specification);</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lastRenderedPageBreak/>
              <w:t>standards detailed by the Buyer in the Order Form or agreed</w:t>
            </w:r>
            <w:r>
              <w:rPr>
                <w:rFonts w:ascii="Arial" w:eastAsia="Arial" w:hAnsi="Arial" w:cs="Arial"/>
                <w:color w:val="000000"/>
                <w:sz w:val="24"/>
                <w:szCs w:val="24"/>
              </w:rPr>
              <w:t xml:space="preserve"> between the Parties from time to time;</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relevant Government codes of practice and guidance applicable from time to time;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"Start Date"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"Statement of Requirements"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 statement issued by the Buyer detailing its requirements in </w:t>
            </w:r>
            <w:r>
              <w:rPr>
                <w:rFonts w:ascii="Arial" w:eastAsia="Arial" w:hAnsi="Arial" w:cs="Arial"/>
                <w:color w:val="000000"/>
                <w:sz w:val="24"/>
                <w:szCs w:val="24"/>
              </w:rPr>
              <w:t>respect of Deliverables issued in accordance with the Call-Off Procedure;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"Storage Media"</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part of any device that is capable of storing and retrieving data; </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contract or agreement (or proposed contract or agreement), other than a Call-Off Contract or the Framework Contract, pursuant to which a third party:</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provides the Deliverables (or any part of them);</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provides facilities or services necessary for the provision of the Deliverables (or any part of them); and/or</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is responsible for the management, direction or control of the provision of the Deliverables (or any part of them);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"Subcontractor"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person other than the Supplier, who is a party to a Sub-Contract and the servants or agents of that person;</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"Subprocessor"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third Party appointed to process Personal Data on behalf of that Processor related to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person, fi</w:t>
            </w:r>
            <w:r>
              <w:rPr>
                <w:rFonts w:ascii="Arial" w:eastAsia="Arial" w:hAnsi="Arial" w:cs="Arial"/>
                <w:color w:val="000000"/>
                <w:sz w:val="24"/>
                <w:szCs w:val="24"/>
              </w:rPr>
              <w:t>rm or company identified in the Framework Award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Assets"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Authorised Representative"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representative appointed by the Supplier named in the Framework Award Form, or later defined in a Call-Off Contract;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"Supplier's Confidential Information"</w:t>
            </w:r>
          </w:p>
        </w:tc>
        <w:tc>
          <w:tcPr>
            <w:tcW w:w="7566" w:type="dxa"/>
          </w:tcPr>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any information, however it is conveyed, that relates to the business, affairs, developments, IPR of the Supplier (including the Supplier Existing IPR) trade secrets, Know-How, and/or personnel of the Supplier;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 xml:space="preserve">any other information clearly designated as </w:t>
            </w:r>
            <w:r>
              <w:rPr>
                <w:rFonts w:ascii="Arial" w:eastAsia="Arial" w:hAnsi="Arial" w:cs="Arial"/>
                <w:color w:val="000000"/>
                <w:sz w:val="24"/>
                <w:szCs w:val="24"/>
              </w:rPr>
              <w:t>being confidential (whether or not it is marked as "confidential") or which ought reasonably to be considered to be confidential and which comes (or has come) to the Supplier’s attention or into the Supplier’s possession in connection with a Contract;</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Info</w:t>
            </w:r>
            <w:r>
              <w:rPr>
                <w:rFonts w:ascii="Arial" w:eastAsia="Arial" w:hAnsi="Arial" w:cs="Arial"/>
                <w:color w:val="000000"/>
                <w:sz w:val="24"/>
                <w:szCs w:val="24"/>
              </w:rPr>
              <w:t>rmation derived from any of (a) and (b) above;</w:t>
            </w:r>
          </w:p>
        </w:tc>
      </w:tr>
      <w:tr w:rsidR="00791C43">
        <w:tc>
          <w:tcPr>
            <w:tcW w:w="2181" w:type="dxa"/>
          </w:tcPr>
          <w:p w:rsidR="00791C43" w:rsidRDefault="009A3165">
            <w:pPr>
              <w:pBdr>
                <w:top w:val="nil"/>
                <w:left w:val="nil"/>
                <w:bottom w:val="nil"/>
                <w:right w:val="nil"/>
                <w:between w:val="nil"/>
              </w:pBdr>
              <w:tabs>
                <w:tab w:val="left" w:pos="1134"/>
              </w:tabs>
              <w:spacing w:before="120" w:after="120"/>
              <w:ind w:left="1134" w:hanging="567"/>
              <w:rPr>
                <w:rFonts w:ascii="Arial" w:eastAsia="Arial" w:hAnsi="Arial" w:cs="Arial"/>
                <w:b/>
                <w:color w:val="000000"/>
                <w:sz w:val="24"/>
                <w:szCs w:val="24"/>
              </w:rPr>
            </w:pPr>
            <w:r>
              <w:rPr>
                <w:rFonts w:ascii="Arial" w:eastAsia="Arial" w:hAnsi="Arial" w:cs="Arial"/>
                <w:b/>
                <w:color w:val="000000"/>
                <w:sz w:val="24"/>
                <w:szCs w:val="24"/>
              </w:rPr>
              <w:lastRenderedPageBreak/>
              <w:t xml:space="preserve">"Supplier's Contract Manager </w:t>
            </w:r>
          </w:p>
        </w:tc>
        <w:tc>
          <w:tcPr>
            <w:tcW w:w="7566" w:type="dxa"/>
          </w:tcPr>
          <w:p w:rsidR="00791C43" w:rsidRDefault="009A3165">
            <w:pPr>
              <w:pBdr>
                <w:top w:val="nil"/>
                <w:left w:val="nil"/>
                <w:bottom w:val="nil"/>
                <w:right w:val="nil"/>
                <w:between w:val="nil"/>
              </w:pBdr>
              <w:tabs>
                <w:tab w:val="left" w:pos="1134"/>
              </w:tabs>
              <w:spacing w:before="120" w:after="120"/>
              <w:ind w:left="1134" w:hanging="567"/>
              <w:jc w:val="both"/>
              <w:rPr>
                <w:rFonts w:ascii="Arial" w:eastAsia="Arial" w:hAnsi="Arial" w:cs="Arial"/>
                <w:b/>
                <w:color w:val="000000"/>
                <w:sz w:val="24"/>
                <w:szCs w:val="24"/>
              </w:rPr>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w:t>
            </w:r>
            <w:r>
              <w:rPr>
                <w:rFonts w:ascii="Arial" w:eastAsia="Arial" w:hAnsi="Arial" w:cs="Arial"/>
                <w:color w:val="000000"/>
                <w:sz w:val="24"/>
                <w:szCs w:val="24"/>
              </w:rPr>
              <w:t>ntment;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Equipment"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Non-Performance"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where the Supplier has failed to:</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Achieve a Milestone by its Milestone Date;</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t>provide the Goods and/or Services in accordance with the Service Levels ; and/or</w:t>
            </w:r>
          </w:p>
          <w:p w:rsidR="00791C43" w:rsidRDefault="009A3165">
            <w:pPr>
              <w:numPr>
                <w:ilvl w:val="1"/>
                <w:numId w:val="4"/>
              </w:numPr>
              <w:pBdr>
                <w:top w:val="nil"/>
                <w:left w:val="nil"/>
                <w:bottom w:val="nil"/>
                <w:right w:val="nil"/>
                <w:between w:val="nil"/>
              </w:pBdr>
              <w:tabs>
                <w:tab w:val="left" w:pos="-576"/>
                <w:tab w:val="left" w:pos="144"/>
              </w:tabs>
              <w:spacing w:after="120"/>
              <w:ind w:left="576" w:hanging="432"/>
              <w:jc w:val="both"/>
              <w:rPr>
                <w:sz w:val="24"/>
                <w:szCs w:val="24"/>
              </w:rPr>
            </w:pPr>
            <w:r>
              <w:rPr>
                <w:rFonts w:ascii="Arial" w:eastAsia="Arial" w:hAnsi="Arial" w:cs="Arial"/>
                <w:color w:val="000000"/>
                <w:sz w:val="24"/>
                <w:szCs w:val="24"/>
              </w:rPr>
              <w:t>comply with an obligation under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Profit Margin"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in </w:t>
            </w:r>
            <w:r>
              <w:rPr>
                <w:rFonts w:ascii="Arial" w:eastAsia="Arial" w:hAnsi="Arial" w:cs="Arial"/>
                <w:color w:val="000000"/>
                <w:sz w:val="24"/>
                <w:szCs w:val="24"/>
              </w:rPr>
              <w:t xml:space="preserve">relation to a period or a Milestone (as the context requires), the Supplier Profit for the relevant period or in relation to the relevant Milestone divided by the total Charges over the same period or in relation to the relevant Milestone and expressed as </w:t>
            </w:r>
            <w:r>
              <w:rPr>
                <w:rFonts w:ascii="Arial" w:eastAsia="Arial" w:hAnsi="Arial" w:cs="Arial"/>
                <w:color w:val="000000"/>
                <w:sz w:val="24"/>
                <w:szCs w:val="24"/>
              </w:rPr>
              <w:t>a percentage;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"Supplier Staff"</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"Supply Chain Information Report Template"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document at Annex 1 of Schedule 12  Supply Chain Visibility;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"Supporting Documentation"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"Termination Notice"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 written notice of termination given by one Party to the other, notifying the Party receiving the notice of the intention of the Party giving the notice to terminate a Contract on a specified date and setting out the grounds for termination;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Issue</w:t>
            </w:r>
            <w:r>
              <w:rPr>
                <w:rFonts w:ascii="Arial" w:eastAsia="Arial" w:hAnsi="Arial" w:cs="Arial"/>
                <w:b/>
                <w:color w:val="000000"/>
                <w:sz w:val="24"/>
                <w:szCs w:val="24"/>
              </w:rPr>
              <w: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variance or non-conformity of the Deliverables or Deliverables from their requirements as set out in a Call-Off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"Test Plan"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plan:</w:t>
            </w:r>
          </w:p>
          <w:p w:rsidR="00791C43" w:rsidRDefault="009A3165">
            <w:pPr>
              <w:numPr>
                <w:ilvl w:val="1"/>
                <w:numId w:val="4"/>
              </w:numPr>
              <w:pBdr>
                <w:top w:val="nil"/>
                <w:left w:val="nil"/>
                <w:bottom w:val="nil"/>
                <w:right w:val="nil"/>
                <w:between w:val="nil"/>
              </w:pBdr>
              <w:tabs>
                <w:tab w:val="left" w:pos="-576"/>
                <w:tab w:val="left" w:pos="141"/>
              </w:tabs>
              <w:spacing w:after="120"/>
              <w:ind w:left="576" w:hanging="432"/>
              <w:jc w:val="both"/>
              <w:rPr>
                <w:sz w:val="24"/>
                <w:szCs w:val="24"/>
              </w:rPr>
            </w:pPr>
            <w:r>
              <w:rPr>
                <w:rFonts w:ascii="Arial" w:eastAsia="Arial" w:hAnsi="Arial" w:cs="Arial"/>
                <w:color w:val="000000"/>
                <w:sz w:val="24"/>
                <w:szCs w:val="24"/>
              </w:rPr>
              <w:t xml:space="preserve">for the Testing of the Deliverables; and </w:t>
            </w:r>
          </w:p>
          <w:p w:rsidR="00791C43" w:rsidRDefault="009A3165">
            <w:pPr>
              <w:numPr>
                <w:ilvl w:val="1"/>
                <w:numId w:val="4"/>
              </w:numPr>
              <w:pBdr>
                <w:top w:val="nil"/>
                <w:left w:val="nil"/>
                <w:bottom w:val="nil"/>
                <w:right w:val="nil"/>
                <w:between w:val="nil"/>
              </w:pBdr>
              <w:tabs>
                <w:tab w:val="left" w:pos="-576"/>
                <w:tab w:val="left" w:pos="144"/>
              </w:tabs>
              <w:spacing w:after="120"/>
              <w:ind w:hanging="288"/>
              <w:jc w:val="both"/>
              <w:rPr>
                <w:sz w:val="24"/>
                <w:szCs w:val="24"/>
              </w:rPr>
            </w:pPr>
            <w:r>
              <w:rPr>
                <w:rFonts w:ascii="Arial" w:eastAsia="Arial" w:hAnsi="Arial" w:cs="Arial"/>
                <w:color w:val="000000"/>
                <w:sz w:val="24"/>
                <w:szCs w:val="24"/>
              </w:rPr>
              <w:lastRenderedPageBreak/>
              <w:t>setting out other agreed criteria related to the achievement of Milestones;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lastRenderedPageBreak/>
              <w:t>"Tests and Testing"</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shall be construed accordingly;</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"Third Party IPR"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"Transferring Supplier Employees"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those employees of the Suppl</w:t>
            </w:r>
            <w:r>
              <w:rPr>
                <w:rFonts w:ascii="Arial" w:eastAsia="Arial" w:hAnsi="Arial" w:cs="Arial"/>
                <w:color w:val="000000"/>
                <w:sz w:val="24"/>
                <w:szCs w:val="24"/>
              </w:rPr>
              <w:t xml:space="preserve">ier and/or the Supplier’s Subcontractors to whom the Employment Regulations will apply on the Service Transfer Date; </w:t>
            </w:r>
          </w:p>
        </w:tc>
      </w:tr>
      <w:tr w:rsidR="00791C43">
        <w:tc>
          <w:tcPr>
            <w:tcW w:w="2181" w:type="dxa"/>
          </w:tcPr>
          <w:p w:rsidR="00791C43" w:rsidRDefault="009A3165">
            <w:pPr>
              <w:keepNext/>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Information"</w:t>
            </w:r>
          </w:p>
        </w:tc>
        <w:tc>
          <w:tcPr>
            <w:tcW w:w="7566" w:type="dxa"/>
          </w:tcPr>
          <w:p w:rsidR="00791C43" w:rsidRDefault="009A3165">
            <w:pPr>
              <w:keepNext/>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the Transparency Reports and the content of a Contract, including any changes to this Contract agreed from time to time, except for – </w:t>
            </w:r>
          </w:p>
          <w:p w:rsidR="00791C43" w:rsidRDefault="009A3165">
            <w:pPr>
              <w:keepNext/>
              <w:pBdr>
                <w:top w:val="nil"/>
                <w:left w:val="nil"/>
                <w:bottom w:val="nil"/>
                <w:right w:val="nil"/>
                <w:between w:val="nil"/>
              </w:pBdr>
              <w:tabs>
                <w:tab w:val="left" w:pos="-179"/>
                <w:tab w:val="left" w:pos="-9"/>
              </w:tabs>
              <w:spacing w:after="120"/>
              <w:ind w:left="720"/>
              <w:jc w:val="both"/>
              <w:rPr>
                <w:rFonts w:ascii="Arial" w:eastAsia="Arial" w:hAnsi="Arial" w:cs="Arial"/>
                <w:color w:val="000000"/>
                <w:sz w:val="24"/>
                <w:szCs w:val="24"/>
              </w:rPr>
            </w:pPr>
            <w:r>
              <w:rPr>
                <w:rFonts w:ascii="Arial" w:eastAsia="Arial" w:hAnsi="Arial" w:cs="Arial"/>
                <w:color w:val="000000"/>
                <w:sz w:val="24"/>
                <w:szCs w:val="24"/>
              </w:rPr>
              <w:t>(i)</w:t>
            </w:r>
            <w:r>
              <w:rPr>
                <w:rFonts w:ascii="Arial" w:eastAsia="Arial" w:hAnsi="Arial" w:cs="Arial"/>
                <w:color w:val="000000"/>
                <w:sz w:val="24"/>
                <w:szCs w:val="24"/>
              </w:rPr>
              <w:tab/>
            </w:r>
            <w:r>
              <w:rPr>
                <w:rFonts w:ascii="Arial" w:eastAsia="Arial" w:hAnsi="Arial" w:cs="Arial"/>
                <w:color w:val="000000"/>
                <w:sz w:val="24"/>
                <w:szCs w:val="24"/>
              </w:rPr>
              <w:t>any information which is exempt from disclosure in accordance with the provisions of the FOIA, which shall be determined by the Relevant Authority; and</w:t>
            </w:r>
          </w:p>
          <w:p w:rsidR="00791C43" w:rsidRDefault="009A3165">
            <w:pPr>
              <w:keepNext/>
              <w:numPr>
                <w:ilvl w:val="0"/>
                <w:numId w:val="4"/>
              </w:numPr>
              <w:pBdr>
                <w:top w:val="nil"/>
                <w:left w:val="nil"/>
                <w:bottom w:val="nil"/>
                <w:right w:val="nil"/>
                <w:between w:val="nil"/>
              </w:pBdr>
              <w:tabs>
                <w:tab w:val="left" w:pos="-179"/>
                <w:tab w:val="left" w:pos="-9"/>
              </w:tabs>
              <w:spacing w:after="120"/>
              <w:ind w:left="720"/>
              <w:jc w:val="both"/>
              <w:rPr>
                <w:color w:val="000000"/>
              </w:rPr>
            </w:pPr>
            <w:r>
              <w:rPr>
                <w:rFonts w:ascii="Arial" w:eastAsia="Arial" w:hAnsi="Arial" w:cs="Arial"/>
                <w:color w:val="000000"/>
                <w:sz w:val="24"/>
                <w:szCs w:val="24"/>
              </w:rPr>
              <w:t xml:space="preserve"> (ii)</w:t>
            </w:r>
            <w:r>
              <w:rPr>
                <w:rFonts w:ascii="Arial" w:eastAsia="Arial" w:hAnsi="Arial" w:cs="Arial"/>
                <w:color w:val="000000"/>
                <w:sz w:val="24"/>
                <w:szCs w:val="24"/>
              </w:rPr>
              <w:tab/>
              <w:t>Commercially Sensitive Information;</w:t>
            </w:r>
          </w:p>
          <w:p w:rsidR="00791C43" w:rsidRDefault="00791C43">
            <w:pPr>
              <w:keepNext/>
              <w:numPr>
                <w:ilvl w:val="0"/>
                <w:numId w:val="4"/>
              </w:numPr>
              <w:pBdr>
                <w:top w:val="nil"/>
                <w:left w:val="nil"/>
                <w:bottom w:val="nil"/>
                <w:right w:val="nil"/>
                <w:between w:val="nil"/>
              </w:pBdr>
              <w:tabs>
                <w:tab w:val="left" w:pos="-179"/>
                <w:tab w:val="left" w:pos="-9"/>
              </w:tabs>
              <w:spacing w:after="120"/>
              <w:jc w:val="both"/>
              <w:rPr>
                <w:color w:val="000000"/>
              </w:rPr>
            </w:pP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"Transparency Reports"</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has the meaning g</w:t>
            </w:r>
            <w:r>
              <w:rPr>
                <w:rFonts w:ascii="Arial" w:eastAsia="Arial" w:hAnsi="Arial" w:cs="Arial"/>
                <w:color w:val="000000"/>
                <w:sz w:val="24"/>
                <w:szCs w:val="24"/>
              </w:rPr>
              <w:t>iven to it in Clause 24 (Changing the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Form"</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form set out in Joint Schedule 2 (Variation Form);</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"Variation Procedure"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the procedure set out in Clause 24 (Changing the contract);</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"VAT"</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value added tax in accordance with the provisions of the Value Added Tax Act 1994;</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"VCSE"</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"Worker"</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 (https://www.gov.uk/government/publications/procurement-policy-note-0815-ta</w:t>
            </w:r>
            <w:r>
              <w:rPr>
                <w:rFonts w:ascii="Arial" w:eastAsia="Arial" w:hAnsi="Arial" w:cs="Arial"/>
                <w:color w:val="000000"/>
                <w:sz w:val="24"/>
                <w:szCs w:val="24"/>
              </w:rPr>
              <w:t xml:space="preserve">x-arrangements-of-appointees) applies in respect of the Deliverables; and </w:t>
            </w:r>
          </w:p>
        </w:tc>
      </w:tr>
      <w:tr w:rsidR="00791C43">
        <w:tc>
          <w:tcPr>
            <w:tcW w:w="2181" w:type="dxa"/>
          </w:tcPr>
          <w:p w:rsidR="00791C43" w:rsidRDefault="009A3165">
            <w:pPr>
              <w:pBdr>
                <w:top w:val="nil"/>
                <w:left w:val="nil"/>
                <w:bottom w:val="nil"/>
                <w:right w:val="nil"/>
                <w:between w:val="nil"/>
              </w:pBdr>
              <w:spacing w:after="120"/>
              <w:ind w:left="-108"/>
              <w:rPr>
                <w:rFonts w:ascii="Arial" w:eastAsia="Arial" w:hAnsi="Arial" w:cs="Arial"/>
                <w:b/>
                <w:color w:val="000000"/>
                <w:sz w:val="24"/>
                <w:szCs w:val="24"/>
              </w:rPr>
            </w:pPr>
            <w:r>
              <w:rPr>
                <w:rFonts w:ascii="Arial" w:eastAsia="Arial" w:hAnsi="Arial" w:cs="Arial"/>
                <w:b/>
                <w:color w:val="000000"/>
                <w:sz w:val="24"/>
                <w:szCs w:val="24"/>
              </w:rPr>
              <w:t>"Working Day"</w:t>
            </w:r>
          </w:p>
        </w:tc>
        <w:tc>
          <w:tcPr>
            <w:tcW w:w="7566" w:type="dxa"/>
          </w:tcPr>
          <w:p w:rsidR="00791C43" w:rsidRDefault="009A3165">
            <w:pPr>
              <w:numPr>
                <w:ilvl w:val="0"/>
                <w:numId w:val="4"/>
              </w:numPr>
              <w:pBdr>
                <w:top w:val="nil"/>
                <w:left w:val="nil"/>
                <w:bottom w:val="nil"/>
                <w:right w:val="nil"/>
                <w:between w:val="nil"/>
              </w:pBdr>
              <w:tabs>
                <w:tab w:val="left" w:pos="-179"/>
                <w:tab w:val="left" w:pos="-9"/>
              </w:tabs>
              <w:spacing w:after="120"/>
              <w:jc w:val="both"/>
              <w:rPr>
                <w:color w:val="000000"/>
              </w:rPr>
            </w:pPr>
            <w:r>
              <w:rPr>
                <w:rFonts w:ascii="Arial" w:eastAsia="Arial" w:hAnsi="Arial" w:cs="Arial"/>
                <w:color w:val="000000"/>
                <w:sz w:val="24"/>
                <w:szCs w:val="24"/>
              </w:rPr>
              <w:t xml:space="preserve">any day other than a Saturday or Sunday or public holiday in England and Wales unless specified otherwise by the Parties in the Order Form. </w:t>
            </w:r>
          </w:p>
        </w:tc>
      </w:tr>
    </w:tbl>
    <w:p w:rsidR="00791C43" w:rsidRDefault="00791C43">
      <w:pPr>
        <w:spacing w:after="0" w:line="240" w:lineRule="auto"/>
        <w:rPr>
          <w:rFonts w:ascii="Arial" w:eastAsia="Arial" w:hAnsi="Arial" w:cs="Arial"/>
          <w:sz w:val="24"/>
          <w:szCs w:val="24"/>
        </w:rPr>
      </w:pPr>
    </w:p>
    <w:p w:rsidR="00791C43" w:rsidRDefault="00791C43">
      <w:pPr>
        <w:spacing w:after="0" w:line="240" w:lineRule="auto"/>
        <w:rPr>
          <w:rFonts w:ascii="Arial" w:eastAsia="Arial" w:hAnsi="Arial" w:cs="Arial"/>
          <w:sz w:val="24"/>
          <w:szCs w:val="24"/>
        </w:rPr>
      </w:pPr>
    </w:p>
    <w:sectPr w:rsidR="00791C43">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A3165" w:rsidRDefault="009A3165">
      <w:pPr>
        <w:spacing w:after="0" w:line="240" w:lineRule="auto"/>
      </w:pPr>
      <w:r>
        <w:separator/>
      </w:r>
    </w:p>
  </w:endnote>
  <w:endnote w:type="continuationSeparator" w:id="0">
    <w:p w:rsidR="009A3165" w:rsidRDefault="009A31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C43" w:rsidRDefault="00791C43">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C43" w:rsidRDefault="009A3165">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RM6145</w:t>
    </w:r>
    <w:r>
      <w:rPr>
        <w:rFonts w:ascii="Arial" w:eastAsia="Arial" w:hAnsi="Arial" w:cs="Arial"/>
        <w:sz w:val="20"/>
        <w:szCs w:val="20"/>
      </w:rPr>
      <w:tab/>
      <w:t xml:space="preserve">                                           </w:t>
    </w:r>
  </w:p>
  <w:p w:rsidR="00791C43" w:rsidRDefault="009A3165">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563593">
      <w:rPr>
        <w:rFonts w:ascii="Arial" w:eastAsia="Arial" w:hAnsi="Arial" w:cs="Arial"/>
        <w:color w:val="000000"/>
        <w:sz w:val="20"/>
        <w:szCs w:val="20"/>
      </w:rPr>
      <w:fldChar w:fldCharType="separate"/>
    </w:r>
    <w:r w:rsidR="00563593">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91C43" w:rsidRDefault="009A3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color w:val="BFBFBF"/>
        <w:sz w:val="20"/>
        <w:szCs w:val="20"/>
      </w:rPr>
    </w:pPr>
    <w:r>
      <w:rPr>
        <w:rFonts w:ascii="Arial" w:eastAsia="Arial" w:hAnsi="Arial" w:cs="Arial"/>
        <w:sz w:val="20"/>
        <w:szCs w:val="20"/>
      </w:rPr>
      <w:t>Model Version: v3.5</w:t>
    </w:r>
    <w:r>
      <w:rPr>
        <w:rFonts w:ascii="Arial" w:eastAsia="Arial" w:hAnsi="Arial" w:cs="Arial"/>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C43" w:rsidRDefault="009A3165">
    <w:pP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791C43" w:rsidRDefault="009A3165">
    <w:pPr>
      <w:pBdr>
        <w:top w:val="nil"/>
        <w:left w:val="nil"/>
        <w:bottom w:val="nil"/>
        <w:right w:val="nil"/>
        <w:between w:val="nil"/>
      </w:pBdr>
      <w:tabs>
        <w:tab w:val="center" w:pos="4513"/>
        <w:tab w:val="right" w:pos="9026"/>
      </w:tabs>
      <w:spacing w:after="0" w:line="240" w:lineRule="auto"/>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791C43" w:rsidRDefault="009A316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026"/>
      </w:tabs>
      <w:spacing w:after="0"/>
      <w:rPr>
        <w:rFonts w:ascii="Arial" w:eastAsia="Arial" w:hAnsi="Arial" w:cs="Arial"/>
        <w:sz w:val="20"/>
        <w:szCs w:val="20"/>
      </w:rPr>
    </w:pPr>
    <w:r>
      <w:rPr>
        <w:rFonts w:ascii="Arial" w:eastAsia="Arial" w:hAnsi="Arial" w:cs="Arial"/>
        <w:color w:val="BFBFBF"/>
        <w:sz w:val="20"/>
        <w:szCs w:val="20"/>
      </w:rPr>
      <w:t>Model Version: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A3165" w:rsidRDefault="009A3165">
      <w:pPr>
        <w:spacing w:after="0" w:line="240" w:lineRule="auto"/>
      </w:pPr>
      <w:r>
        <w:separator/>
      </w:r>
    </w:p>
  </w:footnote>
  <w:footnote w:type="continuationSeparator" w:id="0">
    <w:p w:rsidR="009A3165" w:rsidRDefault="009A31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C43" w:rsidRDefault="00791C43">
    <w:pPr>
      <w:pBdr>
        <w:top w:val="nil"/>
        <w:left w:val="nil"/>
        <w:bottom w:val="nil"/>
        <w:right w:val="nil"/>
        <w:between w:val="nil"/>
      </w:pBdr>
      <w:tabs>
        <w:tab w:val="center" w:pos="4513"/>
        <w:tab w:val="right" w:pos="9026"/>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C43" w:rsidRDefault="009A3165">
    <w:pPr>
      <w:pBdr>
        <w:top w:val="nil"/>
        <w:left w:val="nil"/>
        <w:bottom w:val="nil"/>
        <w:right w:val="nil"/>
        <w:between w:val="nil"/>
      </w:pBdr>
      <w:tabs>
        <w:tab w:val="center" w:pos="4513"/>
        <w:tab w:val="right" w:pos="9026"/>
      </w:tabs>
      <w:spacing w:after="0" w:line="240" w:lineRule="auto"/>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58240" behindDoc="1" locked="0" layoutInCell="1" hidden="0" allowOverlap="1">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rsidR="00791C43" w:rsidRDefault="00791C43">
                          <w:pPr>
                            <w:spacing w:after="0" w:line="240" w:lineRule="auto"/>
                            <w:jc w:val="cente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rsidR="00791C43" w:rsidRDefault="00791C43">
                    <w:pPr>
                      <w:spacing w:after="0" w:line="240" w:lineRule="auto"/>
                      <w:jc w:val="center"/>
                      <w:textDirection w:val="btLr"/>
                    </w:pPr>
                  </w:p>
                </w:txbxContent>
              </v:textbox>
              <w10:wrap anchorx="margin" anchory="margin"/>
            </v:rect>
          </w:pict>
        </mc:Fallback>
      </mc:AlternateContent>
    </w:r>
    <w:r>
      <w:rPr>
        <w:rFonts w:ascii="Arial" w:eastAsia="Arial" w:hAnsi="Arial" w:cs="Arial"/>
        <w:b/>
        <w:color w:val="000000"/>
        <w:sz w:val="20"/>
        <w:szCs w:val="20"/>
      </w:rPr>
      <w:t xml:space="preserve">Joint Schedule 1 (Definitions) </w:t>
    </w:r>
  </w:p>
  <w:p w:rsidR="00791C43" w:rsidRDefault="009A3165">
    <w:pPr>
      <w:pBdr>
        <w:top w:val="nil"/>
        <w:left w:val="nil"/>
        <w:bottom w:val="nil"/>
        <w:right w:val="nil"/>
        <w:between w:val="nil"/>
      </w:pBdr>
      <w:tabs>
        <w:tab w:val="center" w:pos="4513"/>
        <w:tab w:val="right" w:pos="9026"/>
        <w:tab w:val="left" w:pos="3800"/>
      </w:tabs>
      <w:spacing w:after="0" w:line="240" w:lineRule="auto"/>
      <w:rPr>
        <w:rFonts w:ascii="Arial" w:eastAsia="Arial" w:hAnsi="Arial" w:cs="Arial"/>
        <w:color w:val="BFBFBF"/>
        <w:sz w:val="20"/>
        <w:szCs w:val="20"/>
      </w:rPr>
    </w:pPr>
    <w:r>
      <w:rPr>
        <w:rFonts w:ascii="Arial" w:eastAsia="Arial" w:hAnsi="Arial" w:cs="Arial"/>
        <w:color w:val="000000"/>
        <w:sz w:val="20"/>
        <w:szCs w:val="20"/>
      </w:rPr>
      <w:t>Crown Copyright 2019</w:t>
    </w:r>
    <w:r>
      <w:rPr>
        <w:rFonts w:ascii="Arial" w:eastAsia="Arial" w:hAnsi="Arial" w:cs="Arial"/>
        <w:color w:val="BFBFBF"/>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91C43" w:rsidRDefault="009A3165">
    <w:pPr>
      <w:pBdr>
        <w:top w:val="nil"/>
        <w:left w:val="nil"/>
        <w:bottom w:val="nil"/>
        <w:right w:val="nil"/>
        <w:between w:val="nil"/>
      </w:pBdr>
      <w:tabs>
        <w:tab w:val="center" w:pos="4513"/>
        <w:tab w:val="right" w:pos="9026"/>
      </w:tabs>
      <w:spacing w:after="0" w:line="240" w:lineRule="auto"/>
      <w:rPr>
        <w:rFonts w:ascii="Arial" w:eastAsia="Arial" w:hAnsi="Arial" w:cs="Arial"/>
        <w:b/>
        <w:color w:val="BFBFBF"/>
        <w:sz w:val="20"/>
        <w:szCs w:val="20"/>
      </w:rPr>
    </w:pPr>
    <w:r>
      <w:rPr>
        <w:rFonts w:ascii="Arial" w:eastAsia="Arial" w:hAnsi="Arial" w:cs="Arial"/>
        <w:b/>
        <w:color w:val="BFBFBF"/>
        <w:sz w:val="20"/>
        <w:szCs w:val="20"/>
      </w:rPr>
      <w:t xml:space="preserve">Joint Schedule 1 (Definitions) </w:t>
    </w:r>
  </w:p>
  <w:p w:rsidR="00791C43" w:rsidRDefault="009A3165">
    <w:pPr>
      <w:pBdr>
        <w:top w:val="nil"/>
        <w:left w:val="nil"/>
        <w:bottom w:val="nil"/>
        <w:right w:val="nil"/>
        <w:between w:val="nil"/>
      </w:pBdr>
      <w:tabs>
        <w:tab w:val="center" w:pos="4513"/>
        <w:tab w:val="right" w:pos="9026"/>
      </w:tabs>
      <w:spacing w:after="0" w:line="240" w:lineRule="auto"/>
      <w:rPr>
        <w:color w:val="000000"/>
      </w:rPr>
    </w:pPr>
    <w:r>
      <w:rPr>
        <w:rFonts w:ascii="Arial" w:eastAsia="Arial" w:hAnsi="Arial" w:cs="Arial"/>
        <w:color w:val="BFBFBF"/>
        <w:sz w:val="20"/>
        <w:szCs w:val="20"/>
      </w:rPr>
      <w:t>Crown Copyright 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F6FFD"/>
    <w:multiLevelType w:val="multilevel"/>
    <w:tmpl w:val="FCB0B272"/>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 w15:restartNumberingAfterBreak="0">
    <w:nsid w:val="182E5A9E"/>
    <w:multiLevelType w:val="multilevel"/>
    <w:tmpl w:val="6366AB8A"/>
    <w:lvl w:ilvl="0">
      <w:start w:val="1"/>
      <w:numFmt w:val="decimal"/>
      <w:lvlText w:val="%1."/>
      <w:lvlJc w:val="left"/>
      <w:pPr>
        <w:ind w:left="644" w:hanging="359"/>
      </w:pPr>
      <w:rPr>
        <w:smallCaps w:val="0"/>
        <w:strike w:val="0"/>
        <w:color w:val="000000"/>
        <w:u w:val="none"/>
        <w:vertAlign w:val="baseline"/>
      </w:rPr>
    </w:lvl>
    <w:lvl w:ilvl="1">
      <w:start w:val="1"/>
      <w:numFmt w:val="decimal"/>
      <w:lvlText w:val="%1.%2"/>
      <w:lvlJc w:val="left"/>
      <w:pPr>
        <w:ind w:left="928"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720" w:hanging="720"/>
      </w:pPr>
      <w:rPr>
        <w:b w:val="0"/>
        <w:i w:val="0"/>
        <w:smallCaps w:val="0"/>
        <w:strike w:val="0"/>
        <w:color w:val="000000"/>
        <w:u w:val="none"/>
        <w:vertAlign w:val="baseline"/>
      </w:rPr>
    </w:lvl>
    <w:lvl w:ilvl="3">
      <w:start w:val="1"/>
      <w:numFmt w:val="lowerLetter"/>
      <w:lvlText w:val="(%4)"/>
      <w:lvlJc w:val="left"/>
      <w:pPr>
        <w:ind w:left="3272" w:hanging="720"/>
      </w:pPr>
      <w:rPr>
        <w:rFonts w:ascii="Calibri" w:eastAsia="Calibri" w:hAnsi="Calibri" w:cs="Calibri"/>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 w15:restartNumberingAfterBreak="0">
    <w:nsid w:val="1BBE02FA"/>
    <w:multiLevelType w:val="multilevel"/>
    <w:tmpl w:val="B45CA7D2"/>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DC0B71"/>
    <w:multiLevelType w:val="multilevel"/>
    <w:tmpl w:val="5FBAD828"/>
    <w:lvl w:ilvl="0">
      <w:start w:val="1"/>
      <w:numFmt w:val="lowerLetter"/>
      <w:lvlText w:val="%1)"/>
      <w:lvlJc w:val="left"/>
      <w:pPr>
        <w:ind w:left="432" w:hanging="262"/>
      </w:pPr>
      <w:rPr>
        <w:sz w:val="22"/>
        <w:szCs w:val="22"/>
      </w:rPr>
    </w:lvl>
    <w:lvl w:ilvl="1">
      <w:start w:val="1"/>
      <w:numFmt w:val="lowerLetter"/>
      <w:lvlText w:val="%2)"/>
      <w:lvlJc w:val="left"/>
      <w:pPr>
        <w:ind w:left="890" w:hanging="360"/>
      </w:pPr>
      <w:rPr>
        <w:rFonts w:ascii="Calibri" w:eastAsia="Calibri" w:hAnsi="Calibri" w:cs="Calibri"/>
        <w:b w:val="0"/>
        <w:i w:val="0"/>
        <w:smallCaps w:val="0"/>
        <w:strike w:val="0"/>
        <w:color w:val="000000"/>
        <w:u w:val="none"/>
        <w:vertAlign w:val="baseline"/>
      </w:rPr>
    </w:lvl>
    <w:lvl w:ilvl="2">
      <w:start w:val="1"/>
      <w:numFmt w:val="lowerRoman"/>
      <w:lvlText w:val="%3)"/>
      <w:lvlJc w:val="left"/>
      <w:pPr>
        <w:ind w:left="1250" w:hanging="360"/>
      </w:pPr>
      <w:rPr>
        <w:rFonts w:ascii="Arial" w:eastAsia="Arial" w:hAnsi="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4" w15:restartNumberingAfterBreak="0">
    <w:nsid w:val="53442073"/>
    <w:multiLevelType w:val="multilevel"/>
    <w:tmpl w:val="23AE232A"/>
    <w:lvl w:ilvl="0">
      <w:start w:val="1"/>
      <w:numFmt w:val="decimal"/>
      <w:lvlText w:val="%1"/>
      <w:lvlJc w:val="left"/>
      <w:pPr>
        <w:ind w:left="170" w:hanging="170"/>
      </w:pPr>
      <w:rPr>
        <w:rFonts w:ascii="Arial" w:eastAsia="Arial" w:hAnsi="Arial" w:cs="Arial"/>
        <w:sz w:val="22"/>
        <w:szCs w:val="22"/>
      </w:rPr>
    </w:lvl>
    <w:lvl w:ilvl="1">
      <w:start w:val="1"/>
      <w:numFmt w:val="lowerLetter"/>
      <w:lvlText w:val="%2)"/>
      <w:lvlJc w:val="left"/>
      <w:pPr>
        <w:ind w:left="432" w:hanging="258"/>
      </w:pPr>
      <w:rPr>
        <w:rFonts w:ascii="Arial" w:eastAsia="Arial" w:hAnsi="Arial" w:cs="Arial"/>
        <w:b w:val="0"/>
        <w:i w:val="0"/>
        <w:smallCaps w:val="0"/>
        <w:strike w:val="0"/>
        <w:color w:val="000000"/>
        <w:u w:val="none"/>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1C43"/>
    <w:rsid w:val="00563593"/>
    <w:rsid w:val="00791C43"/>
    <w:rsid w:val="009A31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882FB0"/>
  <w15:docId w15:val="{F8C24BEE-E2BA-4ECF-B0B4-94A2596AA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pPr>
      <w:spacing w:after="0" w:line="240" w:lineRule="auto"/>
    </w:pPr>
    <w:rPr>
      <w:sz w:val="20"/>
      <w:szCs w:val="20"/>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blowing-the-whistle-list-of-prescribed-people-and-bodies--2/whistleblowing-list-of-prescribed-people-and-bodies"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guidance/ir35-find-out-if-it-applies"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9087</Words>
  <Characters>51802</Characters>
  <Application>Microsoft Office Word</Application>
  <DocSecurity>0</DocSecurity>
  <Lines>431</Lines>
  <Paragraphs>121</Paragraphs>
  <ScaleCrop>false</ScaleCrop>
  <Company/>
  <LinksUpToDate>false</LinksUpToDate>
  <CharactersWithSpaces>60768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Adam Cureton</cp:lastModifiedBy>
  <cp:revision>3</cp:revision>
  <dcterms:created xsi:type="dcterms:W3CDTF">2022-11-18T10:23:00Z</dcterms:created>
  <dcterms:modified xsi:type="dcterms:W3CDTF">2022-11-18T10:23:00Z</dcterms:modified>
</cp:coreProperties>
</file>