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57621F7F" w14:textId="2D02DF6D" w:rsidR="006B0572" w:rsidRDefault="000E6E3D" w:rsidP="00BA2E43">
      <w:pPr>
        <w:jc w:val="center"/>
        <w:rPr>
          <w:rFonts w:cs="Arial"/>
          <w:b/>
          <w:sz w:val="28"/>
          <w:szCs w:val="28"/>
        </w:rPr>
      </w:pPr>
      <w:r>
        <w:rPr>
          <w:rFonts w:cs="Arial"/>
          <w:b/>
          <w:sz w:val="28"/>
          <w:szCs w:val="28"/>
        </w:rPr>
        <w:t>Fresh Recruitment Limited</w:t>
      </w:r>
    </w:p>
    <w:p w14:paraId="07041F59" w14:textId="77777777" w:rsidR="000E62DA" w:rsidRPr="000602AE" w:rsidRDefault="000E62DA"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lastRenderedPageBreak/>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5A6EB752" w:rsidR="006B0572" w:rsidRPr="00C56AB2" w:rsidRDefault="004B1B7A" w:rsidP="00DB019A">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066B1A19" w:rsidR="006B0572" w:rsidRPr="00C56AB2" w:rsidRDefault="004B1B7A" w:rsidP="00DB019A">
            <w:pPr>
              <w:spacing w:line="259" w:lineRule="auto"/>
              <w:jc w:val="both"/>
              <w:rPr>
                <w:rFonts w:cs="Arial"/>
                <w:b/>
                <w:sz w:val="24"/>
                <w:szCs w:val="24"/>
              </w:rPr>
            </w:pPr>
            <w:r w:rsidRPr="004B1B7A">
              <w:rPr>
                <w:rFonts w:cs="Arial"/>
                <w:sz w:val="24"/>
                <w:szCs w:val="24"/>
              </w:rPr>
              <w:t>REDACTED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79DEA885" w14:textId="5F334E3B" w:rsidR="004B1B7A" w:rsidRPr="00C56AB2" w:rsidRDefault="004B1B7A" w:rsidP="004B1B7A">
            <w:pPr>
              <w:spacing w:line="259" w:lineRule="auto"/>
              <w:jc w:val="both"/>
              <w:rPr>
                <w:rFonts w:cs="Arial"/>
                <w:b/>
                <w:sz w:val="24"/>
                <w:szCs w:val="24"/>
              </w:rPr>
            </w:pPr>
            <w:r>
              <w:rPr>
                <w:rFonts w:cs="Arial"/>
                <w:sz w:val="24"/>
                <w:szCs w:val="24"/>
              </w:rPr>
              <w:t>REDACTED</w:t>
            </w:r>
          </w:p>
          <w:p w14:paraId="6262B5F2" w14:textId="06F47528" w:rsidR="006B0572" w:rsidRPr="00C56AB2" w:rsidRDefault="006B0572" w:rsidP="0019034C">
            <w:pPr>
              <w:spacing w:line="259" w:lineRule="auto"/>
              <w:jc w:val="both"/>
              <w:rPr>
                <w:rFonts w:cs="Arial"/>
                <w:b/>
                <w:sz w:val="24"/>
                <w:szCs w:val="24"/>
              </w:rPr>
            </w:pP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1F8E0581" w:rsidR="006B0572" w:rsidRPr="00C56AB2" w:rsidRDefault="0019034C" w:rsidP="00DB019A">
            <w:pPr>
              <w:jc w:val="both"/>
              <w:rPr>
                <w:rFonts w:cs="Arial"/>
                <w:b/>
                <w:sz w:val="24"/>
                <w:szCs w:val="24"/>
              </w:rPr>
            </w:pPr>
            <w:r w:rsidRPr="0019034C">
              <w:rPr>
                <w:rFonts w:cs="Arial"/>
                <w:sz w:val="24"/>
                <w:szCs w:val="24"/>
              </w:rPr>
              <w:t>11544190</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42B79076" w:rsidR="006B0572" w:rsidRPr="00C56AB2" w:rsidRDefault="0019034C" w:rsidP="00DB019A">
            <w:pPr>
              <w:spacing w:line="259" w:lineRule="auto"/>
              <w:jc w:val="both"/>
              <w:rPr>
                <w:rFonts w:cs="Arial"/>
                <w:sz w:val="24"/>
                <w:szCs w:val="24"/>
              </w:rPr>
            </w:pPr>
            <w:r w:rsidRPr="0019034C">
              <w:rPr>
                <w:rFonts w:cs="Arial"/>
                <w:sz w:val="24"/>
                <w:szCs w:val="24"/>
              </w:rPr>
              <w:t>224337874</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lastRenderedPageBreak/>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lastRenderedPageBreak/>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718B64E5" w:rsidR="00CD0B13" w:rsidRDefault="004B1B7A" w:rsidP="00DB019A">
      <w:pPr>
        <w:tabs>
          <w:tab w:val="left" w:pos="2257"/>
        </w:tabs>
        <w:jc w:val="both"/>
        <w:rPr>
          <w:rFonts w:cs="Arial"/>
          <w:sz w:val="24"/>
          <w:szCs w:val="24"/>
        </w:rPr>
      </w:pPr>
      <w:r w:rsidRPr="004B1B7A">
        <w:rPr>
          <w:rFonts w:cs="Arial"/>
          <w:sz w:val="24"/>
          <w:szCs w:val="24"/>
        </w:rPr>
        <w:t>REDACTED</w:t>
      </w:r>
    </w:p>
    <w:p w14:paraId="0BAA9FC7" w14:textId="77777777" w:rsidR="004B1B7A" w:rsidRPr="00C56AB2" w:rsidRDefault="004B1B7A"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0125FB82" w14:textId="5139F2AB" w:rsidR="00E53773" w:rsidRDefault="004B1B7A" w:rsidP="00DB019A">
      <w:pPr>
        <w:tabs>
          <w:tab w:val="left" w:pos="2257"/>
        </w:tabs>
        <w:spacing w:line="240" w:lineRule="auto"/>
        <w:jc w:val="both"/>
        <w:rPr>
          <w:rStyle w:val="Hyperlink"/>
          <w:rFonts w:cs="Arial"/>
          <w:sz w:val="24"/>
          <w:szCs w:val="24"/>
        </w:rPr>
      </w:pPr>
      <w:r>
        <w:rPr>
          <w:rFonts w:cs="Arial"/>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3A7326F3" w14:textId="7A853C36" w:rsidR="003D100F" w:rsidRPr="00EC7F40" w:rsidRDefault="004B1B7A" w:rsidP="00DB019A">
      <w:pPr>
        <w:tabs>
          <w:tab w:val="left" w:pos="2257"/>
        </w:tabs>
        <w:jc w:val="both"/>
        <w:rPr>
          <w:rFonts w:cs="Arial"/>
          <w:sz w:val="24"/>
          <w:szCs w:val="24"/>
        </w:rPr>
      </w:pPr>
      <w:r>
        <w:rPr>
          <w:rFonts w:cs="Arial"/>
          <w:sz w:val="24"/>
          <w:szCs w:val="24"/>
        </w:rPr>
        <w:lastRenderedPageBreak/>
        <w:t>REDACTED</w:t>
      </w:r>
    </w:p>
    <w:p w14:paraId="3D8CCE0E" w14:textId="12EAE38A" w:rsidR="003D100F" w:rsidRDefault="003D100F" w:rsidP="00DB019A">
      <w:pPr>
        <w:tabs>
          <w:tab w:val="left" w:pos="2257"/>
        </w:tabs>
        <w:jc w:val="both"/>
        <w:rPr>
          <w:rFonts w:cs="Arial"/>
          <w:b/>
          <w:bCs/>
          <w:sz w:val="24"/>
          <w:szCs w:val="24"/>
        </w:rPr>
      </w:pP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45D72D2A" w14:textId="3910A377" w:rsidR="003D100F" w:rsidRPr="003D100F" w:rsidRDefault="004B1B7A" w:rsidP="00DB019A">
      <w:pPr>
        <w:tabs>
          <w:tab w:val="left" w:pos="2257"/>
        </w:tabs>
        <w:jc w:val="both"/>
        <w:rPr>
          <w:rFonts w:cs="Arial"/>
          <w:sz w:val="24"/>
          <w:szCs w:val="24"/>
        </w:rPr>
      </w:pPr>
      <w:r>
        <w:rPr>
          <w:rFonts w:cs="Arial"/>
          <w:sz w:val="24"/>
          <w:szCs w:val="24"/>
        </w:rPr>
        <w:t>REDACTED</w:t>
      </w:r>
    </w:p>
    <w:p w14:paraId="6AEC6D89" w14:textId="77777777" w:rsidR="003D100F" w:rsidRPr="003D100F" w:rsidRDefault="003D100F"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E3097CA" w14:textId="2C0C1FC8" w:rsidR="003D100F" w:rsidRDefault="004B1B7A" w:rsidP="00DB019A">
      <w:pPr>
        <w:tabs>
          <w:tab w:val="left" w:pos="2257"/>
        </w:tabs>
        <w:jc w:val="both"/>
        <w:rPr>
          <w:rFonts w:cs="Arial"/>
          <w:b/>
          <w:bCs/>
          <w:sz w:val="24"/>
          <w:szCs w:val="24"/>
        </w:rPr>
      </w:pPr>
      <w:r>
        <w:rPr>
          <w:rFonts w:cs="Arial"/>
          <w:sz w:val="24"/>
          <w:szCs w:val="24"/>
        </w:rPr>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1726434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70369604"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4BFCFABA" w:rsidR="00D0094A" w:rsidRPr="00C56AB2" w:rsidRDefault="004B1B7A"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6A8E4D59" w:rsidR="00D0094A" w:rsidRPr="00C56AB2" w:rsidRDefault="004B1B7A"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3C3E3AB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B7A">
              <w:rPr>
                <w:rFonts w:ascii="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489A8A02"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77777777" w:rsidR="00D0094A" w:rsidRPr="00C56AB2" w:rsidRDefault="00D0094A"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74E936FD" w:rsidR="00D0094A" w:rsidRPr="00C56AB2" w:rsidRDefault="00D0094A"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lastRenderedPageBreak/>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lastRenderedPageBreak/>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lastRenderedPageBreak/>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lastRenderedPageBreak/>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w:t>
      </w:r>
      <w:r w:rsidR="00FB028D" w:rsidRPr="00910799">
        <w:rPr>
          <w:rFonts w:cs="Arial"/>
          <w:sz w:val="24"/>
        </w:rPr>
        <w:lastRenderedPageBreak/>
        <w:t xml:space="preserve">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lastRenderedPageBreak/>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lastRenderedPageBreak/>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If </w:t>
      </w:r>
      <w:r w:rsidRPr="00C56AB2">
        <w:rPr>
          <w:rFonts w:cs="Arial"/>
          <w:sz w:val="24"/>
          <w:szCs w:val="24"/>
        </w:rPr>
        <w:lastRenderedPageBreak/>
        <w:t>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w:t>
      </w:r>
      <w:r w:rsidRPr="00C56AB2">
        <w:rPr>
          <w:rFonts w:cs="Arial"/>
          <w:sz w:val="24"/>
          <w:szCs w:val="24"/>
        </w:rPr>
        <w:lastRenderedPageBreak/>
        <w:t xml:space="preserve">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w:t>
      </w:r>
      <w:r w:rsidRPr="00C56AB2">
        <w:rPr>
          <w:rFonts w:cs="Arial"/>
          <w:sz w:val="24"/>
          <w:szCs w:val="24"/>
        </w:rPr>
        <w:lastRenderedPageBreak/>
        <w:t xml:space="preserve">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w:t>
      </w:r>
      <w:r w:rsidRPr="00C56AB2">
        <w:rPr>
          <w:rStyle w:val="DeltaViewInsertion"/>
          <w:rFonts w:cs="Arial"/>
          <w:color w:val="auto"/>
          <w:sz w:val="24"/>
          <w:szCs w:val="24"/>
          <w:u w:val="none"/>
        </w:rPr>
        <w:lastRenderedPageBreak/>
        <w:t xml:space="preserve">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lastRenderedPageBreak/>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lastRenderedPageBreak/>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lastRenderedPageBreak/>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w:t>
      </w:r>
      <w:r w:rsidRPr="00B171CC">
        <w:rPr>
          <w:rFonts w:cs="Arial"/>
          <w:sz w:val="24"/>
        </w:rPr>
        <w:lastRenderedPageBreak/>
        <w:t>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w:t>
      </w:r>
      <w:r w:rsidRPr="00B171CC">
        <w:rPr>
          <w:rFonts w:cs="Arial"/>
          <w:sz w:val="24"/>
        </w:rPr>
        <w:lastRenderedPageBreak/>
        <w:t xml:space="preserve">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lastRenderedPageBreak/>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w:t>
      </w:r>
      <w:r w:rsidRPr="00C56AB2">
        <w:rPr>
          <w:rFonts w:cs="Arial"/>
          <w:w w:val="0"/>
          <w:sz w:val="24"/>
          <w:szCs w:val="24"/>
        </w:rPr>
        <w:lastRenderedPageBreak/>
        <w:t xml:space="preserve">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w:t>
      </w:r>
      <w:r w:rsidRPr="00C56AB2">
        <w:rPr>
          <w:rFonts w:cs="Arial"/>
          <w:sz w:val="24"/>
          <w:szCs w:val="24"/>
        </w:rPr>
        <w:lastRenderedPageBreak/>
        <w:t xml:space="preserve">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lastRenderedPageBreak/>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lastRenderedPageBreak/>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lastRenderedPageBreak/>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 xml:space="preserve">(such agreement not to be unreasonably withheld or delayed) and must be implemented by the Party in breach in accordance with the timescales referred to in the agreed Remedial Proposal. Once agreed, </w:t>
      </w:r>
      <w:r w:rsidRPr="00356657">
        <w:rPr>
          <w:rFonts w:cs="Arial"/>
          <w:w w:val="0"/>
          <w:sz w:val="24"/>
          <w:szCs w:val="24"/>
        </w:rPr>
        <w:lastRenderedPageBreak/>
        <w:t>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w:t>
      </w:r>
      <w:r w:rsidRPr="00356657">
        <w:rPr>
          <w:rFonts w:cs="Arial"/>
          <w:w w:val="0"/>
          <w:sz w:val="24"/>
          <w:szCs w:val="24"/>
        </w:rPr>
        <w:lastRenderedPageBreak/>
        <w:t>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w:t>
      </w:r>
      <w:r w:rsidRPr="00C56AB2">
        <w:rPr>
          <w:rFonts w:cs="Arial"/>
          <w:w w:val="0"/>
          <w:sz w:val="24"/>
          <w:szCs w:val="24"/>
        </w:rPr>
        <w:lastRenderedPageBreak/>
        <w:t xml:space="preserve">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t>
      </w:r>
      <w:r w:rsidRPr="00C56AB2">
        <w:rPr>
          <w:rFonts w:cs="Arial"/>
          <w:w w:val="0"/>
          <w:sz w:val="24"/>
          <w:lang w:val="en-US"/>
        </w:rPr>
        <w:lastRenderedPageBreak/>
        <w:t xml:space="preserve">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 xml:space="preserve">Contracting </w:t>
      </w:r>
      <w:r w:rsidR="00E1463F" w:rsidRPr="00C56AB2">
        <w:rPr>
          <w:rFonts w:cs="Arial"/>
          <w:sz w:val="24"/>
        </w:rPr>
        <w:lastRenderedPageBreak/>
        <w:t>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w:t>
      </w:r>
      <w:r w:rsidR="00D7713D" w:rsidRPr="00C56AB2">
        <w:rPr>
          <w:rFonts w:cs="Arial"/>
          <w:sz w:val="24"/>
          <w:szCs w:val="24"/>
        </w:rPr>
        <w:lastRenderedPageBreak/>
        <w:t xml:space="preserve">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lastRenderedPageBreak/>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lastRenderedPageBreak/>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lastRenderedPageBreak/>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w:t>
      </w:r>
      <w:r w:rsidRPr="00C56AB2">
        <w:rPr>
          <w:rFonts w:cs="Arial"/>
          <w:sz w:val="24"/>
        </w:rPr>
        <w:lastRenderedPageBreak/>
        <w:t xml:space="preserve">(28)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lastRenderedPageBreak/>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lastRenderedPageBreak/>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lastRenderedPageBreak/>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lastRenderedPageBreak/>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w:t>
      </w:r>
      <w:r w:rsidRPr="00C56AB2">
        <w:rPr>
          <w:rFonts w:cs="Arial"/>
          <w:w w:val="0"/>
          <w:sz w:val="24"/>
          <w:szCs w:val="24"/>
        </w:rPr>
        <w:lastRenderedPageBreak/>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ensure that (a) it does not, whether as employer or as provider of the Services, engage in any act or omission that would contravene </w:t>
      </w:r>
      <w:r w:rsidRPr="00C56AB2">
        <w:rPr>
          <w:rFonts w:cs="Arial"/>
          <w:w w:val="0"/>
          <w:sz w:val="24"/>
        </w:rPr>
        <w:lastRenderedPageBreak/>
        <w:t>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lastRenderedPageBreak/>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lastRenderedPageBreak/>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lastRenderedPageBreak/>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lastRenderedPageBreak/>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lastRenderedPageBreak/>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lastRenderedPageBreak/>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4370591B" w:rsidR="00C56AB2" w:rsidRPr="00272955" w:rsidRDefault="000F064D" w:rsidP="00DB019A">
      <w:pPr>
        <w:widowControl w:val="0"/>
        <w:autoSpaceDE w:val="0"/>
        <w:autoSpaceDN w:val="0"/>
        <w:adjustRightInd w:val="0"/>
        <w:spacing w:before="120" w:after="120" w:line="240" w:lineRule="auto"/>
        <w:jc w:val="both"/>
        <w:rPr>
          <w:rFonts w:cs="Arial"/>
          <w:color w:val="000000"/>
          <w:sz w:val="24"/>
          <w:szCs w:val="24"/>
        </w:rPr>
      </w:pPr>
      <w:r>
        <w:rPr>
          <w:rFonts w:cs="Arial"/>
          <w:b/>
          <w:bCs/>
          <w:color w:val="000000"/>
          <w:spacing w:val="-3"/>
          <w:sz w:val="24"/>
          <w:szCs w:val="24"/>
        </w:rPr>
        <w:t xml:space="preserve">   </w:t>
      </w:r>
      <w:r w:rsidRPr="000F064D">
        <w:rPr>
          <w:rFonts w:cs="Arial"/>
          <w:b/>
          <w:bCs/>
          <w:color w:val="000000"/>
          <w:spacing w:val="-3"/>
          <w:sz w:val="24"/>
          <w:szCs w:val="24"/>
        </w:rPr>
        <w:t>REDACTED</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60592FC8" w:rsidR="00C56AB2" w:rsidRPr="00272955" w:rsidRDefault="000F064D" w:rsidP="00DB019A">
      <w:pPr>
        <w:widowControl w:val="0"/>
        <w:autoSpaceDE w:val="0"/>
        <w:autoSpaceDN w:val="0"/>
        <w:adjustRightInd w:val="0"/>
        <w:spacing w:before="120" w:after="120" w:line="240" w:lineRule="auto"/>
        <w:ind w:left="240"/>
        <w:jc w:val="both"/>
        <w:rPr>
          <w:rFonts w:cs="Arial"/>
          <w:color w:val="0000FF"/>
          <w:sz w:val="24"/>
          <w:szCs w:val="24"/>
          <w:u w:val="single"/>
        </w:rPr>
      </w:pPr>
      <w:r w:rsidRPr="000F064D">
        <w:t>REDACTED</w:t>
      </w:r>
      <w:bookmarkStart w:id="486" w:name="_GoBack"/>
      <w:bookmarkEnd w:id="486"/>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7" w:name="_Hlk104453302"/>
      <w:r w:rsidRPr="00272955">
        <w:rPr>
          <w:rFonts w:cs="Arial"/>
          <w:b/>
          <w:bCs/>
          <w:color w:val="000000"/>
          <w:sz w:val="24"/>
          <w:szCs w:val="24"/>
        </w:rPr>
        <w:t>SECURITY ASPECT LETER</w:t>
      </w:r>
      <w:bookmarkEnd w:id="487"/>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11F1580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4B1B7A" w:rsidRPr="004B1B7A">
        <w:rPr>
          <w:rFonts w:cs="Arial"/>
          <w:color w:val="365F91" w:themeColor="accent1" w:themeShade="BF"/>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0F064D"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0F064D"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0F064D"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0F064D"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0F064D"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0F064D"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0F064D"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11E77EEB" w14:textId="77777777" w:rsidR="004B1B7A" w:rsidRDefault="004B1B7A" w:rsidP="00DB019A">
      <w:pPr>
        <w:spacing w:before="120" w:after="120" w:line="240" w:lineRule="auto"/>
        <w:jc w:val="both"/>
        <w:rPr>
          <w:rFonts w:cs="Arial"/>
          <w:color w:val="000000"/>
          <w:sz w:val="24"/>
          <w:szCs w:val="24"/>
        </w:rPr>
      </w:pPr>
      <w:r w:rsidRPr="004B1B7A">
        <w:rPr>
          <w:rFonts w:cs="Arial"/>
          <w:color w:val="000000"/>
          <w:sz w:val="24"/>
          <w:szCs w:val="24"/>
        </w:rPr>
        <w:t xml:space="preserve">REDACTED </w:t>
      </w:r>
    </w:p>
    <w:p w14:paraId="109484C0" w14:textId="3E16F5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0F064D"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w:t>
      </w:r>
    </w:p>
    <w:p w14:paraId="3A030A61" w14:textId="77777777" w:rsidR="00C56AB2" w:rsidRPr="00272955" w:rsidRDefault="000F064D"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lastRenderedPageBreak/>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0F064D"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5B600E93" w:rsidR="00EE5E45" w:rsidRDefault="004B1B7A" w:rsidP="00DB019A">
      <w:pPr>
        <w:keepNext/>
        <w:spacing w:line="240" w:lineRule="auto"/>
        <w:ind w:left="720"/>
        <w:jc w:val="both"/>
        <w:rPr>
          <w:rFonts w:eastAsia="Arial" w:cs="Arial"/>
          <w:b/>
          <w:sz w:val="24"/>
          <w:szCs w:val="24"/>
        </w:rPr>
      </w:pPr>
      <w:r w:rsidRPr="004B1B7A">
        <w:rPr>
          <w:rFonts w:eastAsia="Arial" w:cs="Arial"/>
          <w:b/>
          <w:sz w:val="24"/>
          <w:szCs w:val="24"/>
        </w:rPr>
        <w:t>REDACTED</w:t>
      </w:r>
    </w:p>
    <w:p w14:paraId="0F1BF419" w14:textId="77777777" w:rsidR="004B1B7A" w:rsidRPr="00C56AB2" w:rsidRDefault="004B1B7A" w:rsidP="00DB019A">
      <w:pPr>
        <w:keepNext/>
        <w:spacing w:line="240" w:lineRule="auto"/>
        <w:ind w:left="720"/>
        <w:jc w:val="both"/>
        <w:rPr>
          <w:rFonts w:eastAsia="Arial" w:cs="Arial"/>
          <w:sz w:val="24"/>
          <w:szCs w:val="24"/>
        </w:rPr>
      </w:pPr>
    </w:p>
    <w:p w14:paraId="08EBBF6A" w14:textId="5D74A1B5" w:rsidR="00620076" w:rsidRPr="00C56AB2" w:rsidRDefault="00620076" w:rsidP="004B1B7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D73F7D">
        <w:rPr>
          <w:rFonts w:eastAsia="Arial" w:cs="Arial"/>
          <w:sz w:val="24"/>
          <w:szCs w:val="24"/>
        </w:rPr>
        <w:t xml:space="preserve">Cascade supplier </w:t>
      </w:r>
      <w:r w:rsidRPr="00C56AB2">
        <w:rPr>
          <w:rFonts w:eastAsia="Arial" w:cs="Arial"/>
          <w:sz w:val="24"/>
          <w:szCs w:val="24"/>
        </w:rPr>
        <w:t xml:space="preserve">’s Data Protection Officer are: </w:t>
      </w:r>
      <w:r w:rsidR="004B1B7A" w:rsidRPr="004B1B7A">
        <w:rPr>
          <w:rFonts w:eastAsia="Arial" w:cs="Arial"/>
          <w:b/>
          <w:sz w:val="24"/>
          <w:szCs w:val="24"/>
          <w:u w:val="single"/>
        </w:rPr>
        <w:t>REDACTED</w:t>
      </w:r>
    </w:p>
    <w:p w14:paraId="571AFAC8" w14:textId="77777777" w:rsidR="00620076" w:rsidRPr="00C56AB2" w:rsidRDefault="00620076" w:rsidP="00DB019A">
      <w:pPr>
        <w:pStyle w:val="ListParagraph"/>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8"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8"/>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9"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90"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90"/>
    </w:p>
    <w:bookmarkEnd w:id="489"/>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1" w:name="_Toc303948969"/>
            <w:bookmarkStart w:id="492" w:name="_Toc303949729"/>
            <w:bookmarkStart w:id="493" w:name="_Toc303950496"/>
            <w:bookmarkStart w:id="494" w:name="_Toc303951276"/>
            <w:bookmarkStart w:id="495" w:name="_Toc304135359"/>
            <w:bookmarkStart w:id="496" w:name="_Ref377732505"/>
            <w:r w:rsidRPr="00C56AB2">
              <w:rPr>
                <w:rFonts w:cs="Arial"/>
                <w:sz w:val="24"/>
                <w:szCs w:val="24"/>
              </w:rPr>
              <w:t>means the change control process, if any, referred to in any Key Provisions;</w:t>
            </w:r>
            <w:bookmarkEnd w:id="491"/>
            <w:bookmarkEnd w:id="492"/>
            <w:bookmarkEnd w:id="493"/>
            <w:bookmarkEnd w:id="494"/>
            <w:bookmarkEnd w:id="495"/>
            <w:bookmarkEnd w:id="496"/>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7" w:name="_Toc303948975"/>
            <w:bookmarkStart w:id="498" w:name="_Toc303949735"/>
            <w:bookmarkStart w:id="499" w:name="_Toc303950502"/>
            <w:bookmarkStart w:id="500" w:name="_Toc303951282"/>
            <w:bookmarkStart w:id="501"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7"/>
            <w:bookmarkEnd w:id="498"/>
            <w:bookmarkEnd w:id="499"/>
            <w:bookmarkEnd w:id="500"/>
            <w:bookmarkEnd w:id="501"/>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2" w:name="_Toc303948981"/>
            <w:bookmarkStart w:id="503" w:name="_Toc303949741"/>
            <w:bookmarkStart w:id="504" w:name="_Toc303950508"/>
            <w:bookmarkStart w:id="505" w:name="_Toc303951288"/>
            <w:bookmarkStart w:id="506"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2"/>
            <w:bookmarkEnd w:id="503"/>
            <w:bookmarkEnd w:id="504"/>
            <w:bookmarkEnd w:id="505"/>
            <w:bookmarkEnd w:id="506"/>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7"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7"/>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8"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8"/>
    </w:p>
    <w:p w14:paraId="0C29E402" w14:textId="2445C3DC" w:rsidR="00E168F9" w:rsidRDefault="004B1B7A" w:rsidP="00DB019A">
      <w:pPr>
        <w:spacing w:line="240" w:lineRule="auto"/>
        <w:jc w:val="both"/>
        <w:rPr>
          <w:rFonts w:cs="Arial"/>
          <w:b/>
          <w:sz w:val="24"/>
          <w:szCs w:val="24"/>
          <w:u w:val="single"/>
        </w:rPr>
      </w:pPr>
      <w:r w:rsidRPr="004B1B7A">
        <w:rPr>
          <w:rFonts w:cs="Arial"/>
          <w:b/>
          <w:sz w:val="24"/>
          <w:szCs w:val="24"/>
          <w:u w:val="single"/>
        </w:rPr>
        <w:t>REDACTED</w:t>
      </w:r>
    </w:p>
    <w:p w14:paraId="7108D773" w14:textId="7B3E570D" w:rsidR="00E168F9" w:rsidRDefault="00E168F9" w:rsidP="00DB019A">
      <w:pPr>
        <w:spacing w:line="240" w:lineRule="auto"/>
        <w:jc w:val="both"/>
        <w:rPr>
          <w:rFonts w:cs="Arial"/>
          <w:b/>
          <w:sz w:val="24"/>
          <w:szCs w:val="24"/>
          <w:u w:val="single"/>
        </w:rPr>
      </w:pPr>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1B20E49" w:rsidR="00E168F9" w:rsidRDefault="00E168F9" w:rsidP="00DB019A">
      <w:pPr>
        <w:spacing w:line="240" w:lineRule="auto"/>
        <w:jc w:val="both"/>
        <w:rPr>
          <w:rFonts w:cs="Arial"/>
          <w:b/>
          <w:sz w:val="24"/>
          <w:szCs w:val="24"/>
          <w:u w:val="single"/>
        </w:rPr>
      </w:pP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w:t>
      </w:r>
      <w:r>
        <w:rPr>
          <w:rFonts w:ascii="Arial" w:hAnsi="Arial" w:cs="Arial"/>
          <w:sz w:val="24"/>
          <w:szCs w:val="24"/>
        </w:rPr>
        <w:lastRenderedPageBreak/>
        <w:t>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454C6A80" w:rsidR="004B1B7A"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505C0910" w14:textId="77777777" w:rsidR="004B1B7A" w:rsidRPr="004B1B7A" w:rsidRDefault="004B1B7A" w:rsidP="004B1B7A"/>
    <w:p w14:paraId="1F9E9355" w14:textId="16C4B814" w:rsidR="004B1B7A" w:rsidRDefault="004B1B7A" w:rsidP="004B1B7A"/>
    <w:p w14:paraId="13D69F20" w14:textId="583FF431" w:rsidR="00E168F9" w:rsidRPr="004B1B7A" w:rsidRDefault="004B1B7A" w:rsidP="004B1B7A">
      <w:r w:rsidRPr="004B1B7A">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2E09299F" w:rsidR="00E168F9" w:rsidRDefault="00E168F9" w:rsidP="00DB019A">
      <w:pPr>
        <w:pStyle w:val="MRheading2"/>
        <w:tabs>
          <w:tab w:val="clear" w:pos="720"/>
        </w:tabs>
        <w:spacing w:line="240" w:lineRule="auto"/>
        <w:ind w:firstLine="0"/>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contract\\070622 MOD Worker Pay Rate ENIC 15.05%  V4 .xlsx" "" \a \p \f 0 \* MERGEFORMAT </w:instrText>
      </w:r>
      <w:r>
        <w:rPr>
          <w:rFonts w:cs="Arial"/>
          <w:sz w:val="24"/>
          <w:szCs w:val="24"/>
        </w:rPr>
        <w:fldChar w:fldCharType="separate"/>
      </w:r>
      <w:r w:rsidR="000F064D">
        <w:rPr>
          <w:rFonts w:cs="Arial"/>
          <w:sz w:val="24"/>
          <w:szCs w:val="24"/>
        </w:rPr>
        <w:object w:dxaOrig="1513" w:dyaOrig="984" w14:anchorId="722C4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29" o:title=""/>
          </v:shape>
        </w:object>
      </w:r>
      <w:r>
        <w:rPr>
          <w:rFonts w:cs="Arial"/>
          <w:sz w:val="24"/>
          <w:szCs w:val="24"/>
        </w:rPr>
        <w:fldChar w:fldCharType="end"/>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lastRenderedPageBreak/>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w:t>
      </w:r>
      <w:r>
        <w:rPr>
          <w:rFonts w:ascii="Arial" w:hAnsi="Arial"/>
          <w:sz w:val="24"/>
          <w:szCs w:val="24"/>
        </w:rPr>
        <w:lastRenderedPageBreak/>
        <w:t xml:space="preserve">appropriate evidence of mileage travelled, an amount as stated in the relevant Contracting Authority policy (Guide to Business Travel) current at the date the journey was taken (which at the date of this 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lastRenderedPageBreak/>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lastRenderedPageBreak/>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w:t>
      </w:r>
      <w:r>
        <w:rPr>
          <w:rFonts w:ascii="Arial" w:hAnsi="Arial"/>
          <w:sz w:val="24"/>
          <w:szCs w:val="24"/>
        </w:rPr>
        <w:lastRenderedPageBreak/>
        <w:t>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lastRenderedPageBreak/>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9" w:name="_Hlk100674927"/>
      <w:r w:rsidRPr="00816D0C">
        <w:rPr>
          <w:rFonts w:ascii="Arial" w:hAnsi="Arial" w:cs="Arial"/>
          <w:b/>
          <w:bCs/>
          <w:sz w:val="24"/>
          <w:szCs w:val="24"/>
          <w:highlight w:val="yellow"/>
        </w:rPr>
        <w:t>D: Self Bill Agreement</w:t>
      </w:r>
      <w:bookmarkEnd w:id="509"/>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10"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10"/>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1" w:name="_Hlk83909055"/>
      <w:r w:rsidRPr="00C56AB2">
        <w:rPr>
          <w:rFonts w:cs="Arial"/>
          <w:i w:val="0"/>
          <w:szCs w:val="24"/>
          <w:lang w:val="en-US"/>
        </w:rPr>
        <w:t>Supply Chain Visibility</w:t>
      </w:r>
    </w:p>
    <w:bookmarkEnd w:id="511"/>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2"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2"/>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184249C6" w:rsidR="00221AA8" w:rsidRPr="00C56AB2" w:rsidRDefault="00CC4F8D" w:rsidP="00DB019A">
      <w:pPr>
        <w:jc w:val="both"/>
        <w:rPr>
          <w:rFonts w:cs="Arial"/>
          <w:sz w:val="24"/>
          <w:szCs w:val="24"/>
        </w:rPr>
      </w:pPr>
      <w:r w:rsidRPr="00CC4F8D">
        <w:rPr>
          <w:rFonts w:cs="Arial"/>
          <w:sz w:val="24"/>
          <w:szCs w:val="24"/>
        </w:rPr>
        <w:t>REDACTED</w: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0"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6" type="#_x0000_t75" style="width:75.5pt;height:49pt" o:ole="">
                  <v:imagedata r:id="rId32" o:title=""/>
                </v:shape>
                <o:OLEObject Type="Embed" ProgID="Package" ShapeID="_x0000_i1026" DrawAspect="Icon" ObjectID="_1724564395" r:id="rId33"/>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7" type="#_x0000_t75" style="width:75.5pt;height:49pt" o:ole="">
                  <v:imagedata r:id="rId35" o:title=""/>
                </v:shape>
                <o:OLEObject Type="Embed" ProgID="Package" ShapeID="_x0000_i1027" DrawAspect="Icon" ObjectID="_1724564396" r:id="rId36"/>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8" type="#_x0000_t75" style="width:75.5pt;height:49pt" o:ole="">
                  <v:imagedata r:id="rId37" o:title=""/>
                </v:shape>
                <o:OLEObject Type="Embed" ProgID="Package" ShapeID="_x0000_i1028" DrawAspect="Icon" ObjectID="_1724564397" r:id="rId38"/>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29" type="#_x0000_t75" style="width:75.5pt;height:49pt" o:ole="">
                  <v:imagedata r:id="rId39" o:title=""/>
                </v:shape>
                <o:OLEObject Type="Embed" ProgID="Package" ShapeID="_x0000_i1029" DrawAspect="Icon" ObjectID="_1724564398" r:id="rId40"/>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0" type="#_x0000_t75" style="width:75.5pt;height:49pt" o:ole="">
                  <v:imagedata r:id="rId41" o:title=""/>
                </v:shape>
                <o:OLEObject Type="Embed" ProgID="Package" ShapeID="_x0000_i1030" DrawAspect="Icon" ObjectID="_1724564399" r:id="rId42"/>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1" type="#_x0000_t75" style="width:75.5pt;height:49pt" o:ole="">
                  <v:imagedata r:id="rId43" o:title=""/>
                </v:shape>
                <o:OLEObject Type="Embed" ProgID="Package" ShapeID="_x0000_i1031" DrawAspect="Icon" ObjectID="_1724564400" r:id="rId44"/>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2" type="#_x0000_t75" style="width:75.5pt;height:49pt" o:ole="">
                  <v:imagedata r:id="rId45" o:title=""/>
                </v:shape>
                <o:OLEObject Type="Embed" ProgID="Package" ShapeID="_x0000_i1032" DrawAspect="Icon" ObjectID="_1724564401" r:id="rId46"/>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3" type="#_x0000_t75" style="width:75.5pt;height:49pt" o:ole="">
                  <v:imagedata r:id="rId47" o:title=""/>
                </v:shape>
                <o:OLEObject Type="Embed" ProgID="Package" ShapeID="_x0000_i1033" DrawAspect="Icon" ObjectID="_1724564402" r:id="rId48"/>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0F064D">
              <w:rPr>
                <w:rFonts w:eastAsia="SimSun" w:cs="Arial"/>
                <w:bCs/>
                <w:color w:val="000000" w:themeColor="text1"/>
                <w:sz w:val="24"/>
                <w:szCs w:val="24"/>
                <w:lang w:eastAsia="zh-CN"/>
              </w:rPr>
              <w:object w:dxaOrig="1513" w:dyaOrig="984" w14:anchorId="18C97303">
                <v:shape id="_x0000_i1034" type="#_x0000_t75" style="width:75.5pt;height:49pt" o:ole="">
                  <v:imagedata r:id="rId51"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0F064D">
              <w:rPr>
                <w:rFonts w:eastAsia="SimSun" w:cs="Arial"/>
                <w:bCs/>
                <w:color w:val="000000" w:themeColor="text1"/>
                <w:sz w:val="24"/>
                <w:szCs w:val="24"/>
                <w:lang w:eastAsia="zh-CN"/>
              </w:rPr>
              <w:object w:dxaOrig="1513" w:dyaOrig="984" w14:anchorId="710794EA">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6" type="#_x0000_t75" style="width:75.5pt;height:49pt" o:ole="">
                  <v:imagedata r:id="rId53" o:title=""/>
                </v:shape>
                <o:OLEObject Type="Embed" ProgID="Package" ShapeID="_x0000_i1036" DrawAspect="Icon" ObjectID="_1724564403" r:id="rId54"/>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7" type="#_x0000_t75" style="width:75.5pt;height:49pt" o:ole="">
                  <v:imagedata r:id="rId55" o:title=""/>
                </v:shape>
                <o:OLEObject Type="Embed" ProgID="Package" ShapeID="_x0000_i1037" DrawAspect="Icon" ObjectID="_1724564404" r:id="rId56"/>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8" type="#_x0000_t75" style="width:75.5pt;height:49pt" o:ole="">
                  <v:imagedata r:id="rId57" o:title=""/>
                </v:shape>
                <o:OLEObject Type="Embed" ProgID="Package" ShapeID="_x0000_i1038" DrawAspect="Icon" ObjectID="_1724564405" r:id="rId58"/>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0F064D">
        <w:rPr>
          <w:rFonts w:eastAsia="Calibri" w:cs="Arial"/>
          <w:b/>
          <w:sz w:val="24"/>
          <w:szCs w:val="24"/>
          <w:lang w:eastAsia="en-US"/>
        </w:rPr>
        <w:object w:dxaOrig="1513" w:dyaOrig="984" w14:anchorId="206B6629">
          <v:shape id="_x0000_i1039" type="#_x0000_t75" style="width:75.5pt;height:49pt" o:ole="">
            <v:imagedata r:id="rId59"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267C9541" w:rsidR="00A04DCB" w:rsidRDefault="0019034C" w:rsidP="0019034C">
      <w:pPr>
        <w:tabs>
          <w:tab w:val="left" w:pos="4060"/>
        </w:tabs>
        <w:spacing w:after="200" w:line="240" w:lineRule="auto"/>
        <w:jc w:val="both"/>
        <w:rPr>
          <w:rFonts w:eastAsia="Calibri" w:cs="Arial"/>
          <w:b/>
          <w:sz w:val="24"/>
          <w:szCs w:val="24"/>
          <w:lang w:eastAsia="en-US"/>
        </w:rPr>
      </w:pPr>
      <w:r>
        <w:rPr>
          <w:rFonts w:eastAsia="Calibri" w:cs="Arial"/>
          <w:b/>
          <w:sz w:val="24"/>
          <w:szCs w:val="24"/>
          <w:lang w:eastAsia="en-US"/>
        </w:rPr>
        <w:tab/>
      </w:r>
      <w:r w:rsidR="00CC4F8D" w:rsidRPr="00CC4F8D">
        <w:rPr>
          <w:rFonts w:eastAsia="Calibri" w:cs="Arial"/>
          <w:b/>
          <w:sz w:val="24"/>
          <w:szCs w:val="24"/>
          <w:lang w:eastAsia="en-US"/>
        </w:rPr>
        <w:t>REDACTED</w:t>
      </w:r>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6B6D364A"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00CC4F8D" w:rsidRPr="00CC4F8D">
        <w:rPr>
          <w:rFonts w:cs="Arial"/>
          <w:b/>
          <w:bCs/>
          <w:sz w:val="24"/>
          <w:szCs w:val="24"/>
          <w:lang w:val="en-US"/>
        </w:rPr>
        <w:t>REDACTED</w:t>
      </w:r>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1BE26569"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218B288D"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lastRenderedPageBreak/>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0F064D">
        <w:rPr>
          <w:rFonts w:cs="Arial"/>
          <w:sz w:val="24"/>
          <w:szCs w:val="24"/>
        </w:rPr>
        <w:object w:dxaOrig="1513" w:dyaOrig="984" w14:anchorId="423612B8">
          <v:shape id="_x0000_i1040" type="#_x0000_t75" style="width:93pt;height:49pt" o:ole="">
            <v:imagedata r:id="rId60"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816"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CC4F8D">
        <w:trPr>
          <w:trHeight w:val="792"/>
        </w:trPr>
        <w:tc>
          <w:tcPr>
            <w:tcW w:w="4016"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CC4F8D">
        <w:trPr>
          <w:trHeight w:val="264"/>
        </w:trPr>
        <w:tc>
          <w:tcPr>
            <w:tcW w:w="4016"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CC4F8D">
        <w:trPr>
          <w:trHeight w:val="336"/>
        </w:trPr>
        <w:tc>
          <w:tcPr>
            <w:tcW w:w="4016"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CC4F8D">
        <w:trPr>
          <w:trHeight w:val="264"/>
        </w:trPr>
        <w:tc>
          <w:tcPr>
            <w:tcW w:w="4016"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bl>
    <w:p w14:paraId="070F7D32" w14:textId="4AF396ED"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768" w:type="dxa"/>
        <w:tblLook w:val="04A0" w:firstRow="1" w:lastRow="0" w:firstColumn="1" w:lastColumn="0" w:noHBand="0" w:noVBand="1"/>
      </w:tblPr>
      <w:tblGrid>
        <w:gridCol w:w="4016"/>
        <w:gridCol w:w="4736"/>
        <w:gridCol w:w="1016"/>
      </w:tblGrid>
      <w:tr w:rsidR="00EC3490" w:rsidRPr="00EC3490" w14:paraId="0F9F61A5" w14:textId="77777777" w:rsidTr="00CC4F8D">
        <w:trPr>
          <w:trHeight w:val="762"/>
        </w:trPr>
        <w:tc>
          <w:tcPr>
            <w:tcW w:w="40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CC4F8D">
        <w:trPr>
          <w:trHeight w:val="264"/>
        </w:trPr>
        <w:tc>
          <w:tcPr>
            <w:tcW w:w="40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CC4F8D">
        <w:trPr>
          <w:trHeight w:val="336"/>
        </w:trPr>
        <w:tc>
          <w:tcPr>
            <w:tcW w:w="87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CC4F8D">
        <w:trPr>
          <w:trHeight w:val="264"/>
        </w:trPr>
        <w:tc>
          <w:tcPr>
            <w:tcW w:w="40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bl>
    <w:p w14:paraId="00FC01A9" w14:textId="54174D71"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5"/>
      <w:headerReference w:type="default" r:id="rId66"/>
      <w:footerReference w:type="default" r:id="rId67"/>
      <w:headerReference w:type="first" r:id="rId68"/>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4B1B7A" w:rsidRDefault="004B1B7A" w:rsidP="009F6D5B">
      <w:pPr>
        <w:pStyle w:val="Outline4"/>
      </w:pPr>
      <w:r>
        <w:separator/>
      </w:r>
    </w:p>
  </w:endnote>
  <w:endnote w:type="continuationSeparator" w:id="0">
    <w:p w14:paraId="3448A969" w14:textId="77777777" w:rsidR="004B1B7A" w:rsidRDefault="004B1B7A" w:rsidP="009F6D5B">
      <w:pPr>
        <w:pStyle w:val="Outline4"/>
      </w:pPr>
      <w:r>
        <w:continuationSeparator/>
      </w:r>
    </w:p>
  </w:endnote>
  <w:endnote w:type="continuationNotice" w:id="1">
    <w:p w14:paraId="7773D608" w14:textId="77777777" w:rsidR="004B1B7A" w:rsidRDefault="004B1B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4B1B7A" w:rsidRDefault="004B1B7A" w:rsidP="00A962E6">
    <w:pPr>
      <w:pStyle w:val="Footer"/>
      <w:rPr>
        <w:rStyle w:val="PageNumber"/>
      </w:rPr>
    </w:pPr>
    <w:r>
      <w:rPr>
        <w:rFonts w:cs="Arial"/>
        <w:color w:val="FF0066"/>
        <w:szCs w:val="20"/>
      </w:rPr>
      <w:t xml:space="preserve">                                    </w:t>
    </w:r>
  </w:p>
  <w:p w14:paraId="67DCB1D0" w14:textId="62541B5F" w:rsidR="004B1B7A" w:rsidRDefault="004B1B7A"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0F064D">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122E4390" w:rsidR="004B1B7A" w:rsidRDefault="004B1B7A"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0F064D">
      <w:rPr>
        <w:rStyle w:val="PageNumber"/>
        <w:noProof/>
      </w:rPr>
      <w:t>147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4B1B7A" w:rsidRDefault="004B1B7A" w:rsidP="009F6D5B">
      <w:pPr>
        <w:pStyle w:val="Outline4"/>
      </w:pPr>
      <w:r>
        <w:separator/>
      </w:r>
    </w:p>
  </w:footnote>
  <w:footnote w:type="continuationSeparator" w:id="0">
    <w:p w14:paraId="55EA2210" w14:textId="77777777" w:rsidR="004B1B7A" w:rsidRDefault="004B1B7A" w:rsidP="009F6D5B">
      <w:pPr>
        <w:pStyle w:val="Outline4"/>
      </w:pPr>
      <w:r>
        <w:continuationSeparator/>
      </w:r>
    </w:p>
  </w:footnote>
  <w:footnote w:type="continuationNotice" w:id="1">
    <w:p w14:paraId="63C14D44" w14:textId="77777777" w:rsidR="004B1B7A" w:rsidRDefault="004B1B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4B1B7A" w:rsidRDefault="004B1B7A"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4B1B7A" w:rsidRDefault="004B1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4B1B7A" w:rsidRDefault="004B1B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4B1B7A" w:rsidRDefault="004B1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6E3D"/>
    <w:rsid w:val="000E7086"/>
    <w:rsid w:val="000E7AE8"/>
    <w:rsid w:val="000F04B0"/>
    <w:rsid w:val="000F064D"/>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34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B7A"/>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4F8D"/>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image" Target="media/image7.emf"/><Relationship Id="rId21" Type="http://schemas.openxmlformats.org/officeDocument/2006/relationships/hyperlink" Target="https://www.ncsc.gov.uk/guidance/10-steps-cyber-security" TargetMode="External"/><Relationship Id="rId34" Type="http://schemas.openxmlformats.org/officeDocument/2006/relationships/image" Target="media/image4.emf"/><Relationship Id="rId42" Type="http://schemas.openxmlformats.org/officeDocument/2006/relationships/oleObject" Target="embeddings/oleObject5.bin"/><Relationship Id="rId47" Type="http://schemas.openxmlformats.org/officeDocument/2006/relationships/image" Target="media/image11.emf"/><Relationship Id="rId50" Type="http://schemas.openxmlformats.org/officeDocument/2006/relationships/image" Target="media/image13.emf"/><Relationship Id="rId55" Type="http://schemas.openxmlformats.org/officeDocument/2006/relationships/image" Target="media/image17.emf"/><Relationship Id="rId63" Type="http://schemas.openxmlformats.org/officeDocument/2006/relationships/image" Target="media/image23.png"/><Relationship Id="rId68"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3.emf"/><Relationship Id="rId37" Type="http://schemas.openxmlformats.org/officeDocument/2006/relationships/image" Target="media/image6.emf"/><Relationship Id="rId40" Type="http://schemas.openxmlformats.org/officeDocument/2006/relationships/oleObject" Target="embeddings/oleObject4.bin"/><Relationship Id="rId45" Type="http://schemas.openxmlformats.org/officeDocument/2006/relationships/image" Target="media/image10.emf"/><Relationship Id="rId53" Type="http://schemas.openxmlformats.org/officeDocument/2006/relationships/image" Target="media/image16.emf"/><Relationship Id="rId58" Type="http://schemas.openxmlformats.org/officeDocument/2006/relationships/oleObject" Target="embeddings/oleObject11.bin"/><Relationship Id="rId66"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oleObject" Target="embeddings/oleObject2.bin"/><Relationship Id="rId49" Type="http://schemas.openxmlformats.org/officeDocument/2006/relationships/image" Target="media/image12.emf"/><Relationship Id="rId57" Type="http://schemas.openxmlformats.org/officeDocument/2006/relationships/image" Target="media/image18.emf"/><Relationship Id="rId61" Type="http://schemas.openxmlformats.org/officeDocument/2006/relationships/image" Target="media/image21.png"/><Relationship Id="rId90" Type="http://schemas.microsoft.com/office/2016/09/relationships/commentsIds" Target="commentsIds.xm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image" Target="media/image2.emf"/><Relationship Id="rId44" Type="http://schemas.openxmlformats.org/officeDocument/2006/relationships/oleObject" Target="embeddings/oleObject6.bin"/><Relationship Id="rId52" Type="http://schemas.openxmlformats.org/officeDocument/2006/relationships/image" Target="media/image15.emf"/><Relationship Id="rId60" Type="http://schemas.openxmlformats.org/officeDocument/2006/relationships/image" Target="media/image20.emf"/><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hyperlink" Target="https://www.gov.uk/acquisition-operating-framework" TargetMode="External"/><Relationship Id="rId35" Type="http://schemas.openxmlformats.org/officeDocument/2006/relationships/image" Target="media/image5.emf"/><Relationship Id="rId43" Type="http://schemas.openxmlformats.org/officeDocument/2006/relationships/image" Target="media/image9.emf"/><Relationship Id="rId48" Type="http://schemas.openxmlformats.org/officeDocument/2006/relationships/oleObject" Target="embeddings/oleObject8.bin"/><Relationship Id="rId56" Type="http://schemas.openxmlformats.org/officeDocument/2006/relationships/oleObject" Target="embeddings/oleObject10.bin"/><Relationship Id="rId64" Type="http://schemas.openxmlformats.org/officeDocument/2006/relationships/image" Target="media/image24.emf"/><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4.emf"/><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oleObject" Target="embeddings/oleObject1.bin"/><Relationship Id="rId38" Type="http://schemas.openxmlformats.org/officeDocument/2006/relationships/oleObject" Target="embeddings/oleObject3.bin"/><Relationship Id="rId46" Type="http://schemas.openxmlformats.org/officeDocument/2006/relationships/oleObject" Target="embeddings/oleObject7.bin"/><Relationship Id="rId59" Type="http://schemas.openxmlformats.org/officeDocument/2006/relationships/image" Target="media/image19.emf"/><Relationship Id="rId67" Type="http://schemas.openxmlformats.org/officeDocument/2006/relationships/footer" Target="footer2.xml"/><Relationship Id="rId20" Type="http://schemas.openxmlformats.org/officeDocument/2006/relationships/hyperlink" Target="https://www.ncsc.gov.uk/scheme/commercial-product-assurance-cpa" TargetMode="External"/><Relationship Id="rId41" Type="http://schemas.openxmlformats.org/officeDocument/2006/relationships/image" Target="media/image8.emf"/><Relationship Id="rId54" Type="http://schemas.openxmlformats.org/officeDocument/2006/relationships/oleObject" Target="embeddings/oleObject9.bin"/><Relationship Id="rId62" Type="http://schemas.openxmlformats.org/officeDocument/2006/relationships/image" Target="media/image22.e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2.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99B986-C4FD-4500-B600-47D8F506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147</Pages>
  <Words>46131</Words>
  <Characters>266540</Characters>
  <Application>Microsoft Office Word</Application>
  <DocSecurity>0</DocSecurity>
  <Lines>2221</Lines>
  <Paragraphs>624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312047</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7</cp:revision>
  <cp:lastPrinted>2019-07-26T07:36:00Z</cp:lastPrinted>
  <dcterms:created xsi:type="dcterms:W3CDTF">2022-06-17T10:29:00Z</dcterms:created>
  <dcterms:modified xsi:type="dcterms:W3CDTF">2022-09-13T07:53:00Z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