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5AAA4" w14:textId="0096B775" w:rsidR="00632ACE" w:rsidRPr="006C03DF" w:rsidRDefault="00BD5B50" w:rsidP="00C90640">
      <w:pPr>
        <w:jc w:val="both"/>
        <w:rPr>
          <w:b/>
          <w:u w:val="single"/>
        </w:rPr>
      </w:pPr>
      <w:bookmarkStart w:id="0" w:name="_GoBack"/>
      <w:bookmarkEnd w:id="0"/>
      <w:r w:rsidRPr="006C03DF">
        <w:rPr>
          <w:b/>
          <w:u w:val="single"/>
        </w:rPr>
        <w:t xml:space="preserve">DE&amp;S </w:t>
      </w:r>
      <w:r w:rsidR="00016BAE">
        <w:rPr>
          <w:b/>
          <w:u w:val="single"/>
        </w:rPr>
        <w:t>Reward Strate</w:t>
      </w:r>
      <w:r w:rsidR="004E2E38">
        <w:rPr>
          <w:b/>
          <w:u w:val="single"/>
        </w:rPr>
        <w:t>gy review</w:t>
      </w:r>
      <w:r w:rsidR="00C94606">
        <w:rPr>
          <w:b/>
          <w:u w:val="single"/>
        </w:rPr>
        <w:t xml:space="preserve"> - Statement of Requirement</w:t>
      </w:r>
    </w:p>
    <w:p w14:paraId="01E0D275" w14:textId="77777777" w:rsidR="006C03DF" w:rsidRDefault="006C03DF" w:rsidP="00C90640">
      <w:pPr>
        <w:jc w:val="both"/>
        <w:rPr>
          <w:b/>
        </w:rPr>
      </w:pPr>
    </w:p>
    <w:p w14:paraId="675CD792" w14:textId="348BCD62" w:rsidR="00EC294B" w:rsidRDefault="004D1731" w:rsidP="00C90640">
      <w:pPr>
        <w:jc w:val="both"/>
        <w:rPr>
          <w:b/>
        </w:rPr>
      </w:pPr>
      <w:r>
        <w:rPr>
          <w:b/>
        </w:rPr>
        <w:t xml:space="preserve">1.  </w:t>
      </w:r>
      <w:r w:rsidR="00632ACE">
        <w:rPr>
          <w:b/>
        </w:rPr>
        <w:t>Brief description</w:t>
      </w:r>
    </w:p>
    <w:p w14:paraId="56611D56" w14:textId="77777777" w:rsidR="00374C24" w:rsidRDefault="00374C24" w:rsidP="00C90640">
      <w:pPr>
        <w:jc w:val="both"/>
        <w:rPr>
          <w:b/>
        </w:rPr>
      </w:pPr>
    </w:p>
    <w:p w14:paraId="123CC354" w14:textId="58665A9E" w:rsidR="001C2812" w:rsidRDefault="00F24FBB" w:rsidP="00C90640">
      <w:pPr>
        <w:jc w:val="both"/>
      </w:pPr>
      <w:r w:rsidRPr="000C720E">
        <w:rPr>
          <w:rFonts w:eastAsiaTheme="minorEastAsia" w:cs="Arial"/>
        </w:rPr>
        <w:t>Defence Equipment and Support (DE&amp;S)</w:t>
      </w:r>
      <w:r w:rsidR="001C2812">
        <w:t xml:space="preserve">, on behalf of the Ministry of Defence (MoD), </w:t>
      </w:r>
      <w:r w:rsidR="00D44268">
        <w:t>seeks to engage a</w:t>
      </w:r>
      <w:r w:rsidR="005827A8">
        <w:t xml:space="preserve"> supplier </w:t>
      </w:r>
      <w:r w:rsidR="001C2812" w:rsidRPr="000C720E">
        <w:t xml:space="preserve">to </w:t>
      </w:r>
      <w:r w:rsidR="00F46855">
        <w:t>pro</w:t>
      </w:r>
      <w:r w:rsidR="00FF2EAA">
        <w:t xml:space="preserve">vide </w:t>
      </w:r>
      <w:r w:rsidR="004E2E38">
        <w:t>specialist advice and support for the development of its reward strategy</w:t>
      </w:r>
      <w:r w:rsidR="0029191D">
        <w:t>.</w:t>
      </w:r>
    </w:p>
    <w:p w14:paraId="6DBE7E2F" w14:textId="3FFBD459" w:rsidR="00374C24" w:rsidRPr="00374C24" w:rsidRDefault="00374C24" w:rsidP="00C90640">
      <w:pPr>
        <w:jc w:val="both"/>
        <w:rPr>
          <w:b/>
        </w:rPr>
      </w:pPr>
    </w:p>
    <w:p w14:paraId="3B0E3D2A" w14:textId="5F9C54DC" w:rsidR="00374C24" w:rsidRPr="00374C24" w:rsidRDefault="00AB7975" w:rsidP="00C90640">
      <w:pPr>
        <w:jc w:val="both"/>
        <w:rPr>
          <w:b/>
        </w:rPr>
      </w:pPr>
      <w:r>
        <w:rPr>
          <w:b/>
        </w:rPr>
        <w:t xml:space="preserve">2.  </w:t>
      </w:r>
      <w:r w:rsidR="00374C24" w:rsidRPr="00374C24">
        <w:rPr>
          <w:b/>
        </w:rPr>
        <w:t>Requirement</w:t>
      </w:r>
    </w:p>
    <w:p w14:paraId="31292352" w14:textId="77777777" w:rsidR="001C2812" w:rsidRDefault="001C2812" w:rsidP="00C90640">
      <w:pPr>
        <w:jc w:val="both"/>
      </w:pPr>
    </w:p>
    <w:p w14:paraId="4D5FB88E" w14:textId="2B19099A" w:rsidR="00525E12" w:rsidRPr="000C720E" w:rsidRDefault="00F24FBB" w:rsidP="00C90640">
      <w:pPr>
        <w:jc w:val="both"/>
        <w:rPr>
          <w:rFonts w:eastAsiaTheme="minorEastAsia" w:cs="Arial"/>
        </w:rPr>
      </w:pPr>
      <w:r>
        <w:rPr>
          <w:rFonts w:eastAsiaTheme="minorEastAsia" w:cs="Arial"/>
        </w:rPr>
        <w:t xml:space="preserve">DE&amp;S (the Authority) </w:t>
      </w:r>
      <w:r w:rsidR="00525E12" w:rsidRPr="000C720E">
        <w:rPr>
          <w:rFonts w:eastAsiaTheme="minorEastAsia" w:cs="Arial"/>
        </w:rPr>
        <w:t>is an arm’s length Ministry of Defence (MoD) agency and employs approximately 11,000 people around the UK and overseas</w:t>
      </w:r>
      <w:r w:rsidR="00663660">
        <w:rPr>
          <w:rFonts w:eastAsiaTheme="minorEastAsia" w:cs="Arial"/>
        </w:rPr>
        <w:t>. It</w:t>
      </w:r>
      <w:r w:rsidR="00525E12" w:rsidRPr="000C720E">
        <w:rPr>
          <w:rFonts w:eastAsiaTheme="minorEastAsia" w:cs="Arial"/>
        </w:rPr>
        <w:t xml:space="preserve"> is headquartered at Abbey Wood, Bristol, BS34 8JH.</w:t>
      </w:r>
      <w:r w:rsidR="00B12B7D" w:rsidRPr="000C720E">
        <w:rPr>
          <w:rFonts w:eastAsiaTheme="minorEastAsia" w:cs="Arial"/>
        </w:rPr>
        <w:t xml:space="preserve"> </w:t>
      </w:r>
      <w:r w:rsidR="00462BE9">
        <w:rPr>
          <w:rFonts w:eastAsiaTheme="minorEastAsia" w:cs="Arial"/>
        </w:rPr>
        <w:t>The Authority,</w:t>
      </w:r>
      <w:r w:rsidR="00525E12" w:rsidRPr="000C720E">
        <w:rPr>
          <w:rFonts w:eastAsiaTheme="minorEastAsia" w:cs="Arial"/>
        </w:rPr>
        <w:t xml:space="preserve"> on occasion</w:t>
      </w:r>
      <w:r w:rsidR="00663660">
        <w:rPr>
          <w:rFonts w:eastAsiaTheme="minorEastAsia" w:cs="Arial"/>
        </w:rPr>
        <w:t>,</w:t>
      </w:r>
      <w:r w:rsidR="00525E12" w:rsidRPr="000C720E">
        <w:rPr>
          <w:rFonts w:eastAsiaTheme="minorEastAsia" w:cs="Arial"/>
        </w:rPr>
        <w:t xml:space="preserve"> requires specialist HR s</w:t>
      </w:r>
      <w:r w:rsidR="00C20C83">
        <w:rPr>
          <w:rFonts w:eastAsiaTheme="minorEastAsia" w:cs="Arial"/>
        </w:rPr>
        <w:t xml:space="preserve">upport </w:t>
      </w:r>
      <w:r w:rsidR="00525E12" w:rsidRPr="000C720E">
        <w:rPr>
          <w:rFonts w:eastAsiaTheme="minorEastAsia" w:cs="Arial"/>
        </w:rPr>
        <w:t>to undertake specific pieces of work</w:t>
      </w:r>
      <w:r w:rsidR="002541D0">
        <w:rPr>
          <w:rFonts w:eastAsiaTheme="minorEastAsia" w:cs="Arial"/>
        </w:rPr>
        <w:t>. On this occasion</w:t>
      </w:r>
      <w:r w:rsidR="00663660">
        <w:rPr>
          <w:rFonts w:eastAsiaTheme="minorEastAsia" w:cs="Arial"/>
        </w:rPr>
        <w:t>,</w:t>
      </w:r>
      <w:r w:rsidR="00525E12" w:rsidRPr="000C720E">
        <w:rPr>
          <w:rFonts w:eastAsiaTheme="minorEastAsia" w:cs="Arial"/>
        </w:rPr>
        <w:t xml:space="preserve"> </w:t>
      </w:r>
      <w:r w:rsidR="00462BE9">
        <w:rPr>
          <w:rFonts w:eastAsiaTheme="minorEastAsia" w:cs="Arial"/>
        </w:rPr>
        <w:t>the Authority</w:t>
      </w:r>
      <w:r w:rsidR="002541D0">
        <w:rPr>
          <w:rFonts w:eastAsiaTheme="minorEastAsia" w:cs="Arial"/>
        </w:rPr>
        <w:t xml:space="preserve"> req</w:t>
      </w:r>
      <w:r w:rsidR="00525E12" w:rsidRPr="000C720E">
        <w:rPr>
          <w:rFonts w:eastAsiaTheme="minorEastAsia" w:cs="Arial"/>
        </w:rPr>
        <w:t>uires</w:t>
      </w:r>
      <w:r w:rsidR="0079123B" w:rsidRPr="000C720E">
        <w:rPr>
          <w:rFonts w:eastAsiaTheme="minorEastAsia" w:cs="Arial"/>
        </w:rPr>
        <w:t xml:space="preserve"> </w:t>
      </w:r>
      <w:r w:rsidR="009F62B8">
        <w:rPr>
          <w:rFonts w:eastAsiaTheme="minorEastAsia" w:cs="Arial"/>
        </w:rPr>
        <w:t>a</w:t>
      </w:r>
      <w:r w:rsidR="002541D0">
        <w:rPr>
          <w:rFonts w:eastAsiaTheme="minorEastAsia" w:cs="Arial"/>
        </w:rPr>
        <w:t xml:space="preserve"> </w:t>
      </w:r>
      <w:r w:rsidR="00E32B14">
        <w:rPr>
          <w:rFonts w:eastAsiaTheme="minorEastAsia" w:cs="Arial"/>
        </w:rPr>
        <w:t xml:space="preserve">detailed </w:t>
      </w:r>
      <w:r w:rsidR="004E2E38">
        <w:rPr>
          <w:rFonts w:eastAsiaTheme="minorEastAsia" w:cs="Arial"/>
        </w:rPr>
        <w:t>p</w:t>
      </w:r>
      <w:r w:rsidR="009F62B8">
        <w:rPr>
          <w:rFonts w:eastAsiaTheme="minorEastAsia" w:cs="Arial"/>
        </w:rPr>
        <w:t xml:space="preserve">roposal </w:t>
      </w:r>
      <w:r w:rsidR="004E2E38">
        <w:rPr>
          <w:rFonts w:eastAsiaTheme="minorEastAsia" w:cs="Arial"/>
        </w:rPr>
        <w:t>for specialist advice and support for its project to review and update all elements of its Reward strategy</w:t>
      </w:r>
      <w:r w:rsidR="00835302">
        <w:rPr>
          <w:rFonts w:eastAsiaTheme="minorEastAsia" w:cs="Arial"/>
        </w:rPr>
        <w:t>.</w:t>
      </w:r>
    </w:p>
    <w:p w14:paraId="6C380DCE" w14:textId="5C013E79" w:rsidR="00B12B7D" w:rsidRDefault="00B12B7D" w:rsidP="00C90640">
      <w:pPr>
        <w:jc w:val="both"/>
        <w:rPr>
          <w:rFonts w:eastAsiaTheme="minorEastAsia" w:cs="Arial"/>
        </w:rPr>
      </w:pPr>
    </w:p>
    <w:p w14:paraId="36C68EAF" w14:textId="3BD7E6C5" w:rsidR="00C56FDA" w:rsidRDefault="00C56FDA" w:rsidP="00C90640">
      <w:pPr>
        <w:jc w:val="both"/>
        <w:rPr>
          <w:rFonts w:eastAsiaTheme="minorEastAsia" w:cs="Arial"/>
        </w:rPr>
      </w:pPr>
      <w:r>
        <w:rPr>
          <w:rFonts w:eastAsiaTheme="minorEastAsia" w:cs="Arial"/>
        </w:rPr>
        <w:t xml:space="preserve">The </w:t>
      </w:r>
      <w:r w:rsidR="004E2E38">
        <w:rPr>
          <w:rFonts w:eastAsiaTheme="minorEastAsia" w:cs="Arial"/>
        </w:rPr>
        <w:t>requirement</w:t>
      </w:r>
      <w:r>
        <w:rPr>
          <w:rFonts w:eastAsiaTheme="minorEastAsia" w:cs="Arial"/>
        </w:rPr>
        <w:t xml:space="preserve"> will be split into two</w:t>
      </w:r>
      <w:r w:rsidR="004E2E38">
        <w:rPr>
          <w:rFonts w:eastAsiaTheme="minorEastAsia" w:cs="Arial"/>
        </w:rPr>
        <w:t xml:space="preserve"> elements</w:t>
      </w:r>
      <w:r>
        <w:rPr>
          <w:rFonts w:eastAsiaTheme="minorEastAsia" w:cs="Arial"/>
        </w:rPr>
        <w:t>:</w:t>
      </w:r>
    </w:p>
    <w:p w14:paraId="189E52DE" w14:textId="77777777" w:rsidR="00C313BF" w:rsidRDefault="00C313BF" w:rsidP="00C90640">
      <w:pPr>
        <w:jc w:val="both"/>
        <w:rPr>
          <w:rFonts w:eastAsiaTheme="minorEastAsia" w:cs="Arial"/>
        </w:rPr>
      </w:pPr>
    </w:p>
    <w:p w14:paraId="5F64B848" w14:textId="04CB6AB6" w:rsidR="00C56FDA" w:rsidRDefault="004E2E38" w:rsidP="00C90640">
      <w:pPr>
        <w:pStyle w:val="ListParagraph"/>
        <w:numPr>
          <w:ilvl w:val="0"/>
          <w:numId w:val="18"/>
        </w:numPr>
        <w:jc w:val="both"/>
        <w:rPr>
          <w:rFonts w:eastAsiaTheme="minorEastAsia" w:cs="Arial"/>
        </w:rPr>
      </w:pPr>
      <w:r>
        <w:rPr>
          <w:rFonts w:eastAsiaTheme="minorEastAsia" w:cs="Arial"/>
        </w:rPr>
        <w:t xml:space="preserve">Workshops </w:t>
      </w:r>
      <w:r w:rsidR="00100AC7">
        <w:rPr>
          <w:rFonts w:eastAsiaTheme="minorEastAsia" w:cs="Arial"/>
        </w:rPr>
        <w:t xml:space="preserve">(we anticipate three) </w:t>
      </w:r>
      <w:r>
        <w:rPr>
          <w:rFonts w:eastAsiaTheme="minorEastAsia" w:cs="Arial"/>
        </w:rPr>
        <w:t xml:space="preserve">to support the project team </w:t>
      </w:r>
      <w:r w:rsidR="00CE10E1">
        <w:rPr>
          <w:rFonts w:eastAsiaTheme="minorEastAsia" w:cs="Arial"/>
        </w:rPr>
        <w:t>with the development of their thinking and testing of ideas</w:t>
      </w:r>
    </w:p>
    <w:p w14:paraId="3922EA2B" w14:textId="325B34B5" w:rsidR="00A42BA8" w:rsidRPr="00C56FDA" w:rsidRDefault="00CE10E1" w:rsidP="00C90640">
      <w:pPr>
        <w:pStyle w:val="ListParagraph"/>
        <w:numPr>
          <w:ilvl w:val="0"/>
          <w:numId w:val="18"/>
        </w:numPr>
        <w:jc w:val="both"/>
        <w:rPr>
          <w:rFonts w:eastAsiaTheme="minorEastAsia" w:cs="Arial"/>
        </w:rPr>
      </w:pPr>
      <w:r>
        <w:rPr>
          <w:rFonts w:eastAsiaTheme="minorEastAsia" w:cs="Arial"/>
        </w:rPr>
        <w:t>Availability, either remotely or in meetings, for ad hoc advice on the direction of the review or on specific technical elements of Reward</w:t>
      </w:r>
    </w:p>
    <w:p w14:paraId="2475CD56" w14:textId="16D39DDA" w:rsidR="00F13AA0" w:rsidRPr="00EB090A" w:rsidRDefault="008C511D" w:rsidP="00C90640">
      <w:pPr>
        <w:jc w:val="both"/>
        <w:rPr>
          <w:rFonts w:eastAsiaTheme="minorEastAsia" w:cs="Arial"/>
        </w:rPr>
      </w:pPr>
      <w:r w:rsidRPr="00EB090A">
        <w:rPr>
          <w:rFonts w:eastAsiaTheme="minorEastAsia" w:cs="Arial"/>
        </w:rPr>
        <w:t xml:space="preserve">The </w:t>
      </w:r>
      <w:r w:rsidR="00545CA2">
        <w:rPr>
          <w:rFonts w:eastAsiaTheme="minorEastAsia" w:cs="Arial"/>
        </w:rPr>
        <w:t xml:space="preserve">main </w:t>
      </w:r>
      <w:r w:rsidRPr="00EB090A">
        <w:rPr>
          <w:rFonts w:eastAsiaTheme="minorEastAsia" w:cs="Arial"/>
        </w:rPr>
        <w:t xml:space="preserve">output of the </w:t>
      </w:r>
      <w:r w:rsidR="00CE10E1">
        <w:rPr>
          <w:rFonts w:eastAsiaTheme="minorEastAsia" w:cs="Arial"/>
        </w:rPr>
        <w:t xml:space="preserve">workshops </w:t>
      </w:r>
      <w:r w:rsidRPr="00EB090A">
        <w:rPr>
          <w:rFonts w:eastAsiaTheme="minorEastAsia" w:cs="Arial"/>
        </w:rPr>
        <w:t xml:space="preserve">will be </w:t>
      </w:r>
      <w:r w:rsidR="00CE10E1">
        <w:rPr>
          <w:rFonts w:eastAsiaTheme="minorEastAsia" w:cs="Arial"/>
        </w:rPr>
        <w:t>the development of a pay progression philosophy and associated implementation plan.  Also covered will be validation of approaches</w:t>
      </w:r>
      <w:r w:rsidR="00100AC7">
        <w:rPr>
          <w:rFonts w:eastAsiaTheme="minorEastAsia" w:cs="Arial"/>
        </w:rPr>
        <w:t xml:space="preserve"> to</w:t>
      </w:r>
      <w:r w:rsidR="00CE10E1">
        <w:rPr>
          <w:rFonts w:eastAsiaTheme="minorEastAsia" w:cs="Arial"/>
        </w:rPr>
        <w:t xml:space="preserve"> salary benchmarking</w:t>
      </w:r>
      <w:r w:rsidR="00100AC7">
        <w:rPr>
          <w:rFonts w:eastAsiaTheme="minorEastAsia" w:cs="Arial"/>
        </w:rPr>
        <w:t xml:space="preserve"> and</w:t>
      </w:r>
      <w:r w:rsidR="00CE10E1">
        <w:rPr>
          <w:rFonts w:eastAsiaTheme="minorEastAsia" w:cs="Arial"/>
        </w:rPr>
        <w:t xml:space="preserve"> bonus</w:t>
      </w:r>
      <w:r w:rsidR="00100AC7">
        <w:rPr>
          <w:rFonts w:eastAsiaTheme="minorEastAsia" w:cs="Arial"/>
        </w:rPr>
        <w:t>es, and support with the development of options for Recognition and benefits</w:t>
      </w:r>
      <w:r w:rsidR="005C1C42">
        <w:rPr>
          <w:rFonts w:eastAsiaTheme="minorEastAsia" w:cs="Arial"/>
        </w:rPr>
        <w:t>.</w:t>
      </w:r>
    </w:p>
    <w:p w14:paraId="67361847" w14:textId="35A8FD07" w:rsidR="00563D58" w:rsidRDefault="00563D58" w:rsidP="00C90640">
      <w:pPr>
        <w:jc w:val="both"/>
        <w:rPr>
          <w:rFonts w:eastAsiaTheme="minorEastAsia" w:cs="Arial"/>
          <w:highlight w:val="yellow"/>
        </w:rPr>
      </w:pPr>
    </w:p>
    <w:p w14:paraId="2EFFD2E8" w14:textId="51BCF4B3" w:rsidR="00502C8C" w:rsidRDefault="00502C8C" w:rsidP="00C90640">
      <w:pPr>
        <w:jc w:val="both"/>
        <w:rPr>
          <w:rFonts w:eastAsiaTheme="minorEastAsia" w:cs="Arial"/>
        </w:rPr>
      </w:pPr>
      <w:r w:rsidRPr="0014030D">
        <w:rPr>
          <w:rFonts w:eastAsiaTheme="minorEastAsia" w:cs="Arial"/>
        </w:rPr>
        <w:t xml:space="preserve">The </w:t>
      </w:r>
      <w:r w:rsidR="00100AC7">
        <w:rPr>
          <w:rFonts w:eastAsiaTheme="minorEastAsia" w:cs="Arial"/>
        </w:rPr>
        <w:t>workshops will include</w:t>
      </w:r>
      <w:r w:rsidR="008165BA" w:rsidRPr="0014030D">
        <w:rPr>
          <w:rFonts w:eastAsiaTheme="minorEastAsia" w:cs="Arial"/>
        </w:rPr>
        <w:t>:</w:t>
      </w:r>
    </w:p>
    <w:p w14:paraId="33F405B6" w14:textId="77777777" w:rsidR="00C313BF" w:rsidRPr="0014030D" w:rsidRDefault="00C313BF" w:rsidP="00C90640">
      <w:pPr>
        <w:jc w:val="both"/>
        <w:rPr>
          <w:rFonts w:eastAsiaTheme="minorEastAsia" w:cs="Arial"/>
        </w:rPr>
      </w:pPr>
    </w:p>
    <w:p w14:paraId="69214DED" w14:textId="39384A1E" w:rsidR="008165BA" w:rsidRPr="0014030D" w:rsidRDefault="00100AC7" w:rsidP="00C90640">
      <w:pPr>
        <w:pStyle w:val="ListParagraph"/>
        <w:numPr>
          <w:ilvl w:val="0"/>
          <w:numId w:val="19"/>
        </w:numPr>
        <w:jc w:val="both"/>
        <w:rPr>
          <w:rFonts w:eastAsiaTheme="minorEastAsia" w:cs="Arial"/>
        </w:rPr>
      </w:pPr>
      <w:r>
        <w:rPr>
          <w:rFonts w:eastAsiaTheme="minorEastAsia" w:cs="Arial"/>
        </w:rPr>
        <w:t>Discussion and a</w:t>
      </w:r>
      <w:r w:rsidR="00783D67" w:rsidRPr="0014030D">
        <w:rPr>
          <w:rFonts w:eastAsiaTheme="minorEastAsia" w:cs="Arial"/>
        </w:rPr>
        <w:t xml:space="preserve">nalysis </w:t>
      </w:r>
      <w:r>
        <w:rPr>
          <w:rFonts w:eastAsiaTheme="minorEastAsia" w:cs="Arial"/>
        </w:rPr>
        <w:t>of</w:t>
      </w:r>
      <w:r w:rsidR="008165BA" w:rsidRPr="0014030D">
        <w:rPr>
          <w:rFonts w:eastAsiaTheme="minorEastAsia" w:cs="Arial"/>
        </w:rPr>
        <w:t xml:space="preserve"> DE&amp;S</w:t>
      </w:r>
      <w:r>
        <w:rPr>
          <w:rFonts w:eastAsiaTheme="minorEastAsia" w:cs="Arial"/>
        </w:rPr>
        <w:t>' current approach to pay progression</w:t>
      </w:r>
      <w:r w:rsidR="008165BA" w:rsidRPr="0014030D">
        <w:rPr>
          <w:rFonts w:eastAsiaTheme="minorEastAsia" w:cs="Arial"/>
        </w:rPr>
        <w:t>;</w:t>
      </w:r>
    </w:p>
    <w:p w14:paraId="0E66FD23" w14:textId="64CD09DC" w:rsidR="008165BA" w:rsidRPr="0014030D" w:rsidRDefault="00B319DB" w:rsidP="00C90640">
      <w:pPr>
        <w:pStyle w:val="ListParagraph"/>
        <w:numPr>
          <w:ilvl w:val="0"/>
          <w:numId w:val="19"/>
        </w:numPr>
        <w:jc w:val="both"/>
        <w:rPr>
          <w:rFonts w:eastAsiaTheme="minorEastAsia" w:cs="Arial"/>
        </w:rPr>
      </w:pPr>
      <w:r w:rsidRPr="0014030D">
        <w:rPr>
          <w:rFonts w:eastAsiaTheme="minorEastAsia" w:cs="Arial"/>
        </w:rPr>
        <w:t xml:space="preserve">A </w:t>
      </w:r>
      <w:r w:rsidR="00100AC7">
        <w:rPr>
          <w:rFonts w:eastAsiaTheme="minorEastAsia" w:cs="Arial"/>
        </w:rPr>
        <w:t>review of alternative approaches to pay progression, based on the supplier's experience of the market</w:t>
      </w:r>
      <w:r w:rsidR="003E6D2E">
        <w:rPr>
          <w:rFonts w:eastAsiaTheme="minorEastAsia" w:cs="Arial"/>
        </w:rPr>
        <w:t xml:space="preserve">; </w:t>
      </w:r>
    </w:p>
    <w:p w14:paraId="3B994C04" w14:textId="5997C76C" w:rsidR="004E2CA1" w:rsidRPr="0014030D" w:rsidRDefault="00100AC7" w:rsidP="00C90640">
      <w:pPr>
        <w:pStyle w:val="ListParagraph"/>
        <w:numPr>
          <w:ilvl w:val="0"/>
          <w:numId w:val="19"/>
        </w:numPr>
        <w:jc w:val="both"/>
        <w:rPr>
          <w:rFonts w:eastAsiaTheme="minorEastAsia" w:cs="Arial"/>
        </w:rPr>
      </w:pPr>
      <w:r>
        <w:rPr>
          <w:rFonts w:eastAsiaTheme="minorEastAsia" w:cs="Arial"/>
        </w:rPr>
        <w:t>Identification of features, advantages and disadvantages of alternative approaches to pay progression;</w:t>
      </w:r>
    </w:p>
    <w:p w14:paraId="1BD8B2A9" w14:textId="1CFEEDE7" w:rsidR="004E2CA1" w:rsidRPr="0014030D" w:rsidRDefault="00100AC7" w:rsidP="00C90640">
      <w:pPr>
        <w:pStyle w:val="ListParagraph"/>
        <w:numPr>
          <w:ilvl w:val="0"/>
          <w:numId w:val="19"/>
        </w:numPr>
        <w:jc w:val="both"/>
        <w:rPr>
          <w:rFonts w:eastAsiaTheme="minorEastAsia" w:cs="Arial"/>
        </w:rPr>
      </w:pPr>
      <w:r>
        <w:rPr>
          <w:rFonts w:eastAsiaTheme="minorEastAsia" w:cs="Arial"/>
        </w:rPr>
        <w:t xml:space="preserve">Discussion and analysis of proposed approaches to salary benchmarking and </w:t>
      </w:r>
      <w:r w:rsidR="00EC15F4">
        <w:rPr>
          <w:rFonts w:eastAsiaTheme="minorEastAsia" w:cs="Arial"/>
        </w:rPr>
        <w:t>employee bonuses, aimed at validating current thinking, rather than identifying and developing options</w:t>
      </w:r>
      <w:r w:rsidR="00630A59" w:rsidRPr="0014030D">
        <w:rPr>
          <w:rFonts w:eastAsiaTheme="minorEastAsia" w:cs="Arial"/>
        </w:rPr>
        <w:t>;</w:t>
      </w:r>
    </w:p>
    <w:p w14:paraId="134B9496" w14:textId="1593FA22" w:rsidR="00F37FE8" w:rsidRDefault="00EC15F4" w:rsidP="00C90640">
      <w:pPr>
        <w:pStyle w:val="ListParagraph"/>
        <w:numPr>
          <w:ilvl w:val="0"/>
          <w:numId w:val="19"/>
        </w:numPr>
        <w:spacing w:after="0"/>
        <w:jc w:val="both"/>
        <w:rPr>
          <w:rFonts w:eastAsiaTheme="minorEastAsia" w:cs="Arial"/>
        </w:rPr>
      </w:pPr>
      <w:r>
        <w:rPr>
          <w:rFonts w:eastAsiaTheme="minorEastAsia" w:cs="Arial"/>
        </w:rPr>
        <w:t>Discussion and analysis of current trends in Recognition and employee benefits, with a view to developing options</w:t>
      </w:r>
      <w:r w:rsidR="0045264D" w:rsidRPr="0014030D">
        <w:rPr>
          <w:rFonts w:eastAsiaTheme="minorEastAsia" w:cs="Arial"/>
        </w:rPr>
        <w:t>.</w:t>
      </w:r>
    </w:p>
    <w:p w14:paraId="3EDD8768" w14:textId="564328FF" w:rsidR="00DF1274" w:rsidRDefault="00DF1274" w:rsidP="00C90640">
      <w:pPr>
        <w:jc w:val="both"/>
        <w:rPr>
          <w:rFonts w:eastAsiaTheme="minorEastAsia" w:cs="Arial"/>
        </w:rPr>
      </w:pPr>
    </w:p>
    <w:p w14:paraId="69889DF1" w14:textId="1DA15C68" w:rsidR="00100AC7" w:rsidRDefault="00EC15F4" w:rsidP="00C90640">
      <w:pPr>
        <w:jc w:val="both"/>
        <w:rPr>
          <w:rFonts w:eastAsiaTheme="minorEastAsia" w:cs="Arial"/>
        </w:rPr>
      </w:pPr>
      <w:r>
        <w:rPr>
          <w:rFonts w:eastAsiaTheme="minorEastAsia" w:cs="Arial"/>
        </w:rPr>
        <w:t>T</w:t>
      </w:r>
      <w:r w:rsidR="00100AC7" w:rsidRPr="0014030D">
        <w:rPr>
          <w:rFonts w:eastAsiaTheme="minorEastAsia" w:cs="Arial"/>
        </w:rPr>
        <w:t xml:space="preserve">his list is not exhaustive and could include </w:t>
      </w:r>
      <w:r>
        <w:rPr>
          <w:rFonts w:eastAsiaTheme="minorEastAsia" w:cs="Arial"/>
        </w:rPr>
        <w:t>additional issues or</w:t>
      </w:r>
      <w:r w:rsidR="00100AC7" w:rsidRPr="0014030D">
        <w:rPr>
          <w:rFonts w:eastAsiaTheme="minorEastAsia" w:cs="Arial"/>
        </w:rPr>
        <w:t xml:space="preserve"> analysis</w:t>
      </w:r>
      <w:r>
        <w:rPr>
          <w:rFonts w:eastAsiaTheme="minorEastAsia" w:cs="Arial"/>
        </w:rPr>
        <w:t>, depending on the direction of discussions.</w:t>
      </w:r>
    </w:p>
    <w:p w14:paraId="1748932F" w14:textId="77777777" w:rsidR="00100AC7" w:rsidRDefault="00100AC7" w:rsidP="00C90640">
      <w:pPr>
        <w:jc w:val="both"/>
        <w:rPr>
          <w:rFonts w:eastAsiaTheme="minorEastAsia" w:cs="Arial"/>
        </w:rPr>
      </w:pPr>
    </w:p>
    <w:p w14:paraId="5E8EC442" w14:textId="329182A2" w:rsidR="00C90640" w:rsidRDefault="00C90640" w:rsidP="00C90640">
      <w:pPr>
        <w:jc w:val="both"/>
        <w:rPr>
          <w:rFonts w:eastAsiaTheme="minorEastAsia" w:cs="Arial"/>
          <w:b/>
        </w:rPr>
      </w:pPr>
      <w:r>
        <w:rPr>
          <w:rFonts w:eastAsiaTheme="minorEastAsia" w:cs="Arial"/>
          <w:b/>
        </w:rPr>
        <w:t>3.  Deliverables</w:t>
      </w:r>
    </w:p>
    <w:p w14:paraId="260BF5F1" w14:textId="77777777" w:rsidR="00C90640" w:rsidRPr="00900CD5" w:rsidRDefault="00C90640" w:rsidP="00C90640">
      <w:pPr>
        <w:jc w:val="both"/>
        <w:rPr>
          <w:rFonts w:eastAsiaTheme="minorEastAsia" w:cs="Arial"/>
          <w:b/>
        </w:rPr>
      </w:pPr>
    </w:p>
    <w:p w14:paraId="33E6E07D" w14:textId="4CADDFE9" w:rsidR="00C90640" w:rsidRDefault="00C90640" w:rsidP="00C90640">
      <w:pPr>
        <w:jc w:val="both"/>
        <w:rPr>
          <w:rFonts w:eastAsiaTheme="minorEastAsia" w:cs="Arial"/>
        </w:rPr>
      </w:pPr>
      <w:r w:rsidRPr="00B12B7D">
        <w:rPr>
          <w:rFonts w:eastAsiaTheme="minorEastAsia" w:cs="Arial"/>
        </w:rPr>
        <w:t xml:space="preserve">The </w:t>
      </w:r>
      <w:r>
        <w:rPr>
          <w:rFonts w:eastAsiaTheme="minorEastAsia" w:cs="Arial"/>
        </w:rPr>
        <w:t xml:space="preserve">key deliverable will be the </w:t>
      </w:r>
      <w:r w:rsidR="00EC15F4">
        <w:rPr>
          <w:rFonts w:eastAsiaTheme="minorEastAsia" w:cs="Arial"/>
        </w:rPr>
        <w:t>workshops, which will be held according to the timetable agreed between the Authority and the supplier in the course of this proposal</w:t>
      </w:r>
      <w:r>
        <w:rPr>
          <w:rFonts w:eastAsiaTheme="minorEastAsia" w:cs="Arial"/>
        </w:rPr>
        <w:t>.</w:t>
      </w:r>
    </w:p>
    <w:p w14:paraId="3B3EEF41" w14:textId="77777777" w:rsidR="00C90640" w:rsidRDefault="00C90640" w:rsidP="00C90640">
      <w:pPr>
        <w:jc w:val="both"/>
        <w:rPr>
          <w:rFonts w:eastAsiaTheme="minorEastAsia" w:cs="Arial"/>
        </w:rPr>
      </w:pPr>
    </w:p>
    <w:p w14:paraId="786D7444" w14:textId="6175C3B0" w:rsidR="00C90640" w:rsidRDefault="00EC15F4" w:rsidP="00C90640">
      <w:pPr>
        <w:jc w:val="both"/>
        <w:rPr>
          <w:rFonts w:eastAsiaTheme="minorEastAsia" w:cs="Arial"/>
        </w:rPr>
      </w:pPr>
      <w:r>
        <w:rPr>
          <w:rFonts w:eastAsiaTheme="minorEastAsia" w:cs="Arial"/>
        </w:rPr>
        <w:t>The supplier will also be required to provide ad hoc advice and information relating to Reward market practice and trends</w:t>
      </w:r>
      <w:r w:rsidR="00C90640">
        <w:rPr>
          <w:rFonts w:eastAsiaTheme="minorEastAsia" w:cs="Arial"/>
        </w:rPr>
        <w:t>.</w:t>
      </w:r>
    </w:p>
    <w:p w14:paraId="3DA4600A" w14:textId="77777777" w:rsidR="008C6B61" w:rsidRDefault="008C6B61" w:rsidP="00C90640">
      <w:pPr>
        <w:jc w:val="both"/>
        <w:rPr>
          <w:rFonts w:eastAsiaTheme="minorEastAsia" w:cs="Arial"/>
        </w:rPr>
      </w:pPr>
    </w:p>
    <w:p w14:paraId="029D1081" w14:textId="77777777" w:rsidR="00C90640" w:rsidRDefault="00C90640" w:rsidP="00C90640">
      <w:pPr>
        <w:jc w:val="both"/>
        <w:rPr>
          <w:rFonts w:eastAsiaTheme="minorEastAsia" w:cs="Arial"/>
        </w:rPr>
      </w:pPr>
    </w:p>
    <w:p w14:paraId="34C379A8" w14:textId="7D9EEF0B" w:rsidR="0053073F" w:rsidRPr="0053073F" w:rsidRDefault="00C90640" w:rsidP="00C90640">
      <w:pPr>
        <w:jc w:val="both"/>
        <w:rPr>
          <w:rFonts w:eastAsiaTheme="minorEastAsia" w:cs="Arial"/>
          <w:b/>
        </w:rPr>
      </w:pPr>
      <w:r>
        <w:rPr>
          <w:rFonts w:eastAsiaTheme="minorEastAsia" w:cs="Arial"/>
          <w:b/>
        </w:rPr>
        <w:lastRenderedPageBreak/>
        <w:t>4</w:t>
      </w:r>
      <w:r w:rsidR="00AB7975">
        <w:rPr>
          <w:rFonts w:eastAsiaTheme="minorEastAsia" w:cs="Arial"/>
          <w:b/>
        </w:rPr>
        <w:t xml:space="preserve">.  </w:t>
      </w:r>
      <w:r w:rsidR="0053073F">
        <w:rPr>
          <w:rFonts w:eastAsiaTheme="minorEastAsia" w:cs="Arial"/>
          <w:b/>
        </w:rPr>
        <w:t>Government Furnished Information</w:t>
      </w:r>
    </w:p>
    <w:p w14:paraId="203BBC80" w14:textId="77777777" w:rsidR="0053073F" w:rsidRDefault="0053073F" w:rsidP="00C90640">
      <w:pPr>
        <w:jc w:val="both"/>
        <w:rPr>
          <w:rFonts w:eastAsiaTheme="minorEastAsia" w:cs="Arial"/>
        </w:rPr>
      </w:pPr>
    </w:p>
    <w:p w14:paraId="0952096D" w14:textId="72A46173" w:rsidR="00E96A87" w:rsidRDefault="0085481D" w:rsidP="00C90640">
      <w:pPr>
        <w:jc w:val="both"/>
        <w:rPr>
          <w:rFonts w:eastAsiaTheme="minorEastAsia" w:cs="Arial"/>
        </w:rPr>
      </w:pPr>
      <w:r>
        <w:rPr>
          <w:rFonts w:eastAsiaTheme="minorEastAsia" w:cs="Arial"/>
        </w:rPr>
        <w:t xml:space="preserve">The selected contractor will </w:t>
      </w:r>
      <w:r w:rsidR="00EC15F4">
        <w:rPr>
          <w:rFonts w:eastAsiaTheme="minorEastAsia" w:cs="Arial"/>
        </w:rPr>
        <w:t>host and facilitate workshops as outlined</w:t>
      </w:r>
      <w:r w:rsidR="00E4091C">
        <w:rPr>
          <w:rFonts w:eastAsiaTheme="minorEastAsia" w:cs="Arial"/>
        </w:rPr>
        <w:t>.</w:t>
      </w:r>
      <w:r w:rsidR="00CC4C6C">
        <w:rPr>
          <w:rFonts w:eastAsiaTheme="minorEastAsia" w:cs="Arial"/>
        </w:rPr>
        <w:t xml:space="preserve"> </w:t>
      </w:r>
      <w:r w:rsidR="00E96A87" w:rsidRPr="00B12B7D">
        <w:rPr>
          <w:rFonts w:eastAsiaTheme="minorEastAsia" w:cs="Arial"/>
        </w:rPr>
        <w:t xml:space="preserve">The Authority will provide </w:t>
      </w:r>
      <w:r w:rsidR="00EC15F4">
        <w:rPr>
          <w:rFonts w:eastAsiaTheme="minorEastAsia" w:cs="Arial"/>
        </w:rPr>
        <w:t>access to relevant staff and information, as agreed between the parties</w:t>
      </w:r>
      <w:r w:rsidR="00E96A87" w:rsidRPr="00B12B7D">
        <w:rPr>
          <w:rFonts w:eastAsiaTheme="minorEastAsia" w:cs="Arial"/>
        </w:rPr>
        <w:t>.</w:t>
      </w:r>
      <w:r w:rsidR="00E96A87">
        <w:rPr>
          <w:rFonts w:eastAsiaTheme="minorEastAsia" w:cs="Arial"/>
        </w:rPr>
        <w:t xml:space="preserve">  </w:t>
      </w:r>
      <w:r w:rsidR="00CC4C6C">
        <w:rPr>
          <w:rFonts w:eastAsiaTheme="minorEastAsia" w:cs="Arial"/>
        </w:rPr>
        <w:t>Access to information will be provided under the contract as Government Furnished Information.</w:t>
      </w:r>
      <w:r w:rsidR="00E96A87">
        <w:rPr>
          <w:rFonts w:eastAsiaTheme="minorEastAsia" w:cs="Arial"/>
        </w:rPr>
        <w:t xml:space="preserve">  </w:t>
      </w:r>
    </w:p>
    <w:p w14:paraId="5E53A558" w14:textId="49FB0C0A" w:rsidR="0053073F" w:rsidRDefault="0053073F" w:rsidP="00C90640">
      <w:pPr>
        <w:jc w:val="both"/>
        <w:rPr>
          <w:rFonts w:eastAsiaTheme="minorEastAsia" w:cs="Arial"/>
        </w:rPr>
      </w:pPr>
    </w:p>
    <w:p w14:paraId="3D72AA6C" w14:textId="661661F6" w:rsidR="00AD546A" w:rsidRPr="00AD546A" w:rsidRDefault="00C90640" w:rsidP="00C90640">
      <w:pPr>
        <w:jc w:val="both"/>
        <w:rPr>
          <w:rFonts w:eastAsiaTheme="minorEastAsia" w:cs="Arial"/>
          <w:b/>
        </w:rPr>
      </w:pPr>
      <w:r>
        <w:rPr>
          <w:rFonts w:eastAsiaTheme="minorEastAsia" w:cs="Arial"/>
          <w:b/>
        </w:rPr>
        <w:t>5</w:t>
      </w:r>
      <w:r w:rsidR="00AB7975">
        <w:rPr>
          <w:rFonts w:eastAsiaTheme="minorEastAsia" w:cs="Arial"/>
          <w:b/>
        </w:rPr>
        <w:t xml:space="preserve">.  </w:t>
      </w:r>
      <w:r w:rsidR="00AD546A">
        <w:rPr>
          <w:rFonts w:eastAsiaTheme="minorEastAsia" w:cs="Arial"/>
          <w:b/>
        </w:rPr>
        <w:t>Location of the work</w:t>
      </w:r>
    </w:p>
    <w:p w14:paraId="5FD5AD61" w14:textId="77777777" w:rsidR="0084496B" w:rsidRDefault="0084496B" w:rsidP="00C90640">
      <w:pPr>
        <w:jc w:val="both"/>
        <w:rPr>
          <w:rFonts w:eastAsiaTheme="minorEastAsia" w:cs="Arial"/>
        </w:rPr>
      </w:pPr>
    </w:p>
    <w:p w14:paraId="36A3497D" w14:textId="639D10AE" w:rsidR="00CC2700" w:rsidRDefault="00525E12" w:rsidP="00C90640">
      <w:pPr>
        <w:jc w:val="both"/>
        <w:rPr>
          <w:rFonts w:eastAsiaTheme="minorEastAsia" w:cs="Arial"/>
        </w:rPr>
      </w:pPr>
      <w:r w:rsidRPr="00F37FE8">
        <w:rPr>
          <w:rFonts w:eastAsiaTheme="minorEastAsia" w:cs="Arial"/>
        </w:rPr>
        <w:t xml:space="preserve">The </w:t>
      </w:r>
      <w:r w:rsidR="00F84470">
        <w:rPr>
          <w:rFonts w:eastAsiaTheme="minorEastAsia" w:cs="Arial"/>
        </w:rPr>
        <w:t xml:space="preserve">supplier should provide alternative proposals and costs for the workshops to be held </w:t>
      </w:r>
      <w:r w:rsidRPr="00F37FE8">
        <w:rPr>
          <w:rFonts w:eastAsiaTheme="minorEastAsia" w:cs="Arial"/>
        </w:rPr>
        <w:t xml:space="preserve">at the DE&amp;S Bristol </w:t>
      </w:r>
      <w:r w:rsidR="00083BEC">
        <w:rPr>
          <w:rFonts w:eastAsiaTheme="minorEastAsia" w:cs="Arial"/>
        </w:rPr>
        <w:t>site</w:t>
      </w:r>
      <w:r w:rsidR="00082BB2">
        <w:rPr>
          <w:rFonts w:eastAsiaTheme="minorEastAsia" w:cs="Arial"/>
        </w:rPr>
        <w:t xml:space="preserve"> </w:t>
      </w:r>
      <w:r w:rsidR="00F84470">
        <w:rPr>
          <w:rFonts w:eastAsiaTheme="minorEastAsia" w:cs="Arial"/>
        </w:rPr>
        <w:t>and at the supplier's premises</w:t>
      </w:r>
      <w:r w:rsidR="00CC4C6C">
        <w:rPr>
          <w:rFonts w:eastAsiaTheme="minorEastAsia" w:cs="Arial"/>
        </w:rPr>
        <w:t xml:space="preserve">. </w:t>
      </w:r>
      <w:r w:rsidRPr="00F37FE8">
        <w:rPr>
          <w:rFonts w:eastAsiaTheme="minorEastAsia" w:cs="Arial"/>
        </w:rPr>
        <w:t xml:space="preserve"> </w:t>
      </w:r>
      <w:proofErr w:type="gramStart"/>
      <w:r w:rsidR="00900CD5">
        <w:rPr>
          <w:rFonts w:eastAsiaTheme="minorEastAsia" w:cs="Arial"/>
        </w:rPr>
        <w:t>Preparation</w:t>
      </w:r>
      <w:r w:rsidR="00F84470">
        <w:rPr>
          <w:rFonts w:eastAsiaTheme="minorEastAsia" w:cs="Arial"/>
        </w:rPr>
        <w:t>,</w:t>
      </w:r>
      <w:proofErr w:type="gramEnd"/>
      <w:r w:rsidR="00F84470">
        <w:rPr>
          <w:rFonts w:eastAsiaTheme="minorEastAsia" w:cs="Arial"/>
        </w:rPr>
        <w:t xml:space="preserve"> follow up and any ad hoc advice are likely to</w:t>
      </w:r>
      <w:r w:rsidR="00900CD5">
        <w:rPr>
          <w:rFonts w:eastAsiaTheme="minorEastAsia" w:cs="Arial"/>
        </w:rPr>
        <w:t xml:space="preserve"> be undertaken remotely and not need to be carried out on DE&amp;S premises.</w:t>
      </w:r>
    </w:p>
    <w:p w14:paraId="3F32E848" w14:textId="77777777" w:rsidR="0053073F" w:rsidRDefault="0053073F" w:rsidP="00C90640">
      <w:pPr>
        <w:jc w:val="both"/>
        <w:rPr>
          <w:rFonts w:eastAsiaTheme="minorEastAsia" w:cs="Arial"/>
        </w:rPr>
      </w:pPr>
    </w:p>
    <w:p w14:paraId="07C3983B" w14:textId="6BFE6A15" w:rsidR="00900CD5" w:rsidRPr="00900CD5" w:rsidRDefault="00C90640" w:rsidP="00C90640">
      <w:pPr>
        <w:pStyle w:val="ListParagraph"/>
        <w:ind w:left="0"/>
        <w:jc w:val="both"/>
        <w:rPr>
          <w:rFonts w:eastAsiaTheme="minorEastAsia" w:cs="Arial"/>
          <w:b/>
        </w:rPr>
      </w:pPr>
      <w:r>
        <w:rPr>
          <w:rFonts w:eastAsiaTheme="minorEastAsia" w:cs="Arial"/>
          <w:b/>
        </w:rPr>
        <w:t>6</w:t>
      </w:r>
      <w:r w:rsidR="00AB7975">
        <w:rPr>
          <w:rFonts w:eastAsiaTheme="minorEastAsia" w:cs="Arial"/>
          <w:b/>
        </w:rPr>
        <w:t xml:space="preserve">.  </w:t>
      </w:r>
      <w:r w:rsidR="00900CD5">
        <w:rPr>
          <w:rFonts w:eastAsiaTheme="minorEastAsia" w:cs="Arial"/>
          <w:b/>
        </w:rPr>
        <w:t>Key considerations</w:t>
      </w:r>
    </w:p>
    <w:p w14:paraId="09CB1308" w14:textId="2A72D13F" w:rsidR="00900CD5" w:rsidRDefault="00900CD5" w:rsidP="00C90640">
      <w:pPr>
        <w:pStyle w:val="ListParagraph"/>
        <w:ind w:left="0"/>
        <w:jc w:val="both"/>
        <w:rPr>
          <w:rFonts w:eastAsiaTheme="minorEastAsia" w:cs="Arial"/>
        </w:rPr>
      </w:pPr>
    </w:p>
    <w:p w14:paraId="33395310" w14:textId="358915BA" w:rsidR="004E66D4" w:rsidRDefault="00B87BAB" w:rsidP="00C90640">
      <w:pPr>
        <w:pStyle w:val="ListParagraph"/>
        <w:ind w:left="0"/>
        <w:jc w:val="both"/>
        <w:rPr>
          <w:rFonts w:eastAsiaTheme="minorEastAsia" w:cs="Arial"/>
        </w:rPr>
      </w:pPr>
      <w:r>
        <w:rPr>
          <w:rFonts w:eastAsiaTheme="minorEastAsia" w:cs="Arial"/>
        </w:rPr>
        <w:t xml:space="preserve">The following </w:t>
      </w:r>
      <w:r w:rsidR="00FF2EAA">
        <w:rPr>
          <w:rFonts w:eastAsiaTheme="minorEastAsia" w:cs="Arial"/>
        </w:rPr>
        <w:t xml:space="preserve">are key considerations </w:t>
      </w:r>
      <w:r w:rsidR="004E66D4">
        <w:rPr>
          <w:rFonts w:eastAsiaTheme="minorEastAsia" w:cs="Arial"/>
        </w:rPr>
        <w:t>for suppliers wishing to bid for this work:</w:t>
      </w:r>
    </w:p>
    <w:p w14:paraId="6713553D" w14:textId="77777777" w:rsidR="00083BEC" w:rsidRDefault="00083BEC" w:rsidP="00C90640">
      <w:pPr>
        <w:pStyle w:val="ListParagraph"/>
        <w:ind w:left="0"/>
        <w:jc w:val="both"/>
        <w:rPr>
          <w:rFonts w:eastAsiaTheme="minorEastAsia" w:cs="Arial"/>
        </w:rPr>
      </w:pPr>
    </w:p>
    <w:p w14:paraId="6014399F" w14:textId="562283DC" w:rsidR="00525E12" w:rsidRDefault="004E66D4" w:rsidP="00C90640">
      <w:pPr>
        <w:pStyle w:val="ListParagraph"/>
        <w:numPr>
          <w:ilvl w:val="0"/>
          <w:numId w:val="23"/>
        </w:numPr>
        <w:jc w:val="both"/>
        <w:rPr>
          <w:rFonts w:eastAsiaTheme="minorEastAsia" w:cs="Arial"/>
        </w:rPr>
      </w:pPr>
      <w:r>
        <w:rPr>
          <w:rFonts w:eastAsiaTheme="minorEastAsia" w:cs="Arial"/>
        </w:rPr>
        <w:t>D</w:t>
      </w:r>
      <w:r w:rsidR="00525E12" w:rsidRPr="00CC2700">
        <w:rPr>
          <w:rFonts w:eastAsiaTheme="minorEastAsia" w:cs="Arial"/>
        </w:rPr>
        <w:t xml:space="preserve">E&amp;S will retain all intellectual property </w:t>
      </w:r>
      <w:r>
        <w:rPr>
          <w:rFonts w:eastAsiaTheme="minorEastAsia" w:cs="Arial"/>
        </w:rPr>
        <w:t xml:space="preserve">rights </w:t>
      </w:r>
      <w:r w:rsidR="00525E12" w:rsidRPr="00CC2700">
        <w:rPr>
          <w:rFonts w:eastAsiaTheme="minorEastAsia" w:cs="Arial"/>
        </w:rPr>
        <w:t>for any material developed during any aspect of the task</w:t>
      </w:r>
      <w:r w:rsidR="00083BEC">
        <w:rPr>
          <w:rFonts w:eastAsiaTheme="minorEastAsia" w:cs="Arial"/>
        </w:rPr>
        <w:t>;</w:t>
      </w:r>
    </w:p>
    <w:p w14:paraId="50AFA1DF" w14:textId="09C42C67" w:rsidR="00525E12" w:rsidRPr="00525E12" w:rsidRDefault="00525E12" w:rsidP="00C9064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525E12">
        <w:rPr>
          <w:rFonts w:eastAsiaTheme="minorEastAsia" w:cs="Arial"/>
        </w:rPr>
        <w:t xml:space="preserve">Employees of the supplier may be required to hold Security Clearance </w:t>
      </w:r>
      <w:r w:rsidR="00B92F8F">
        <w:rPr>
          <w:rFonts w:eastAsiaTheme="minorEastAsia" w:cs="Arial"/>
        </w:rPr>
        <w:t xml:space="preserve">to be granted access </w:t>
      </w:r>
      <w:r w:rsidRPr="00525E12">
        <w:rPr>
          <w:rFonts w:eastAsiaTheme="minorEastAsia" w:cs="Arial"/>
        </w:rPr>
        <w:t>to sensitive material. Tender responses should include details of any Security Clearance for staff already held</w:t>
      </w:r>
      <w:r w:rsidR="00B92F8F">
        <w:rPr>
          <w:rFonts w:eastAsiaTheme="minorEastAsia" w:cs="Arial"/>
        </w:rPr>
        <w:t xml:space="preserve">, as well as details of </w:t>
      </w:r>
      <w:r w:rsidRPr="00525E12">
        <w:rPr>
          <w:rFonts w:eastAsiaTheme="minorEastAsia" w:cs="Arial"/>
        </w:rPr>
        <w:t>how obtaining future Security Clearance will be managed</w:t>
      </w:r>
      <w:r w:rsidR="000B3780">
        <w:rPr>
          <w:rFonts w:eastAsiaTheme="minorEastAsia" w:cs="Arial"/>
        </w:rPr>
        <w:t>;</w:t>
      </w:r>
    </w:p>
    <w:p w14:paraId="7DE7BBA9" w14:textId="7F684B33" w:rsidR="00B12B7D" w:rsidRPr="00B12B7D" w:rsidRDefault="000B3780" w:rsidP="00C9064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>
        <w:rPr>
          <w:rFonts w:eastAsiaTheme="minorEastAsia" w:cs="Arial"/>
        </w:rPr>
        <w:t xml:space="preserve">The Proposal </w:t>
      </w:r>
      <w:r w:rsidR="00525E12" w:rsidRPr="00525E12">
        <w:rPr>
          <w:rFonts w:eastAsiaTheme="minorEastAsia" w:cs="Arial"/>
        </w:rPr>
        <w:t>will need to be aligned with DE&amp;S business strategy, with DE&amp;S language and corporate branding</w:t>
      </w:r>
      <w:r w:rsidR="003C714F">
        <w:rPr>
          <w:rFonts w:eastAsiaTheme="minorEastAsia" w:cs="Arial"/>
        </w:rPr>
        <w:t>.</w:t>
      </w:r>
      <w:r w:rsidR="00525E12" w:rsidRPr="00525E12">
        <w:rPr>
          <w:rFonts w:eastAsiaTheme="minorEastAsia" w:cs="Arial"/>
        </w:rPr>
        <w:t xml:space="preserve"> </w:t>
      </w:r>
    </w:p>
    <w:p w14:paraId="3E174E70" w14:textId="77777777" w:rsidR="00B12B7D" w:rsidRDefault="00B12B7D" w:rsidP="00C90640">
      <w:pPr>
        <w:jc w:val="both"/>
        <w:rPr>
          <w:rFonts w:eastAsiaTheme="minorEastAsia" w:cs="Arial"/>
        </w:rPr>
      </w:pPr>
    </w:p>
    <w:p w14:paraId="3EF3A52A" w14:textId="35A3127A" w:rsidR="00B12B7D" w:rsidRPr="002949E3" w:rsidRDefault="00C90640" w:rsidP="00C90640">
      <w:pPr>
        <w:jc w:val="both"/>
        <w:rPr>
          <w:rFonts w:eastAsiaTheme="minorEastAsia" w:cs="Arial"/>
          <w:b/>
        </w:rPr>
      </w:pPr>
      <w:r>
        <w:rPr>
          <w:rFonts w:eastAsiaTheme="minorEastAsia" w:cs="Arial"/>
          <w:b/>
        </w:rPr>
        <w:t xml:space="preserve">7.  </w:t>
      </w:r>
      <w:r w:rsidR="002949E3">
        <w:rPr>
          <w:rFonts w:eastAsiaTheme="minorEastAsia" w:cs="Arial"/>
          <w:b/>
        </w:rPr>
        <w:t>Price</w:t>
      </w:r>
    </w:p>
    <w:p w14:paraId="31C30D34" w14:textId="77777777" w:rsidR="00B12B7D" w:rsidRDefault="00B12B7D" w:rsidP="00C90640">
      <w:pPr>
        <w:jc w:val="both"/>
        <w:rPr>
          <w:rFonts w:eastAsiaTheme="minorEastAsia" w:cs="Arial"/>
        </w:rPr>
      </w:pPr>
    </w:p>
    <w:p w14:paraId="0D09DDAE" w14:textId="21478E86" w:rsidR="005543AE" w:rsidRDefault="00525E12" w:rsidP="00C90640">
      <w:pPr>
        <w:jc w:val="both"/>
        <w:rPr>
          <w:rFonts w:eastAsiaTheme="minorEastAsia" w:cs="Arial"/>
        </w:rPr>
      </w:pPr>
      <w:r w:rsidRPr="000C720E">
        <w:rPr>
          <w:rFonts w:eastAsiaTheme="minorEastAsia" w:cs="Arial"/>
        </w:rPr>
        <w:t xml:space="preserve">A </w:t>
      </w:r>
      <w:r w:rsidR="002949E3">
        <w:rPr>
          <w:rFonts w:eastAsiaTheme="minorEastAsia" w:cs="Arial"/>
        </w:rPr>
        <w:t xml:space="preserve">firm price should be provided for </w:t>
      </w:r>
      <w:r w:rsidR="006D6C14">
        <w:rPr>
          <w:rFonts w:eastAsiaTheme="minorEastAsia" w:cs="Arial"/>
        </w:rPr>
        <w:t>workshops to be held at DE&amp;S and at the supplier's premises, as well as for ad hoc advice.  All prices should be</w:t>
      </w:r>
      <w:r w:rsidR="00EC7BDF">
        <w:rPr>
          <w:rFonts w:eastAsiaTheme="minorEastAsia" w:cs="Arial"/>
        </w:rPr>
        <w:t xml:space="preserve"> inclusive of all overheads and travel and subsistence costs </w:t>
      </w:r>
      <w:r w:rsidR="00AB7975">
        <w:rPr>
          <w:rFonts w:eastAsiaTheme="minorEastAsia" w:cs="Arial"/>
        </w:rPr>
        <w:t xml:space="preserve">involved in </w:t>
      </w:r>
      <w:r w:rsidR="00EC7BDF">
        <w:rPr>
          <w:rFonts w:eastAsiaTheme="minorEastAsia" w:cs="Arial"/>
        </w:rPr>
        <w:t>complet</w:t>
      </w:r>
      <w:r w:rsidR="00AB7975">
        <w:rPr>
          <w:rFonts w:eastAsiaTheme="minorEastAsia" w:cs="Arial"/>
        </w:rPr>
        <w:t>ing</w:t>
      </w:r>
      <w:r w:rsidR="00EC7BDF">
        <w:rPr>
          <w:rFonts w:eastAsiaTheme="minorEastAsia" w:cs="Arial"/>
        </w:rPr>
        <w:t xml:space="preserve"> the task.</w:t>
      </w:r>
      <w:r w:rsidR="00A81C1E">
        <w:rPr>
          <w:rFonts w:eastAsiaTheme="minorEastAsia" w:cs="Arial"/>
        </w:rPr>
        <w:t xml:space="preserve"> </w:t>
      </w:r>
      <w:r w:rsidR="006D6C14">
        <w:rPr>
          <w:rFonts w:eastAsiaTheme="minorEastAsia" w:cs="Arial"/>
        </w:rPr>
        <w:t xml:space="preserve"> I</w:t>
      </w:r>
      <w:r w:rsidR="00A81C1E">
        <w:rPr>
          <w:rFonts w:eastAsiaTheme="minorEastAsia" w:cs="Arial"/>
        </w:rPr>
        <w:t>nvoice</w:t>
      </w:r>
      <w:r w:rsidR="006D6C14">
        <w:rPr>
          <w:rFonts w:eastAsiaTheme="minorEastAsia" w:cs="Arial"/>
        </w:rPr>
        <w:t>s</w:t>
      </w:r>
      <w:r w:rsidR="00A81C1E">
        <w:rPr>
          <w:rFonts w:eastAsiaTheme="minorEastAsia" w:cs="Arial"/>
        </w:rPr>
        <w:t xml:space="preserve"> can be submitted upon completion of </w:t>
      </w:r>
      <w:r w:rsidR="006D6C14">
        <w:rPr>
          <w:rFonts w:eastAsiaTheme="minorEastAsia" w:cs="Arial"/>
        </w:rPr>
        <w:t>each</w:t>
      </w:r>
      <w:r w:rsidR="00A81C1E">
        <w:rPr>
          <w:rFonts w:eastAsiaTheme="minorEastAsia" w:cs="Arial"/>
        </w:rPr>
        <w:t xml:space="preserve"> task, </w:t>
      </w:r>
      <w:r w:rsidR="005543AE">
        <w:rPr>
          <w:rFonts w:eastAsiaTheme="minorEastAsia" w:cs="Arial"/>
        </w:rPr>
        <w:t xml:space="preserve">with payment being made through the </w:t>
      </w:r>
      <w:r w:rsidRPr="00B12B7D">
        <w:rPr>
          <w:rFonts w:eastAsiaTheme="minorEastAsia" w:cs="Arial"/>
        </w:rPr>
        <w:t>DE&amp;S’ CP&amp;F system</w:t>
      </w:r>
      <w:r w:rsidR="005543AE">
        <w:rPr>
          <w:rFonts w:eastAsiaTheme="minorEastAsia" w:cs="Arial"/>
        </w:rPr>
        <w:t>. The supplier will be required to register to use the Exostar system to enable payment to be made.</w:t>
      </w:r>
    </w:p>
    <w:p w14:paraId="24A200EB" w14:textId="77777777" w:rsidR="005543AE" w:rsidRDefault="005543AE" w:rsidP="00B12B7D"/>
    <w:p w14:paraId="0036B240" w14:textId="77777777" w:rsidR="00B12B7D" w:rsidRDefault="00B12B7D" w:rsidP="00B12B7D">
      <w:pPr>
        <w:spacing w:after="240"/>
        <w:rPr>
          <w:rFonts w:ascii="Arial" w:eastAsiaTheme="minorEastAsia" w:hAnsi="Arial" w:cs="Arial"/>
        </w:rPr>
      </w:pPr>
    </w:p>
    <w:p w14:paraId="4D60F686" w14:textId="77777777" w:rsidR="00B12B7D" w:rsidRDefault="00B12B7D" w:rsidP="00525E12"/>
    <w:sectPr w:rsidR="00B12B7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CC38F" w14:textId="77777777" w:rsidR="008403A7" w:rsidRDefault="008403A7" w:rsidP="00561B93">
      <w:r>
        <w:separator/>
      </w:r>
    </w:p>
  </w:endnote>
  <w:endnote w:type="continuationSeparator" w:id="0">
    <w:p w14:paraId="2C818C00" w14:textId="77777777" w:rsidR="008403A7" w:rsidRDefault="008403A7" w:rsidP="0056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EA48F" w14:textId="77777777" w:rsidR="00561B93" w:rsidRDefault="00561B93" w:rsidP="00561B93">
    <w:pPr>
      <w:pStyle w:val="Header"/>
      <w:jc w:val="center"/>
    </w:pPr>
    <w: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655B3" w14:textId="77777777" w:rsidR="008403A7" w:rsidRDefault="008403A7" w:rsidP="00561B93">
      <w:r>
        <w:separator/>
      </w:r>
    </w:p>
  </w:footnote>
  <w:footnote w:type="continuationSeparator" w:id="0">
    <w:p w14:paraId="02EB97DC" w14:textId="77777777" w:rsidR="008403A7" w:rsidRDefault="008403A7" w:rsidP="0056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A4486" w14:textId="4E57571D" w:rsidR="00561B93" w:rsidRDefault="00561B93" w:rsidP="00561B93">
    <w:pPr>
      <w:pStyle w:val="Header"/>
      <w:jc w:val="center"/>
    </w:pPr>
    <w: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F6"/>
    <w:multiLevelType w:val="hybridMultilevel"/>
    <w:tmpl w:val="58D2C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48B6"/>
    <w:multiLevelType w:val="hybridMultilevel"/>
    <w:tmpl w:val="7800F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6A0E"/>
    <w:multiLevelType w:val="hybridMultilevel"/>
    <w:tmpl w:val="E38E7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5A24"/>
    <w:multiLevelType w:val="hybridMultilevel"/>
    <w:tmpl w:val="A47E2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26837"/>
    <w:multiLevelType w:val="hybridMultilevel"/>
    <w:tmpl w:val="B0509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63C1C"/>
    <w:multiLevelType w:val="hybridMultilevel"/>
    <w:tmpl w:val="1EAAB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49DB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A0A3E"/>
    <w:multiLevelType w:val="hybridMultilevel"/>
    <w:tmpl w:val="29784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01919"/>
    <w:multiLevelType w:val="hybridMultilevel"/>
    <w:tmpl w:val="16345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E0151"/>
    <w:multiLevelType w:val="hybridMultilevel"/>
    <w:tmpl w:val="6F244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631E5"/>
    <w:multiLevelType w:val="hybridMultilevel"/>
    <w:tmpl w:val="C42EAAAC"/>
    <w:lvl w:ilvl="0" w:tplc="102A7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085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01A4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24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A5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184E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86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0A1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0C5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326CC"/>
    <w:multiLevelType w:val="hybridMultilevel"/>
    <w:tmpl w:val="0DFA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4053C"/>
    <w:multiLevelType w:val="hybridMultilevel"/>
    <w:tmpl w:val="94EA69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B64237"/>
    <w:multiLevelType w:val="hybridMultilevel"/>
    <w:tmpl w:val="EE560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654BF"/>
    <w:multiLevelType w:val="hybridMultilevel"/>
    <w:tmpl w:val="F88252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677117"/>
    <w:multiLevelType w:val="hybridMultilevel"/>
    <w:tmpl w:val="78C6A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B070E"/>
    <w:multiLevelType w:val="hybridMultilevel"/>
    <w:tmpl w:val="0BD8AD32"/>
    <w:lvl w:ilvl="0" w:tplc="DF7C46F8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1E4624"/>
    <w:multiLevelType w:val="hybridMultilevel"/>
    <w:tmpl w:val="40C2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5617F"/>
    <w:multiLevelType w:val="hybridMultilevel"/>
    <w:tmpl w:val="1598A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04903"/>
    <w:multiLevelType w:val="hybridMultilevel"/>
    <w:tmpl w:val="755CC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A5FBA"/>
    <w:multiLevelType w:val="hybridMultilevel"/>
    <w:tmpl w:val="39062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14AA6"/>
    <w:multiLevelType w:val="hybridMultilevel"/>
    <w:tmpl w:val="878A2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9A1E99"/>
    <w:multiLevelType w:val="hybridMultilevel"/>
    <w:tmpl w:val="2154E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3"/>
  </w:num>
  <w:num w:numId="11">
    <w:abstractNumId w:val="1"/>
  </w:num>
  <w:num w:numId="12">
    <w:abstractNumId w:val="20"/>
  </w:num>
  <w:num w:numId="13">
    <w:abstractNumId w:val="18"/>
  </w:num>
  <w:num w:numId="14">
    <w:abstractNumId w:val="14"/>
  </w:num>
  <w:num w:numId="15">
    <w:abstractNumId w:val="6"/>
  </w:num>
  <w:num w:numId="16">
    <w:abstractNumId w:val="16"/>
  </w:num>
  <w:num w:numId="17">
    <w:abstractNumId w:val="2"/>
  </w:num>
  <w:num w:numId="18">
    <w:abstractNumId w:val="8"/>
  </w:num>
  <w:num w:numId="19">
    <w:abstractNumId w:val="12"/>
  </w:num>
  <w:num w:numId="20">
    <w:abstractNumId w:val="19"/>
  </w:num>
  <w:num w:numId="21">
    <w:abstractNumId w:val="17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EB"/>
    <w:rsid w:val="00016BAE"/>
    <w:rsid w:val="00082BB2"/>
    <w:rsid w:val="00083BEC"/>
    <w:rsid w:val="00097415"/>
    <w:rsid w:val="000A56E5"/>
    <w:rsid w:val="000B3780"/>
    <w:rsid w:val="000C720E"/>
    <w:rsid w:val="000E25FB"/>
    <w:rsid w:val="000F5D7B"/>
    <w:rsid w:val="00100AC7"/>
    <w:rsid w:val="00101293"/>
    <w:rsid w:val="00105A63"/>
    <w:rsid w:val="0010740D"/>
    <w:rsid w:val="00120459"/>
    <w:rsid w:val="00122533"/>
    <w:rsid w:val="0014030D"/>
    <w:rsid w:val="00145B55"/>
    <w:rsid w:val="00153B5E"/>
    <w:rsid w:val="00163E37"/>
    <w:rsid w:val="00173E65"/>
    <w:rsid w:val="00191AA6"/>
    <w:rsid w:val="001B0A99"/>
    <w:rsid w:val="001C2812"/>
    <w:rsid w:val="00205E87"/>
    <w:rsid w:val="00214C53"/>
    <w:rsid w:val="00216CD2"/>
    <w:rsid w:val="00251404"/>
    <w:rsid w:val="002541D0"/>
    <w:rsid w:val="00276288"/>
    <w:rsid w:val="00285F06"/>
    <w:rsid w:val="0029191D"/>
    <w:rsid w:val="002949E3"/>
    <w:rsid w:val="002A0E89"/>
    <w:rsid w:val="002F0476"/>
    <w:rsid w:val="0035523D"/>
    <w:rsid w:val="00365F62"/>
    <w:rsid w:val="00374C24"/>
    <w:rsid w:val="003C714F"/>
    <w:rsid w:val="003E6D2E"/>
    <w:rsid w:val="003F26BA"/>
    <w:rsid w:val="004030A2"/>
    <w:rsid w:val="004153EB"/>
    <w:rsid w:val="00431C0E"/>
    <w:rsid w:val="004324AA"/>
    <w:rsid w:val="0044481C"/>
    <w:rsid w:val="0045264D"/>
    <w:rsid w:val="00462BE9"/>
    <w:rsid w:val="004A724A"/>
    <w:rsid w:val="004C0549"/>
    <w:rsid w:val="004C1827"/>
    <w:rsid w:val="004D1731"/>
    <w:rsid w:val="004D4B50"/>
    <w:rsid w:val="004E144F"/>
    <w:rsid w:val="004E2CA1"/>
    <w:rsid w:val="004E2E38"/>
    <w:rsid w:val="004E66D4"/>
    <w:rsid w:val="004F025B"/>
    <w:rsid w:val="004F1C38"/>
    <w:rsid w:val="0050015E"/>
    <w:rsid w:val="00502C8C"/>
    <w:rsid w:val="00511DFC"/>
    <w:rsid w:val="00524A78"/>
    <w:rsid w:val="00525E12"/>
    <w:rsid w:val="0053073F"/>
    <w:rsid w:val="00545CA2"/>
    <w:rsid w:val="00550024"/>
    <w:rsid w:val="005543AE"/>
    <w:rsid w:val="00561B93"/>
    <w:rsid w:val="00563D58"/>
    <w:rsid w:val="005657EC"/>
    <w:rsid w:val="00580787"/>
    <w:rsid w:val="005827A8"/>
    <w:rsid w:val="00592487"/>
    <w:rsid w:val="005B28AE"/>
    <w:rsid w:val="005B3534"/>
    <w:rsid w:val="005C1C42"/>
    <w:rsid w:val="005E157C"/>
    <w:rsid w:val="00600141"/>
    <w:rsid w:val="00617930"/>
    <w:rsid w:val="00630A59"/>
    <w:rsid w:val="00632ACE"/>
    <w:rsid w:val="00663660"/>
    <w:rsid w:val="006730CC"/>
    <w:rsid w:val="00690FB7"/>
    <w:rsid w:val="00695CD9"/>
    <w:rsid w:val="006C03DF"/>
    <w:rsid w:val="006C0890"/>
    <w:rsid w:val="006C6150"/>
    <w:rsid w:val="006D3DB6"/>
    <w:rsid w:val="006D6C14"/>
    <w:rsid w:val="006F2B72"/>
    <w:rsid w:val="00716CD5"/>
    <w:rsid w:val="00741209"/>
    <w:rsid w:val="00767594"/>
    <w:rsid w:val="00783D67"/>
    <w:rsid w:val="0079123B"/>
    <w:rsid w:val="008165BA"/>
    <w:rsid w:val="00835302"/>
    <w:rsid w:val="008403A7"/>
    <w:rsid w:val="0084496B"/>
    <w:rsid w:val="00851E78"/>
    <w:rsid w:val="0085481D"/>
    <w:rsid w:val="0086209B"/>
    <w:rsid w:val="008C511D"/>
    <w:rsid w:val="008C6B61"/>
    <w:rsid w:val="008E2591"/>
    <w:rsid w:val="008E3C16"/>
    <w:rsid w:val="00900CD5"/>
    <w:rsid w:val="00946AD3"/>
    <w:rsid w:val="009616ED"/>
    <w:rsid w:val="009C05BC"/>
    <w:rsid w:val="009D6D0E"/>
    <w:rsid w:val="009F62B8"/>
    <w:rsid w:val="00A242CE"/>
    <w:rsid w:val="00A3004A"/>
    <w:rsid w:val="00A42BA8"/>
    <w:rsid w:val="00A50802"/>
    <w:rsid w:val="00A74BE8"/>
    <w:rsid w:val="00A81C1E"/>
    <w:rsid w:val="00A932AD"/>
    <w:rsid w:val="00AA019F"/>
    <w:rsid w:val="00AB641D"/>
    <w:rsid w:val="00AB7975"/>
    <w:rsid w:val="00AD0236"/>
    <w:rsid w:val="00AD546A"/>
    <w:rsid w:val="00B12B7D"/>
    <w:rsid w:val="00B319DB"/>
    <w:rsid w:val="00B87BAB"/>
    <w:rsid w:val="00B92F8F"/>
    <w:rsid w:val="00BA6A27"/>
    <w:rsid w:val="00BD5B50"/>
    <w:rsid w:val="00BD75AE"/>
    <w:rsid w:val="00C00FC2"/>
    <w:rsid w:val="00C01932"/>
    <w:rsid w:val="00C032BD"/>
    <w:rsid w:val="00C20C83"/>
    <w:rsid w:val="00C313BF"/>
    <w:rsid w:val="00C347D2"/>
    <w:rsid w:val="00C542FE"/>
    <w:rsid w:val="00C56FDA"/>
    <w:rsid w:val="00C90640"/>
    <w:rsid w:val="00C90C8C"/>
    <w:rsid w:val="00C94606"/>
    <w:rsid w:val="00CB438F"/>
    <w:rsid w:val="00CB556B"/>
    <w:rsid w:val="00CC2700"/>
    <w:rsid w:val="00CC4C6C"/>
    <w:rsid w:val="00CE10E1"/>
    <w:rsid w:val="00D35E0F"/>
    <w:rsid w:val="00D44268"/>
    <w:rsid w:val="00D74E8B"/>
    <w:rsid w:val="00DE553B"/>
    <w:rsid w:val="00DF1274"/>
    <w:rsid w:val="00E32B14"/>
    <w:rsid w:val="00E4091C"/>
    <w:rsid w:val="00E52044"/>
    <w:rsid w:val="00E96A87"/>
    <w:rsid w:val="00EB090A"/>
    <w:rsid w:val="00EC15F4"/>
    <w:rsid w:val="00EC294B"/>
    <w:rsid w:val="00EC7BDF"/>
    <w:rsid w:val="00F13AA0"/>
    <w:rsid w:val="00F24FBB"/>
    <w:rsid w:val="00F37FE8"/>
    <w:rsid w:val="00F46855"/>
    <w:rsid w:val="00F50F9D"/>
    <w:rsid w:val="00F74535"/>
    <w:rsid w:val="00F84470"/>
    <w:rsid w:val="00FE31BF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0BF45"/>
  <w15:chartTrackingRefBased/>
  <w15:docId w15:val="{5E58DF8F-0822-445C-BC5A-B48B26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3E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E12"/>
    <w:pPr>
      <w:spacing w:after="160"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5E1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E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1B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B93"/>
  </w:style>
  <w:style w:type="paragraph" w:styleId="Footer">
    <w:name w:val="footer"/>
    <w:basedOn w:val="Normal"/>
    <w:link w:val="FooterChar"/>
    <w:uiPriority w:val="99"/>
    <w:unhideWhenUsed/>
    <w:rsid w:val="00561B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E688FA201644AB084C861F6B49EAA" ma:contentTypeVersion="9" ma:contentTypeDescription="Create a new document." ma:contentTypeScope="" ma:versionID="676fd939f658c7cfbe2d68d5497c2b71">
  <xsd:schema xmlns:xsd="http://www.w3.org/2001/XMLSchema" xmlns:xs="http://www.w3.org/2001/XMLSchema" xmlns:p="http://schemas.microsoft.com/office/2006/metadata/properties" xmlns:ns3="dcc85a29-e2bc-4b0f-9752-23d3162e1617" xmlns:ns4="84b0ba25-19b3-47cb-b9c3-99aeec339e1e" targetNamespace="http://schemas.microsoft.com/office/2006/metadata/properties" ma:root="true" ma:fieldsID="b138529262442db3d0791b987cafc3be" ns3:_="" ns4:_="">
    <xsd:import namespace="dcc85a29-e2bc-4b0f-9752-23d3162e1617"/>
    <xsd:import namespace="84b0ba25-19b3-47cb-b9c3-99aeec339e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85a29-e2bc-4b0f-9752-23d3162e1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0ba25-19b3-47cb-b9c3-99aeec339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9C308-E009-4663-BF56-161D2BF1C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29D26-1D0E-4D15-8070-6C4F71CFE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137570-09A9-4470-AF2A-1DC434DA3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85a29-e2bc-4b0f-9752-23d3162e1617"/>
    <ds:schemaRef ds:uri="84b0ba25-19b3-47cb-b9c3-99aeec339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F1A9C-BBD4-4778-A04E-0C01B190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Hamblin, Ian Mr (DES Comrcl-CBIT-PMO2)</dc:creator>
  <cp:keywords/>
  <dc:description/>
  <cp:lastModifiedBy>Hawkins, Elizabeth Mrs (DES Comrcl-Ops-CCDT9)</cp:lastModifiedBy>
  <cp:revision>2</cp:revision>
  <dcterms:created xsi:type="dcterms:W3CDTF">2019-11-26T11:32:00Z</dcterms:created>
  <dcterms:modified xsi:type="dcterms:W3CDTF">2019-11-26T11:32:00Z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0x0101000A8E688FA201644AB084C861F6B49EAA</vt:lpwstr>
  </property>
</Properties>
</file>