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CB6" w:rsidRPr="004F160E" w:rsidRDefault="004F160E">
      <w:pPr>
        <w:rPr>
          <w:rFonts w:ascii="Cambria" w:hAnsi="Cambria"/>
          <w:b/>
          <w:color w:val="808080" w:themeColor="background1" w:themeShade="80"/>
          <w:sz w:val="28"/>
        </w:rPr>
      </w:pPr>
      <w:r w:rsidRPr="004F160E">
        <w:rPr>
          <w:rFonts w:ascii="Cambria" w:hAnsi="Cambria"/>
          <w:b/>
          <w:color w:val="808080" w:themeColor="background1" w:themeShade="80"/>
          <w:sz w:val="28"/>
        </w:rPr>
        <w:t>Documen</w:t>
      </w:r>
      <w:r w:rsidR="005B6561">
        <w:rPr>
          <w:rFonts w:ascii="Cambria" w:hAnsi="Cambria"/>
          <w:b/>
          <w:color w:val="808080" w:themeColor="background1" w:themeShade="80"/>
          <w:sz w:val="28"/>
        </w:rPr>
        <w:t>t 2 – Requirements Specification</w:t>
      </w:r>
    </w:p>
    <w:p w:rsidR="004F160E" w:rsidRPr="004F160E" w:rsidRDefault="004F160E">
      <w:pPr>
        <w:rPr>
          <w:rFonts w:ascii="Cambria" w:hAnsi="Cambria"/>
          <w:b/>
          <w:color w:val="808080" w:themeColor="background1" w:themeShade="80"/>
          <w:sz w:val="28"/>
        </w:rPr>
      </w:pPr>
      <w:r w:rsidRPr="004F160E">
        <w:rPr>
          <w:rFonts w:ascii="Cambria" w:hAnsi="Cambria"/>
          <w:b/>
          <w:color w:val="808080" w:themeColor="background1" w:themeShade="80"/>
          <w:sz w:val="28"/>
        </w:rPr>
        <w:t>Requirement – Stonewater Treasury Advisory Service (00010-FIN)</w:t>
      </w:r>
    </w:p>
    <w:p w:rsidR="004F160E" w:rsidRPr="004F160E" w:rsidRDefault="004F160E">
      <w:pPr>
        <w:rPr>
          <w:rFonts w:ascii="Cambria" w:hAnsi="Cambria"/>
        </w:rPr>
      </w:pPr>
    </w:p>
    <w:p w:rsidR="004F160E" w:rsidRPr="004F160E" w:rsidRDefault="004F160E">
      <w:pPr>
        <w:rPr>
          <w:rFonts w:ascii="Cambria" w:hAnsi="Cambria"/>
        </w:rPr>
      </w:pPr>
      <w:r w:rsidRPr="004F160E">
        <w:rPr>
          <w:rFonts w:ascii="Cambria" w:hAnsi="Cambria"/>
          <w:sz w:val="20"/>
        </w:rPr>
        <w:t xml:space="preserve">Any bidder wishing to be considered for the above requirement </w:t>
      </w:r>
      <w:r w:rsidRPr="00B745F0">
        <w:rPr>
          <w:rFonts w:ascii="Cambria" w:hAnsi="Cambria"/>
          <w:b/>
          <w:sz w:val="20"/>
          <w:u w:val="single"/>
        </w:rPr>
        <w:t>must</w:t>
      </w:r>
      <w:r w:rsidRPr="004F160E">
        <w:rPr>
          <w:rFonts w:ascii="Cambria" w:hAnsi="Cambria"/>
          <w:sz w:val="20"/>
        </w:rPr>
        <w:t xml:space="preserve"> be able to provide and directly support all requirements stated below.</w:t>
      </w:r>
      <w:r w:rsidR="00B745F0">
        <w:rPr>
          <w:rFonts w:ascii="Cambria" w:hAnsi="Cambria"/>
          <w:sz w:val="20"/>
        </w:rPr>
        <w:t xml:space="preserve"> </w:t>
      </w:r>
      <w:bookmarkStart w:id="0" w:name="_GoBack"/>
      <w:bookmarkEnd w:id="0"/>
    </w:p>
    <w:p w:rsidR="004F160E" w:rsidRPr="004F160E" w:rsidRDefault="004F160E" w:rsidP="004F160E">
      <w:pPr>
        <w:spacing w:before="60"/>
        <w:jc w:val="both"/>
        <w:rPr>
          <w:rFonts w:ascii="Cambria" w:hAnsi="Cambria"/>
          <w:b/>
          <w:sz w:val="20"/>
        </w:rPr>
      </w:pPr>
      <w:r w:rsidRPr="004F160E">
        <w:rPr>
          <w:rFonts w:ascii="Cambria" w:hAnsi="Cambria"/>
          <w:b/>
          <w:sz w:val="20"/>
        </w:rPr>
        <w:t xml:space="preserve">Provide: </w:t>
      </w:r>
    </w:p>
    <w:p w:rsidR="004F160E" w:rsidRPr="004F160E" w:rsidRDefault="004F160E" w:rsidP="004F160E">
      <w:pPr>
        <w:pStyle w:val="ListParagraph"/>
        <w:numPr>
          <w:ilvl w:val="0"/>
          <w:numId w:val="1"/>
        </w:numPr>
        <w:spacing w:before="60" w:after="0" w:line="240" w:lineRule="auto"/>
        <w:contextualSpacing w:val="0"/>
        <w:jc w:val="both"/>
        <w:rPr>
          <w:rFonts w:ascii="Cambria" w:hAnsi="Cambria"/>
          <w:sz w:val="20"/>
        </w:rPr>
      </w:pPr>
      <w:r w:rsidRPr="004F160E">
        <w:rPr>
          <w:rFonts w:ascii="Cambria" w:hAnsi="Cambria"/>
          <w:sz w:val="20"/>
        </w:rPr>
        <w:t xml:space="preserve">Daily financial market information, to include SONIA as a minimum </w:t>
      </w:r>
    </w:p>
    <w:p w:rsidR="004F160E" w:rsidRPr="004F160E" w:rsidRDefault="004F160E" w:rsidP="004F160E">
      <w:pPr>
        <w:pStyle w:val="ListParagraph"/>
        <w:numPr>
          <w:ilvl w:val="0"/>
          <w:numId w:val="1"/>
        </w:numPr>
        <w:spacing w:before="60" w:after="0" w:line="240" w:lineRule="auto"/>
        <w:contextualSpacing w:val="0"/>
        <w:jc w:val="both"/>
        <w:rPr>
          <w:rFonts w:ascii="Cambria" w:hAnsi="Cambria"/>
          <w:sz w:val="20"/>
        </w:rPr>
      </w:pPr>
      <w:r w:rsidRPr="004F160E">
        <w:rPr>
          <w:rFonts w:ascii="Cambria" w:hAnsi="Cambria"/>
          <w:sz w:val="20"/>
        </w:rPr>
        <w:t>Regular (daily, weekly or monthly, as appropriate) updates on funding markets, inflation, UK and international macroeconomics</w:t>
      </w:r>
    </w:p>
    <w:p w:rsidR="004F160E" w:rsidRPr="004F160E" w:rsidRDefault="004F160E" w:rsidP="004F160E">
      <w:pPr>
        <w:pStyle w:val="ListParagraph"/>
        <w:numPr>
          <w:ilvl w:val="0"/>
          <w:numId w:val="1"/>
        </w:numPr>
        <w:spacing w:before="60" w:after="0" w:line="240" w:lineRule="auto"/>
        <w:contextualSpacing w:val="0"/>
        <w:jc w:val="both"/>
        <w:rPr>
          <w:rFonts w:ascii="Cambria" w:hAnsi="Cambria"/>
          <w:sz w:val="20"/>
        </w:rPr>
      </w:pPr>
      <w:r w:rsidRPr="004F160E">
        <w:rPr>
          <w:rFonts w:ascii="Cambria" w:hAnsi="Cambria"/>
          <w:sz w:val="20"/>
        </w:rPr>
        <w:t xml:space="preserve">Assumptions for forecast SONIA rates for budgeting purposes </w:t>
      </w:r>
    </w:p>
    <w:p w:rsidR="004F160E" w:rsidRPr="004F160E" w:rsidRDefault="004F160E" w:rsidP="004F160E">
      <w:pPr>
        <w:pStyle w:val="ListParagraph"/>
        <w:numPr>
          <w:ilvl w:val="0"/>
          <w:numId w:val="1"/>
        </w:numPr>
        <w:spacing w:before="60" w:after="0" w:line="240" w:lineRule="auto"/>
        <w:contextualSpacing w:val="0"/>
        <w:jc w:val="both"/>
        <w:rPr>
          <w:rFonts w:ascii="Cambria" w:hAnsi="Cambria"/>
          <w:sz w:val="20"/>
        </w:rPr>
      </w:pPr>
      <w:r w:rsidRPr="004F160E">
        <w:rPr>
          <w:rFonts w:ascii="Cambria" w:hAnsi="Cambria"/>
          <w:sz w:val="20"/>
        </w:rPr>
        <w:t>Regular updates on counterparty credit ratings</w:t>
      </w:r>
    </w:p>
    <w:p w:rsidR="004F160E" w:rsidRPr="004F160E" w:rsidRDefault="004F160E" w:rsidP="004F160E">
      <w:pPr>
        <w:spacing w:before="60"/>
        <w:jc w:val="both"/>
        <w:rPr>
          <w:rFonts w:ascii="Cambria" w:hAnsi="Cambria"/>
          <w:sz w:val="20"/>
        </w:rPr>
      </w:pPr>
    </w:p>
    <w:p w:rsidR="004F160E" w:rsidRPr="004F160E" w:rsidRDefault="004F160E" w:rsidP="004F160E">
      <w:pPr>
        <w:spacing w:before="60"/>
        <w:jc w:val="both"/>
        <w:rPr>
          <w:rFonts w:ascii="Cambria" w:hAnsi="Cambria"/>
          <w:b/>
          <w:sz w:val="20"/>
          <w:u w:val="single"/>
        </w:rPr>
      </w:pPr>
      <w:r w:rsidRPr="004F160E">
        <w:rPr>
          <w:rFonts w:ascii="Cambria" w:hAnsi="Cambria"/>
          <w:b/>
          <w:sz w:val="20"/>
          <w:u w:val="single"/>
        </w:rPr>
        <w:t>Funding &amp; Hedging</w:t>
      </w:r>
    </w:p>
    <w:p w:rsidR="004F160E" w:rsidRPr="004F160E" w:rsidRDefault="004F160E" w:rsidP="004F160E">
      <w:pPr>
        <w:spacing w:before="60"/>
        <w:jc w:val="both"/>
        <w:rPr>
          <w:rFonts w:ascii="Cambria" w:hAnsi="Cambria"/>
          <w:sz w:val="20"/>
        </w:rPr>
      </w:pPr>
      <w:r w:rsidRPr="004F160E">
        <w:rPr>
          <w:rFonts w:ascii="Cambria" w:hAnsi="Cambria"/>
          <w:sz w:val="20"/>
        </w:rPr>
        <w:t>Provide analysis, guidance and advice on:</w:t>
      </w:r>
    </w:p>
    <w:p w:rsidR="004F160E" w:rsidRPr="004F160E" w:rsidRDefault="004F160E" w:rsidP="004F160E">
      <w:pPr>
        <w:pStyle w:val="ListParagraph"/>
        <w:numPr>
          <w:ilvl w:val="0"/>
          <w:numId w:val="2"/>
        </w:numPr>
        <w:spacing w:before="60" w:after="0" w:line="240" w:lineRule="auto"/>
        <w:contextualSpacing w:val="0"/>
        <w:jc w:val="both"/>
        <w:rPr>
          <w:rFonts w:ascii="Cambria" w:hAnsi="Cambria"/>
          <w:sz w:val="20"/>
        </w:rPr>
      </w:pPr>
      <w:r w:rsidRPr="004F160E">
        <w:rPr>
          <w:rFonts w:ascii="Cambria" w:hAnsi="Cambria"/>
          <w:sz w:val="20"/>
        </w:rPr>
        <w:t>All aspects of structure of debt, hedging and investments, to include</w:t>
      </w:r>
    </w:p>
    <w:p w:rsidR="004F160E" w:rsidRPr="004F160E" w:rsidRDefault="004F160E" w:rsidP="004F160E">
      <w:pPr>
        <w:pStyle w:val="ListParagraph"/>
        <w:numPr>
          <w:ilvl w:val="0"/>
          <w:numId w:val="3"/>
        </w:numPr>
        <w:spacing w:before="60" w:after="0" w:line="240" w:lineRule="auto"/>
        <w:contextualSpacing w:val="0"/>
        <w:jc w:val="both"/>
        <w:rPr>
          <w:rFonts w:ascii="Cambria" w:hAnsi="Cambria"/>
          <w:sz w:val="20"/>
        </w:rPr>
      </w:pPr>
      <w:r w:rsidRPr="004F160E">
        <w:rPr>
          <w:rFonts w:ascii="Cambria" w:hAnsi="Cambria"/>
          <w:sz w:val="20"/>
        </w:rPr>
        <w:t>Interest management strategy</w:t>
      </w:r>
    </w:p>
    <w:p w:rsidR="004F160E" w:rsidRPr="004F160E" w:rsidRDefault="004F160E" w:rsidP="004F160E">
      <w:pPr>
        <w:pStyle w:val="ListParagraph"/>
        <w:numPr>
          <w:ilvl w:val="0"/>
          <w:numId w:val="3"/>
        </w:numPr>
        <w:spacing w:before="60" w:after="0" w:line="240" w:lineRule="auto"/>
        <w:contextualSpacing w:val="0"/>
        <w:jc w:val="both"/>
        <w:rPr>
          <w:rFonts w:ascii="Cambria" w:hAnsi="Cambria"/>
          <w:sz w:val="20"/>
        </w:rPr>
      </w:pPr>
      <w:r w:rsidRPr="004F160E">
        <w:rPr>
          <w:rFonts w:ascii="Cambria" w:hAnsi="Cambria"/>
          <w:sz w:val="20"/>
        </w:rPr>
        <w:t>Term and market structure of debt</w:t>
      </w:r>
    </w:p>
    <w:p w:rsidR="004F160E" w:rsidRPr="004F160E" w:rsidRDefault="004F160E" w:rsidP="004F160E">
      <w:pPr>
        <w:pStyle w:val="ListParagraph"/>
        <w:numPr>
          <w:ilvl w:val="0"/>
          <w:numId w:val="2"/>
        </w:numPr>
        <w:spacing w:before="60" w:after="0" w:line="240" w:lineRule="auto"/>
        <w:contextualSpacing w:val="0"/>
        <w:jc w:val="both"/>
        <w:rPr>
          <w:rFonts w:ascii="Cambria" w:hAnsi="Cambria"/>
          <w:sz w:val="20"/>
        </w:rPr>
      </w:pPr>
      <w:r w:rsidRPr="004F160E">
        <w:rPr>
          <w:rFonts w:ascii="Cambria" w:hAnsi="Cambria"/>
          <w:sz w:val="20"/>
        </w:rPr>
        <w:t>Structuring and implementing funding from bank, bond and other markets</w:t>
      </w:r>
    </w:p>
    <w:p w:rsidR="004F160E" w:rsidRPr="004F160E" w:rsidRDefault="004F160E" w:rsidP="004F160E">
      <w:pPr>
        <w:pStyle w:val="ListParagraph"/>
        <w:numPr>
          <w:ilvl w:val="0"/>
          <w:numId w:val="3"/>
        </w:numPr>
        <w:spacing w:before="60" w:after="0" w:line="240" w:lineRule="auto"/>
        <w:contextualSpacing w:val="0"/>
        <w:jc w:val="both"/>
        <w:rPr>
          <w:rFonts w:ascii="Cambria" w:hAnsi="Cambria"/>
          <w:sz w:val="20"/>
        </w:rPr>
      </w:pPr>
      <w:r w:rsidRPr="004F160E">
        <w:rPr>
          <w:rFonts w:ascii="Cambria" w:hAnsi="Cambria"/>
          <w:sz w:val="20"/>
        </w:rPr>
        <w:t>To include negotiations with counterparties where requested</w:t>
      </w:r>
    </w:p>
    <w:p w:rsidR="004F160E" w:rsidRPr="004F160E" w:rsidRDefault="004F160E" w:rsidP="004F160E">
      <w:pPr>
        <w:pStyle w:val="ListParagraph"/>
        <w:numPr>
          <w:ilvl w:val="0"/>
          <w:numId w:val="3"/>
        </w:numPr>
        <w:spacing w:before="60" w:after="0" w:line="240" w:lineRule="auto"/>
        <w:contextualSpacing w:val="0"/>
        <w:jc w:val="both"/>
        <w:rPr>
          <w:rFonts w:ascii="Cambria" w:hAnsi="Cambria"/>
          <w:sz w:val="20"/>
        </w:rPr>
      </w:pPr>
      <w:r w:rsidRPr="004F160E">
        <w:rPr>
          <w:rFonts w:ascii="Cambria" w:hAnsi="Cambria"/>
          <w:sz w:val="20"/>
        </w:rPr>
        <w:t>To exclude Advisor / Arranger / Bookrunner role</w:t>
      </w:r>
    </w:p>
    <w:p w:rsidR="004F160E" w:rsidRPr="004F160E" w:rsidRDefault="004F160E" w:rsidP="004F160E">
      <w:pPr>
        <w:pStyle w:val="ListParagraph"/>
        <w:numPr>
          <w:ilvl w:val="0"/>
          <w:numId w:val="2"/>
        </w:numPr>
        <w:spacing w:before="60" w:after="0" w:line="240" w:lineRule="auto"/>
        <w:contextualSpacing w:val="0"/>
        <w:jc w:val="both"/>
        <w:rPr>
          <w:rFonts w:ascii="Cambria" w:hAnsi="Cambria"/>
          <w:sz w:val="20"/>
        </w:rPr>
      </w:pPr>
      <w:r w:rsidRPr="004F160E">
        <w:rPr>
          <w:rFonts w:ascii="Cambria" w:hAnsi="Cambria"/>
          <w:sz w:val="20"/>
        </w:rPr>
        <w:t>Detailed assistance on structuring and implementing hedging transactions</w:t>
      </w:r>
    </w:p>
    <w:p w:rsidR="004F160E" w:rsidRPr="004F160E" w:rsidRDefault="004F160E" w:rsidP="004F160E">
      <w:pPr>
        <w:pStyle w:val="ListParagraph"/>
        <w:numPr>
          <w:ilvl w:val="0"/>
          <w:numId w:val="2"/>
        </w:numPr>
        <w:spacing w:before="60" w:after="0" w:line="240" w:lineRule="auto"/>
        <w:contextualSpacing w:val="0"/>
        <w:jc w:val="both"/>
        <w:rPr>
          <w:rFonts w:ascii="Cambria" w:hAnsi="Cambria"/>
          <w:sz w:val="20"/>
        </w:rPr>
      </w:pPr>
      <w:r w:rsidRPr="004F160E">
        <w:rPr>
          <w:rFonts w:ascii="Cambria" w:hAnsi="Cambria"/>
          <w:sz w:val="20"/>
        </w:rPr>
        <w:t>Provide annual strategy for funding and hedging</w:t>
      </w:r>
    </w:p>
    <w:p w:rsidR="004F160E" w:rsidRPr="004F160E" w:rsidRDefault="004F160E" w:rsidP="004F160E">
      <w:pPr>
        <w:pStyle w:val="ListParagraph"/>
        <w:numPr>
          <w:ilvl w:val="0"/>
          <w:numId w:val="2"/>
        </w:numPr>
        <w:spacing w:before="60" w:after="0" w:line="240" w:lineRule="auto"/>
        <w:contextualSpacing w:val="0"/>
        <w:jc w:val="both"/>
        <w:rPr>
          <w:rFonts w:ascii="Cambria" w:hAnsi="Cambria"/>
          <w:sz w:val="20"/>
        </w:rPr>
      </w:pPr>
      <w:r w:rsidRPr="004F160E">
        <w:rPr>
          <w:rFonts w:ascii="Cambria" w:hAnsi="Cambria"/>
          <w:sz w:val="20"/>
        </w:rPr>
        <w:t xml:space="preserve">Provide mark-to-market valuations to be available daily </w:t>
      </w:r>
    </w:p>
    <w:p w:rsidR="004F160E" w:rsidRPr="004F160E" w:rsidRDefault="004F160E" w:rsidP="004F160E">
      <w:pPr>
        <w:pStyle w:val="ListParagraph"/>
        <w:numPr>
          <w:ilvl w:val="0"/>
          <w:numId w:val="2"/>
        </w:numPr>
        <w:spacing w:before="60" w:after="0" w:line="240" w:lineRule="auto"/>
        <w:contextualSpacing w:val="0"/>
        <w:jc w:val="both"/>
        <w:rPr>
          <w:rFonts w:ascii="Cambria" w:hAnsi="Cambria"/>
          <w:sz w:val="20"/>
        </w:rPr>
      </w:pPr>
      <w:r w:rsidRPr="004F160E">
        <w:rPr>
          <w:rFonts w:ascii="Cambria" w:hAnsi="Cambria"/>
          <w:sz w:val="20"/>
        </w:rPr>
        <w:t xml:space="preserve">Provide monthly accounting entries for hedging portfolio </w:t>
      </w:r>
    </w:p>
    <w:p w:rsidR="004F160E" w:rsidRPr="004F160E" w:rsidRDefault="004F160E" w:rsidP="004F160E">
      <w:pPr>
        <w:pStyle w:val="ListParagraph"/>
        <w:numPr>
          <w:ilvl w:val="0"/>
          <w:numId w:val="2"/>
        </w:numPr>
        <w:spacing w:before="60" w:after="0" w:line="240" w:lineRule="auto"/>
        <w:contextualSpacing w:val="0"/>
        <w:jc w:val="both"/>
        <w:rPr>
          <w:rFonts w:ascii="Cambria" w:hAnsi="Cambria"/>
          <w:sz w:val="20"/>
        </w:rPr>
      </w:pPr>
      <w:r w:rsidRPr="004F160E">
        <w:rPr>
          <w:rFonts w:ascii="Cambria" w:hAnsi="Cambria"/>
          <w:sz w:val="20"/>
        </w:rPr>
        <w:t>Undertake EMIR compliance, as requested by Stonewater</w:t>
      </w:r>
    </w:p>
    <w:p w:rsidR="004F160E" w:rsidRPr="004F160E" w:rsidRDefault="004F160E" w:rsidP="004F160E">
      <w:pPr>
        <w:spacing w:before="60" w:after="0" w:line="240" w:lineRule="auto"/>
        <w:ind w:left="360"/>
        <w:jc w:val="both"/>
        <w:rPr>
          <w:rFonts w:ascii="Cambria" w:hAnsi="Cambria"/>
          <w:sz w:val="20"/>
        </w:rPr>
      </w:pPr>
    </w:p>
    <w:p w:rsidR="004F160E" w:rsidRPr="004F160E" w:rsidRDefault="004F160E" w:rsidP="004F160E">
      <w:pPr>
        <w:spacing w:before="60"/>
        <w:jc w:val="both"/>
        <w:rPr>
          <w:rFonts w:ascii="Cambria" w:hAnsi="Cambria"/>
          <w:b/>
          <w:sz w:val="20"/>
          <w:u w:val="single"/>
        </w:rPr>
      </w:pPr>
      <w:r w:rsidRPr="004F160E">
        <w:rPr>
          <w:rFonts w:ascii="Cambria" w:hAnsi="Cambria"/>
          <w:b/>
          <w:sz w:val="20"/>
          <w:u w:val="single"/>
        </w:rPr>
        <w:t>Other Treasury</w:t>
      </w:r>
    </w:p>
    <w:p w:rsidR="004F160E" w:rsidRPr="004F160E" w:rsidRDefault="004F160E" w:rsidP="004F160E">
      <w:pPr>
        <w:pStyle w:val="ListParagraph"/>
        <w:numPr>
          <w:ilvl w:val="0"/>
          <w:numId w:val="4"/>
        </w:numPr>
        <w:spacing w:before="60" w:after="0" w:line="240" w:lineRule="auto"/>
        <w:contextualSpacing w:val="0"/>
        <w:jc w:val="both"/>
        <w:rPr>
          <w:rFonts w:ascii="Cambria" w:hAnsi="Cambria"/>
          <w:sz w:val="20"/>
        </w:rPr>
      </w:pPr>
      <w:r w:rsidRPr="004F160E">
        <w:rPr>
          <w:rFonts w:ascii="Cambria" w:hAnsi="Cambria"/>
          <w:sz w:val="20"/>
        </w:rPr>
        <w:t>Review treasury policies initially and upon request and provide advice in line with good practice</w:t>
      </w:r>
    </w:p>
    <w:p w:rsidR="004F160E" w:rsidRPr="004F160E" w:rsidRDefault="004F160E" w:rsidP="004F160E">
      <w:pPr>
        <w:pStyle w:val="ListParagraph"/>
        <w:numPr>
          <w:ilvl w:val="0"/>
          <w:numId w:val="4"/>
        </w:numPr>
        <w:spacing w:before="60" w:after="0" w:line="240" w:lineRule="auto"/>
        <w:contextualSpacing w:val="0"/>
        <w:jc w:val="both"/>
        <w:rPr>
          <w:rFonts w:ascii="Cambria" w:hAnsi="Cambria"/>
          <w:sz w:val="20"/>
        </w:rPr>
      </w:pPr>
      <w:r w:rsidRPr="004F160E">
        <w:rPr>
          <w:rFonts w:ascii="Cambria" w:hAnsi="Cambria"/>
          <w:sz w:val="20"/>
        </w:rPr>
        <w:t>Provide analysis and advice on investments</w:t>
      </w:r>
    </w:p>
    <w:p w:rsidR="004F160E" w:rsidRPr="004F160E" w:rsidRDefault="004F160E" w:rsidP="004F160E">
      <w:pPr>
        <w:spacing w:before="60"/>
        <w:jc w:val="both"/>
        <w:rPr>
          <w:rFonts w:ascii="Cambria" w:hAnsi="Cambria"/>
          <w:sz w:val="20"/>
        </w:rPr>
      </w:pPr>
    </w:p>
    <w:p w:rsidR="004F160E" w:rsidRPr="004F160E" w:rsidRDefault="004F160E" w:rsidP="004F160E">
      <w:pPr>
        <w:spacing w:before="60"/>
        <w:jc w:val="both"/>
        <w:rPr>
          <w:rFonts w:ascii="Cambria" w:hAnsi="Cambria"/>
          <w:b/>
          <w:sz w:val="20"/>
          <w:u w:val="single"/>
        </w:rPr>
      </w:pPr>
      <w:r w:rsidRPr="004F160E">
        <w:rPr>
          <w:rFonts w:ascii="Cambria" w:hAnsi="Cambria"/>
          <w:b/>
          <w:sz w:val="20"/>
          <w:u w:val="single"/>
        </w:rPr>
        <w:t>Business Planning</w:t>
      </w:r>
    </w:p>
    <w:p w:rsidR="004F160E" w:rsidRPr="004F160E" w:rsidRDefault="004F160E" w:rsidP="004F160E">
      <w:pPr>
        <w:pStyle w:val="ListParagraph"/>
        <w:numPr>
          <w:ilvl w:val="0"/>
          <w:numId w:val="6"/>
        </w:numPr>
        <w:spacing w:before="60" w:after="0" w:line="240" w:lineRule="auto"/>
        <w:contextualSpacing w:val="0"/>
        <w:jc w:val="both"/>
        <w:rPr>
          <w:rFonts w:ascii="Cambria" w:hAnsi="Cambria"/>
          <w:sz w:val="20"/>
        </w:rPr>
      </w:pPr>
      <w:r w:rsidRPr="004F160E">
        <w:rPr>
          <w:rFonts w:ascii="Cambria" w:hAnsi="Cambria"/>
          <w:sz w:val="20"/>
        </w:rPr>
        <w:t>Provide business planning assumptions for inflation, interest rates and other parameters</w:t>
      </w:r>
    </w:p>
    <w:p w:rsidR="004F160E" w:rsidRPr="004F160E" w:rsidRDefault="004F160E" w:rsidP="004F160E">
      <w:pPr>
        <w:pStyle w:val="ListParagraph"/>
        <w:numPr>
          <w:ilvl w:val="0"/>
          <w:numId w:val="6"/>
        </w:numPr>
        <w:spacing w:before="60" w:after="0" w:line="240" w:lineRule="auto"/>
        <w:contextualSpacing w:val="0"/>
        <w:jc w:val="both"/>
        <w:rPr>
          <w:rFonts w:ascii="Cambria" w:hAnsi="Cambria"/>
          <w:sz w:val="20"/>
        </w:rPr>
      </w:pPr>
      <w:r w:rsidRPr="004F160E">
        <w:rPr>
          <w:rFonts w:ascii="Cambria" w:hAnsi="Cambria"/>
          <w:sz w:val="20"/>
        </w:rPr>
        <w:t>Review plans, and undertake scenario / risk analysis</w:t>
      </w:r>
    </w:p>
    <w:p w:rsidR="004F160E" w:rsidRPr="004F160E" w:rsidRDefault="004F160E" w:rsidP="004F160E">
      <w:pPr>
        <w:spacing w:before="60"/>
        <w:jc w:val="both"/>
        <w:rPr>
          <w:rFonts w:ascii="Cambria" w:hAnsi="Cambria"/>
          <w:sz w:val="20"/>
        </w:rPr>
      </w:pPr>
    </w:p>
    <w:p w:rsidR="004F160E" w:rsidRPr="004F160E" w:rsidRDefault="004F160E" w:rsidP="004F160E">
      <w:pPr>
        <w:spacing w:before="60"/>
        <w:jc w:val="both"/>
        <w:rPr>
          <w:rFonts w:ascii="Cambria" w:hAnsi="Cambria"/>
          <w:b/>
          <w:sz w:val="20"/>
          <w:u w:val="single"/>
        </w:rPr>
      </w:pPr>
      <w:r w:rsidRPr="004F160E">
        <w:rPr>
          <w:rFonts w:ascii="Cambria" w:hAnsi="Cambria"/>
          <w:b/>
          <w:sz w:val="20"/>
          <w:u w:val="single"/>
        </w:rPr>
        <w:t>Credit Rating</w:t>
      </w:r>
    </w:p>
    <w:p w:rsidR="004F160E" w:rsidRPr="004F160E" w:rsidRDefault="004F160E" w:rsidP="004F160E">
      <w:pPr>
        <w:pStyle w:val="ListParagraph"/>
        <w:numPr>
          <w:ilvl w:val="0"/>
          <w:numId w:val="5"/>
        </w:numPr>
        <w:spacing w:before="60" w:after="0" w:line="240" w:lineRule="auto"/>
        <w:contextualSpacing w:val="0"/>
        <w:jc w:val="both"/>
        <w:rPr>
          <w:rFonts w:ascii="Cambria" w:hAnsi="Cambria"/>
          <w:sz w:val="20"/>
        </w:rPr>
      </w:pPr>
      <w:r w:rsidRPr="004F160E">
        <w:rPr>
          <w:rFonts w:ascii="Cambria" w:hAnsi="Cambria"/>
          <w:sz w:val="20"/>
        </w:rPr>
        <w:t>Analyse business plans in terms of rating agency criteria (minimum 3 per annum, plus ad hoc)</w:t>
      </w:r>
    </w:p>
    <w:p w:rsidR="004F160E" w:rsidRPr="004F160E" w:rsidRDefault="004F160E" w:rsidP="004F160E">
      <w:pPr>
        <w:pStyle w:val="ListParagraph"/>
        <w:numPr>
          <w:ilvl w:val="0"/>
          <w:numId w:val="5"/>
        </w:numPr>
        <w:spacing w:before="60" w:after="0" w:line="240" w:lineRule="auto"/>
        <w:contextualSpacing w:val="0"/>
        <w:jc w:val="both"/>
        <w:rPr>
          <w:rFonts w:ascii="Cambria" w:hAnsi="Cambria"/>
          <w:sz w:val="20"/>
        </w:rPr>
      </w:pPr>
      <w:r w:rsidRPr="004F160E">
        <w:rPr>
          <w:rFonts w:ascii="Cambria" w:hAnsi="Cambria"/>
          <w:sz w:val="20"/>
        </w:rPr>
        <w:t>Provide advice and guidance before and during annual and other reviews</w:t>
      </w:r>
    </w:p>
    <w:p w:rsidR="004F160E" w:rsidRPr="004F160E" w:rsidRDefault="004F160E" w:rsidP="004F160E">
      <w:pPr>
        <w:spacing w:before="60"/>
        <w:jc w:val="both"/>
        <w:rPr>
          <w:rFonts w:ascii="Cambria" w:hAnsi="Cambria"/>
          <w:sz w:val="20"/>
        </w:rPr>
      </w:pPr>
    </w:p>
    <w:p w:rsidR="004F160E" w:rsidRPr="004F160E" w:rsidRDefault="004F160E" w:rsidP="004F160E">
      <w:pPr>
        <w:spacing w:before="60"/>
        <w:jc w:val="both"/>
        <w:rPr>
          <w:rFonts w:ascii="Cambria" w:hAnsi="Cambria"/>
          <w:b/>
          <w:sz w:val="20"/>
          <w:u w:val="single"/>
        </w:rPr>
      </w:pPr>
      <w:r w:rsidRPr="004F160E">
        <w:rPr>
          <w:rFonts w:ascii="Cambria" w:hAnsi="Cambria"/>
          <w:b/>
          <w:sz w:val="20"/>
          <w:u w:val="single"/>
        </w:rPr>
        <w:t>Training</w:t>
      </w:r>
    </w:p>
    <w:p w:rsidR="004F160E" w:rsidRPr="004F160E" w:rsidRDefault="004F160E" w:rsidP="004F160E">
      <w:pPr>
        <w:pStyle w:val="ListParagraph"/>
        <w:numPr>
          <w:ilvl w:val="0"/>
          <w:numId w:val="7"/>
        </w:numPr>
        <w:spacing w:before="60" w:after="0" w:line="240" w:lineRule="auto"/>
        <w:contextualSpacing w:val="0"/>
        <w:jc w:val="both"/>
        <w:rPr>
          <w:rFonts w:ascii="Cambria" w:hAnsi="Cambria"/>
          <w:sz w:val="20"/>
        </w:rPr>
      </w:pPr>
      <w:r w:rsidRPr="004F160E">
        <w:rPr>
          <w:rFonts w:ascii="Cambria" w:hAnsi="Cambria"/>
          <w:sz w:val="20"/>
        </w:rPr>
        <w:t>Provide training to Board, Stonewater executive or staff on treasury and corporate finance subjects</w:t>
      </w:r>
    </w:p>
    <w:p w:rsidR="004F160E" w:rsidRPr="004F160E" w:rsidRDefault="004F160E" w:rsidP="004F160E">
      <w:pPr>
        <w:spacing w:before="60"/>
        <w:jc w:val="both"/>
        <w:rPr>
          <w:rFonts w:ascii="Cambria" w:hAnsi="Cambria"/>
          <w:b/>
          <w:sz w:val="20"/>
        </w:rPr>
      </w:pPr>
    </w:p>
    <w:p w:rsidR="004F160E" w:rsidRPr="004F160E" w:rsidRDefault="004F160E" w:rsidP="004F160E">
      <w:pPr>
        <w:spacing w:before="60"/>
        <w:jc w:val="both"/>
        <w:rPr>
          <w:rFonts w:ascii="Cambria" w:hAnsi="Cambria"/>
          <w:b/>
          <w:sz w:val="20"/>
          <w:u w:val="single"/>
        </w:rPr>
      </w:pPr>
      <w:r w:rsidRPr="004F160E">
        <w:rPr>
          <w:rFonts w:ascii="Cambria" w:hAnsi="Cambria"/>
          <w:b/>
          <w:sz w:val="20"/>
          <w:u w:val="single"/>
        </w:rPr>
        <w:lastRenderedPageBreak/>
        <w:t>Board and Finance Committee meetings</w:t>
      </w:r>
    </w:p>
    <w:p w:rsidR="004F160E" w:rsidRPr="004F160E" w:rsidRDefault="004F160E" w:rsidP="004F160E">
      <w:pPr>
        <w:pStyle w:val="ListParagraph"/>
        <w:numPr>
          <w:ilvl w:val="0"/>
          <w:numId w:val="8"/>
        </w:numPr>
        <w:spacing w:before="60" w:after="0" w:line="240" w:lineRule="auto"/>
        <w:contextualSpacing w:val="0"/>
        <w:jc w:val="both"/>
        <w:rPr>
          <w:rFonts w:ascii="Cambria" w:hAnsi="Cambria"/>
          <w:sz w:val="20"/>
        </w:rPr>
      </w:pPr>
      <w:r w:rsidRPr="004F160E">
        <w:rPr>
          <w:rFonts w:ascii="Cambria" w:hAnsi="Cambria"/>
          <w:sz w:val="20"/>
        </w:rPr>
        <w:t>Attend Board or Finance Panel meetings on request</w:t>
      </w:r>
    </w:p>
    <w:p w:rsidR="004F160E" w:rsidRPr="004F160E" w:rsidRDefault="004F160E" w:rsidP="004F160E">
      <w:pPr>
        <w:jc w:val="both"/>
        <w:rPr>
          <w:rFonts w:ascii="Cambria" w:hAnsi="Cambria"/>
          <w:sz w:val="20"/>
        </w:rPr>
      </w:pPr>
    </w:p>
    <w:p w:rsidR="004F160E" w:rsidRPr="004F160E" w:rsidRDefault="004F160E" w:rsidP="004F160E">
      <w:pPr>
        <w:spacing w:after="200"/>
        <w:rPr>
          <w:rFonts w:ascii="Cambria" w:hAnsi="Cambria"/>
          <w:szCs w:val="24"/>
        </w:rPr>
      </w:pPr>
    </w:p>
    <w:p w:rsidR="004F160E" w:rsidRPr="004F160E" w:rsidRDefault="004F160E" w:rsidP="004F160E">
      <w:pPr>
        <w:spacing w:after="200"/>
        <w:rPr>
          <w:rFonts w:ascii="Cambria" w:eastAsia="Times" w:hAnsi="Cambria"/>
          <w:b/>
          <w:bCs/>
          <w:noProof/>
          <w:sz w:val="24"/>
          <w:highlight w:val="yellow"/>
          <w:u w:val="single"/>
          <w:lang w:val="en-US"/>
        </w:rPr>
      </w:pPr>
      <w:r w:rsidRPr="004F160E">
        <w:rPr>
          <w:rFonts w:ascii="Cambria" w:hAnsi="Cambria"/>
          <w:b/>
          <w:sz w:val="24"/>
          <w:u w:val="single"/>
        </w:rPr>
        <w:t>Key attributes we are looking for in our Treasury Advisor are:</w:t>
      </w:r>
    </w:p>
    <w:p w:rsidR="004F160E" w:rsidRPr="004F160E" w:rsidRDefault="004F160E" w:rsidP="004F160E">
      <w:pPr>
        <w:pStyle w:val="Appendix"/>
        <w:keepNext w:val="0"/>
        <w:numPr>
          <w:ilvl w:val="0"/>
          <w:numId w:val="0"/>
        </w:numPr>
        <w:spacing w:before="60" w:after="0"/>
        <w:jc w:val="both"/>
        <w:rPr>
          <w:rFonts w:ascii="Cambria" w:hAnsi="Cambria" w:cs="Arial"/>
          <w:b w:val="0"/>
          <w:color w:val="auto"/>
          <w:sz w:val="20"/>
          <w:szCs w:val="22"/>
        </w:rPr>
      </w:pPr>
    </w:p>
    <w:p w:rsidR="004F160E" w:rsidRPr="004F160E" w:rsidRDefault="004F160E" w:rsidP="004F160E">
      <w:pPr>
        <w:spacing w:before="60"/>
        <w:jc w:val="both"/>
        <w:rPr>
          <w:rFonts w:ascii="Cambria" w:hAnsi="Cambria"/>
          <w:b/>
          <w:sz w:val="20"/>
          <w:u w:val="single"/>
        </w:rPr>
      </w:pPr>
      <w:r w:rsidRPr="004F160E">
        <w:rPr>
          <w:rFonts w:ascii="Cambria" w:hAnsi="Cambria"/>
          <w:b/>
          <w:sz w:val="20"/>
          <w:u w:val="single"/>
        </w:rPr>
        <w:t xml:space="preserve">Professional, Expertise &amp; Analysis </w:t>
      </w:r>
    </w:p>
    <w:p w:rsidR="004F160E" w:rsidRPr="004F160E" w:rsidRDefault="004F160E" w:rsidP="004F160E">
      <w:pPr>
        <w:pStyle w:val="ListParagraph"/>
        <w:numPr>
          <w:ilvl w:val="0"/>
          <w:numId w:val="13"/>
        </w:numPr>
        <w:spacing w:before="60" w:after="0" w:line="240" w:lineRule="auto"/>
        <w:contextualSpacing w:val="0"/>
        <w:jc w:val="both"/>
        <w:rPr>
          <w:rFonts w:ascii="Cambria" w:hAnsi="Cambria"/>
          <w:sz w:val="20"/>
        </w:rPr>
      </w:pPr>
      <w:r w:rsidRPr="004F160E">
        <w:rPr>
          <w:rFonts w:ascii="Cambria" w:hAnsi="Cambria"/>
          <w:sz w:val="20"/>
        </w:rPr>
        <w:t>Experienced practitioners in funding , treasury and corporate finance arenas</w:t>
      </w:r>
    </w:p>
    <w:p w:rsidR="004F160E" w:rsidRPr="004F160E" w:rsidRDefault="004F160E" w:rsidP="004F160E">
      <w:pPr>
        <w:pStyle w:val="ListParagraph"/>
        <w:numPr>
          <w:ilvl w:val="0"/>
          <w:numId w:val="13"/>
        </w:numPr>
        <w:spacing w:before="60" w:after="0" w:line="240" w:lineRule="auto"/>
        <w:contextualSpacing w:val="0"/>
        <w:jc w:val="both"/>
        <w:rPr>
          <w:rFonts w:ascii="Cambria" w:hAnsi="Cambria"/>
          <w:sz w:val="20"/>
        </w:rPr>
      </w:pPr>
      <w:r w:rsidRPr="004F160E">
        <w:rPr>
          <w:rFonts w:ascii="Cambria" w:hAnsi="Cambria"/>
          <w:sz w:val="20"/>
        </w:rPr>
        <w:t>Rigorous, practical and relevant analysis and advice</w:t>
      </w:r>
    </w:p>
    <w:p w:rsidR="004F160E" w:rsidRPr="004F160E" w:rsidRDefault="004F160E" w:rsidP="004F160E">
      <w:pPr>
        <w:pStyle w:val="ListParagraph"/>
        <w:numPr>
          <w:ilvl w:val="0"/>
          <w:numId w:val="13"/>
        </w:numPr>
        <w:spacing w:before="60" w:after="0" w:line="240" w:lineRule="auto"/>
        <w:contextualSpacing w:val="0"/>
        <w:jc w:val="both"/>
        <w:rPr>
          <w:rFonts w:ascii="Cambria" w:hAnsi="Cambria"/>
          <w:sz w:val="20"/>
        </w:rPr>
      </w:pPr>
      <w:r w:rsidRPr="004F160E">
        <w:rPr>
          <w:rFonts w:ascii="Cambria" w:hAnsi="Cambria"/>
          <w:sz w:val="20"/>
        </w:rPr>
        <w:t>Issues identified at an early stage and proactive planning and advice given</w:t>
      </w:r>
    </w:p>
    <w:p w:rsidR="004F160E" w:rsidRPr="004F160E" w:rsidRDefault="004F160E" w:rsidP="004F160E">
      <w:pPr>
        <w:pStyle w:val="ListParagraph"/>
        <w:numPr>
          <w:ilvl w:val="0"/>
          <w:numId w:val="13"/>
        </w:numPr>
        <w:spacing w:before="60" w:after="0" w:line="240" w:lineRule="auto"/>
        <w:contextualSpacing w:val="0"/>
        <w:jc w:val="both"/>
        <w:rPr>
          <w:rFonts w:ascii="Cambria" w:hAnsi="Cambria"/>
          <w:sz w:val="20"/>
        </w:rPr>
      </w:pPr>
      <w:r w:rsidRPr="004F160E">
        <w:rPr>
          <w:rFonts w:ascii="Cambria" w:hAnsi="Cambria"/>
          <w:sz w:val="20"/>
        </w:rPr>
        <w:t>Advice tailored to the specific strategic needs of Stonewater</w:t>
      </w:r>
    </w:p>
    <w:p w:rsidR="004F160E" w:rsidRPr="004F160E" w:rsidRDefault="004F160E" w:rsidP="004F160E">
      <w:pPr>
        <w:pStyle w:val="ListParagraph"/>
        <w:numPr>
          <w:ilvl w:val="0"/>
          <w:numId w:val="13"/>
        </w:numPr>
        <w:spacing w:before="60" w:after="0" w:line="240" w:lineRule="auto"/>
        <w:contextualSpacing w:val="0"/>
        <w:jc w:val="both"/>
        <w:rPr>
          <w:rFonts w:ascii="Cambria" w:hAnsi="Cambria"/>
          <w:sz w:val="20"/>
        </w:rPr>
      </w:pPr>
      <w:r w:rsidRPr="004F160E">
        <w:rPr>
          <w:rFonts w:ascii="Cambria" w:hAnsi="Cambria"/>
          <w:sz w:val="20"/>
        </w:rPr>
        <w:t>Experience in providing training on treasury and corporate finance topics appropriate to the specific audience</w:t>
      </w:r>
    </w:p>
    <w:p w:rsidR="004F160E" w:rsidRPr="004F160E" w:rsidRDefault="004F160E" w:rsidP="004F160E">
      <w:pPr>
        <w:spacing w:before="60"/>
        <w:jc w:val="both"/>
        <w:rPr>
          <w:rFonts w:ascii="Cambria" w:hAnsi="Cambria"/>
          <w:sz w:val="20"/>
          <w:u w:val="single"/>
        </w:rPr>
      </w:pPr>
    </w:p>
    <w:p w:rsidR="004F160E" w:rsidRPr="004F160E" w:rsidRDefault="004F160E" w:rsidP="004F160E">
      <w:pPr>
        <w:spacing w:before="60"/>
        <w:jc w:val="both"/>
        <w:rPr>
          <w:rFonts w:ascii="Cambria" w:hAnsi="Cambria"/>
          <w:b/>
          <w:sz w:val="20"/>
          <w:u w:val="single"/>
        </w:rPr>
      </w:pPr>
      <w:r w:rsidRPr="004F160E">
        <w:rPr>
          <w:rFonts w:ascii="Cambria" w:hAnsi="Cambria"/>
          <w:b/>
          <w:sz w:val="20"/>
          <w:u w:val="single"/>
        </w:rPr>
        <w:t xml:space="preserve">Strategic &amp; Market Awareness, Relationship </w:t>
      </w:r>
    </w:p>
    <w:p w:rsidR="004F160E" w:rsidRPr="004F160E" w:rsidRDefault="004F160E" w:rsidP="004F160E">
      <w:pPr>
        <w:pStyle w:val="ListParagraph"/>
        <w:numPr>
          <w:ilvl w:val="0"/>
          <w:numId w:val="12"/>
        </w:numPr>
        <w:spacing w:before="60" w:after="0" w:line="240" w:lineRule="auto"/>
        <w:contextualSpacing w:val="0"/>
        <w:jc w:val="both"/>
        <w:rPr>
          <w:rFonts w:ascii="Cambria" w:hAnsi="Cambria"/>
          <w:sz w:val="20"/>
        </w:rPr>
      </w:pPr>
      <w:r w:rsidRPr="004F160E">
        <w:rPr>
          <w:rFonts w:ascii="Cambria" w:hAnsi="Cambria"/>
          <w:sz w:val="20"/>
        </w:rPr>
        <w:t>Based on excellent market knowledge and strategic insight</w:t>
      </w:r>
    </w:p>
    <w:p w:rsidR="004F160E" w:rsidRPr="004F160E" w:rsidRDefault="004F160E" w:rsidP="004F160E">
      <w:pPr>
        <w:pStyle w:val="ListParagraph"/>
        <w:numPr>
          <w:ilvl w:val="0"/>
          <w:numId w:val="12"/>
        </w:numPr>
        <w:spacing w:before="60" w:after="0" w:line="240" w:lineRule="auto"/>
        <w:contextualSpacing w:val="0"/>
        <w:jc w:val="both"/>
        <w:rPr>
          <w:rFonts w:ascii="Cambria" w:hAnsi="Cambria"/>
          <w:sz w:val="20"/>
        </w:rPr>
      </w:pPr>
      <w:r w:rsidRPr="004F160E">
        <w:rPr>
          <w:rFonts w:ascii="Cambria" w:hAnsi="Cambria"/>
          <w:sz w:val="20"/>
        </w:rPr>
        <w:t>Up to date with issues – within the relevant financial markets, housing sector, and government, regulatory and economic policy</w:t>
      </w:r>
    </w:p>
    <w:p w:rsidR="004F160E" w:rsidRPr="004F160E" w:rsidRDefault="004F160E" w:rsidP="004F160E">
      <w:pPr>
        <w:pStyle w:val="ListParagraph"/>
        <w:numPr>
          <w:ilvl w:val="0"/>
          <w:numId w:val="12"/>
        </w:numPr>
        <w:spacing w:before="60" w:after="0" w:line="240" w:lineRule="auto"/>
        <w:contextualSpacing w:val="0"/>
        <w:jc w:val="both"/>
        <w:rPr>
          <w:rFonts w:ascii="Cambria" w:hAnsi="Cambria"/>
          <w:sz w:val="20"/>
        </w:rPr>
      </w:pPr>
      <w:r w:rsidRPr="004F160E">
        <w:rPr>
          <w:rFonts w:ascii="Cambria" w:hAnsi="Cambria"/>
          <w:sz w:val="20"/>
        </w:rPr>
        <w:t>Maintain regular communication which is useful and relevant, at appropriate levels within Stonewater</w:t>
      </w:r>
    </w:p>
    <w:p w:rsidR="004F160E" w:rsidRPr="004F160E" w:rsidRDefault="004F160E" w:rsidP="004F160E">
      <w:pPr>
        <w:pStyle w:val="ListParagraph"/>
        <w:numPr>
          <w:ilvl w:val="0"/>
          <w:numId w:val="12"/>
        </w:numPr>
        <w:spacing w:before="60" w:after="0" w:line="240" w:lineRule="auto"/>
        <w:contextualSpacing w:val="0"/>
        <w:jc w:val="both"/>
        <w:rPr>
          <w:rFonts w:ascii="Cambria" w:hAnsi="Cambria"/>
          <w:sz w:val="20"/>
        </w:rPr>
      </w:pPr>
      <w:r w:rsidRPr="004F160E">
        <w:rPr>
          <w:rFonts w:ascii="Cambria" w:hAnsi="Cambria"/>
          <w:sz w:val="20"/>
        </w:rPr>
        <w:t>Continuing interest in the Association’s business</w:t>
      </w:r>
    </w:p>
    <w:p w:rsidR="004F160E" w:rsidRPr="004F160E" w:rsidRDefault="004F160E" w:rsidP="004F160E">
      <w:pPr>
        <w:spacing w:before="60"/>
        <w:jc w:val="both"/>
        <w:rPr>
          <w:rFonts w:ascii="Cambria" w:hAnsi="Cambria"/>
          <w:sz w:val="20"/>
        </w:rPr>
      </w:pPr>
    </w:p>
    <w:p w:rsidR="004F160E" w:rsidRPr="004F160E" w:rsidRDefault="004F160E" w:rsidP="004F160E">
      <w:pPr>
        <w:spacing w:before="60"/>
        <w:jc w:val="both"/>
        <w:rPr>
          <w:rFonts w:ascii="Cambria" w:hAnsi="Cambria"/>
          <w:b/>
          <w:sz w:val="20"/>
          <w:u w:val="single"/>
        </w:rPr>
      </w:pPr>
      <w:r w:rsidRPr="004F160E">
        <w:rPr>
          <w:rFonts w:ascii="Cambria" w:hAnsi="Cambria"/>
          <w:b/>
          <w:sz w:val="20"/>
          <w:u w:val="single"/>
        </w:rPr>
        <w:t xml:space="preserve">Service Quality and Delivery </w:t>
      </w:r>
    </w:p>
    <w:p w:rsidR="004F160E" w:rsidRPr="004F160E" w:rsidRDefault="004F160E" w:rsidP="004F160E">
      <w:pPr>
        <w:pStyle w:val="ListParagraph"/>
        <w:numPr>
          <w:ilvl w:val="0"/>
          <w:numId w:val="13"/>
        </w:numPr>
        <w:spacing w:before="60" w:after="0" w:line="240" w:lineRule="auto"/>
        <w:contextualSpacing w:val="0"/>
        <w:jc w:val="both"/>
        <w:rPr>
          <w:rFonts w:ascii="Cambria" w:hAnsi="Cambria"/>
          <w:sz w:val="20"/>
        </w:rPr>
      </w:pPr>
      <w:r w:rsidRPr="004F160E">
        <w:rPr>
          <w:rFonts w:ascii="Cambria" w:hAnsi="Cambria"/>
          <w:sz w:val="20"/>
        </w:rPr>
        <w:t>Respond to requests in a timely manner, consistently meet agreed deadlines</w:t>
      </w:r>
    </w:p>
    <w:p w:rsidR="004F160E" w:rsidRPr="004F160E" w:rsidRDefault="004F160E" w:rsidP="004F160E">
      <w:pPr>
        <w:pStyle w:val="ListParagraph"/>
        <w:numPr>
          <w:ilvl w:val="0"/>
          <w:numId w:val="13"/>
        </w:numPr>
        <w:spacing w:before="60" w:after="0" w:line="240" w:lineRule="auto"/>
        <w:contextualSpacing w:val="0"/>
        <w:jc w:val="both"/>
        <w:rPr>
          <w:rFonts w:ascii="Cambria" w:hAnsi="Cambria"/>
          <w:sz w:val="20"/>
        </w:rPr>
      </w:pPr>
      <w:r w:rsidRPr="004F160E">
        <w:rPr>
          <w:rFonts w:ascii="Cambria" w:hAnsi="Cambria"/>
          <w:sz w:val="20"/>
        </w:rPr>
        <w:t>Proper and adequate notice given of delays or previously unforeseen problems</w:t>
      </w:r>
    </w:p>
    <w:p w:rsidR="004F160E" w:rsidRPr="004F160E" w:rsidRDefault="004F160E" w:rsidP="004F160E">
      <w:pPr>
        <w:pStyle w:val="ListParagraph"/>
        <w:numPr>
          <w:ilvl w:val="0"/>
          <w:numId w:val="13"/>
        </w:numPr>
        <w:spacing w:before="60" w:after="0" w:line="240" w:lineRule="auto"/>
        <w:contextualSpacing w:val="0"/>
        <w:jc w:val="both"/>
        <w:rPr>
          <w:rFonts w:ascii="Cambria" w:hAnsi="Cambria"/>
          <w:sz w:val="20"/>
        </w:rPr>
      </w:pPr>
      <w:r w:rsidRPr="004F160E">
        <w:rPr>
          <w:rFonts w:ascii="Cambria" w:hAnsi="Cambria"/>
          <w:sz w:val="20"/>
        </w:rPr>
        <w:t>Reports should be in a readable form, user friendly, well presented and at a technical level  appropriate to the specific audience</w:t>
      </w:r>
    </w:p>
    <w:p w:rsidR="004F160E" w:rsidRPr="004F160E" w:rsidRDefault="004F160E" w:rsidP="004F160E">
      <w:pPr>
        <w:pStyle w:val="ListParagraph"/>
        <w:numPr>
          <w:ilvl w:val="0"/>
          <w:numId w:val="13"/>
        </w:numPr>
        <w:spacing w:before="60" w:after="0" w:line="240" w:lineRule="auto"/>
        <w:contextualSpacing w:val="0"/>
        <w:jc w:val="both"/>
        <w:rPr>
          <w:rFonts w:ascii="Cambria" w:hAnsi="Cambria"/>
          <w:sz w:val="20"/>
        </w:rPr>
      </w:pPr>
      <w:r w:rsidRPr="004F160E">
        <w:rPr>
          <w:rFonts w:ascii="Cambria" w:hAnsi="Cambria"/>
          <w:sz w:val="20"/>
        </w:rPr>
        <w:t>Reports should be discussed in draft form with the responsible staff before they are issued</w:t>
      </w:r>
    </w:p>
    <w:p w:rsidR="004F160E" w:rsidRPr="004F160E" w:rsidRDefault="004F160E" w:rsidP="004F160E">
      <w:pPr>
        <w:spacing w:before="60"/>
        <w:jc w:val="both"/>
        <w:rPr>
          <w:rFonts w:ascii="Cambria" w:hAnsi="Cambria"/>
          <w:sz w:val="20"/>
        </w:rPr>
      </w:pPr>
    </w:p>
    <w:p w:rsidR="004F160E" w:rsidRPr="004F160E" w:rsidRDefault="004F160E" w:rsidP="004F160E">
      <w:pPr>
        <w:spacing w:before="60"/>
        <w:jc w:val="both"/>
        <w:rPr>
          <w:rFonts w:ascii="Cambria" w:hAnsi="Cambria"/>
          <w:b/>
          <w:sz w:val="20"/>
          <w:u w:val="single"/>
        </w:rPr>
      </w:pPr>
      <w:r w:rsidRPr="004F160E">
        <w:rPr>
          <w:rFonts w:ascii="Cambria" w:hAnsi="Cambria"/>
          <w:b/>
          <w:sz w:val="20"/>
          <w:u w:val="single"/>
        </w:rPr>
        <w:t xml:space="preserve">Managing the Service  </w:t>
      </w:r>
    </w:p>
    <w:p w:rsidR="004F160E" w:rsidRPr="004F160E" w:rsidRDefault="004F160E" w:rsidP="004F160E">
      <w:pPr>
        <w:pStyle w:val="ListParagraph"/>
        <w:numPr>
          <w:ilvl w:val="0"/>
          <w:numId w:val="10"/>
        </w:numPr>
        <w:spacing w:before="60" w:after="0" w:line="240" w:lineRule="auto"/>
        <w:contextualSpacing w:val="0"/>
        <w:jc w:val="both"/>
        <w:rPr>
          <w:rFonts w:ascii="Cambria" w:hAnsi="Cambria"/>
          <w:sz w:val="20"/>
        </w:rPr>
      </w:pPr>
      <w:r w:rsidRPr="004F160E">
        <w:rPr>
          <w:rFonts w:ascii="Cambria" w:hAnsi="Cambria"/>
          <w:sz w:val="20"/>
        </w:rPr>
        <w:t>Material issues dealt with sensitively and at the appropriate level</w:t>
      </w:r>
    </w:p>
    <w:p w:rsidR="004F160E" w:rsidRPr="004F160E" w:rsidRDefault="004F160E" w:rsidP="004F160E">
      <w:pPr>
        <w:pStyle w:val="ListParagraph"/>
        <w:numPr>
          <w:ilvl w:val="0"/>
          <w:numId w:val="10"/>
        </w:numPr>
        <w:spacing w:before="60" w:after="0" w:line="240" w:lineRule="auto"/>
        <w:contextualSpacing w:val="0"/>
        <w:jc w:val="both"/>
        <w:rPr>
          <w:rFonts w:ascii="Cambria" w:hAnsi="Cambria"/>
          <w:sz w:val="20"/>
        </w:rPr>
      </w:pPr>
      <w:r w:rsidRPr="004F160E">
        <w:rPr>
          <w:rFonts w:ascii="Cambria" w:hAnsi="Cambria"/>
          <w:sz w:val="20"/>
        </w:rPr>
        <w:t>Staffing consistent and appropriate to the point of service delivery, and changes openly discussed with Stonewater and executed efficiently. Any changes to staffing should be of the same experience and hold the equivalent qualifications.</w:t>
      </w:r>
    </w:p>
    <w:p w:rsidR="004F160E" w:rsidRPr="004F160E" w:rsidRDefault="004F160E" w:rsidP="004F160E">
      <w:pPr>
        <w:spacing w:before="60"/>
        <w:ind w:left="720"/>
        <w:jc w:val="both"/>
        <w:rPr>
          <w:rFonts w:ascii="Cambria" w:hAnsi="Cambria"/>
          <w:sz w:val="20"/>
        </w:rPr>
      </w:pPr>
    </w:p>
    <w:p w:rsidR="004F160E" w:rsidRPr="004F160E" w:rsidRDefault="004F160E" w:rsidP="004F160E">
      <w:pPr>
        <w:spacing w:before="60"/>
        <w:jc w:val="both"/>
        <w:rPr>
          <w:rFonts w:ascii="Cambria" w:hAnsi="Cambria"/>
          <w:b/>
          <w:sz w:val="20"/>
          <w:u w:val="single"/>
        </w:rPr>
      </w:pPr>
      <w:r w:rsidRPr="004F160E">
        <w:rPr>
          <w:rFonts w:ascii="Cambria" w:hAnsi="Cambria"/>
          <w:b/>
          <w:sz w:val="20"/>
          <w:u w:val="single"/>
        </w:rPr>
        <w:t xml:space="preserve">Value  </w:t>
      </w:r>
    </w:p>
    <w:p w:rsidR="004F160E" w:rsidRPr="004F160E" w:rsidRDefault="004F160E" w:rsidP="004F160E">
      <w:pPr>
        <w:pStyle w:val="ListParagraph"/>
        <w:numPr>
          <w:ilvl w:val="0"/>
          <w:numId w:val="11"/>
        </w:numPr>
        <w:spacing w:before="60" w:after="0" w:line="240" w:lineRule="auto"/>
        <w:contextualSpacing w:val="0"/>
        <w:jc w:val="both"/>
        <w:rPr>
          <w:rFonts w:ascii="Cambria" w:hAnsi="Cambria"/>
          <w:sz w:val="20"/>
        </w:rPr>
      </w:pPr>
      <w:r w:rsidRPr="004F160E">
        <w:rPr>
          <w:rFonts w:ascii="Cambria" w:hAnsi="Cambria"/>
          <w:sz w:val="20"/>
        </w:rPr>
        <w:t xml:space="preserve">Fees offering Value for Money in terms of financial benchmarking </w:t>
      </w:r>
    </w:p>
    <w:p w:rsidR="004F160E" w:rsidRPr="004F160E" w:rsidRDefault="004F160E" w:rsidP="004F160E">
      <w:pPr>
        <w:pStyle w:val="ListParagraph"/>
        <w:numPr>
          <w:ilvl w:val="0"/>
          <w:numId w:val="11"/>
        </w:numPr>
        <w:spacing w:before="60" w:after="0" w:line="240" w:lineRule="auto"/>
        <w:contextualSpacing w:val="0"/>
        <w:jc w:val="both"/>
        <w:rPr>
          <w:rFonts w:ascii="Cambria" w:hAnsi="Cambria"/>
          <w:sz w:val="20"/>
        </w:rPr>
      </w:pPr>
      <w:r w:rsidRPr="004F160E">
        <w:rPr>
          <w:rFonts w:ascii="Cambria" w:hAnsi="Cambria"/>
          <w:sz w:val="20"/>
        </w:rPr>
        <w:t>Additional costs monitored and variations explained</w:t>
      </w:r>
    </w:p>
    <w:p w:rsidR="004F160E" w:rsidRPr="004F160E" w:rsidRDefault="004F160E" w:rsidP="004F160E">
      <w:pPr>
        <w:pStyle w:val="ListParagraph"/>
        <w:numPr>
          <w:ilvl w:val="0"/>
          <w:numId w:val="11"/>
        </w:numPr>
        <w:spacing w:before="60" w:after="0" w:line="240" w:lineRule="auto"/>
        <w:contextualSpacing w:val="0"/>
        <w:jc w:val="both"/>
        <w:rPr>
          <w:rFonts w:ascii="Cambria" w:hAnsi="Cambria"/>
          <w:b/>
          <w:sz w:val="20"/>
        </w:rPr>
      </w:pPr>
      <w:r w:rsidRPr="004F160E">
        <w:rPr>
          <w:rFonts w:ascii="Cambria" w:hAnsi="Cambria"/>
          <w:sz w:val="20"/>
        </w:rPr>
        <w:t>Contribution to improving Stonewater’s business efficiency and treasury processes</w:t>
      </w:r>
    </w:p>
    <w:p w:rsidR="004F160E" w:rsidRPr="004F160E" w:rsidRDefault="004F160E">
      <w:pPr>
        <w:rPr>
          <w:rFonts w:ascii="Cambria" w:hAnsi="Cambria"/>
        </w:rPr>
      </w:pPr>
    </w:p>
    <w:sectPr w:rsidR="004F160E" w:rsidRPr="004F160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60E" w:rsidRDefault="004F160E" w:rsidP="004F160E">
      <w:pPr>
        <w:spacing w:after="0" w:line="240" w:lineRule="auto"/>
      </w:pPr>
      <w:r>
        <w:separator/>
      </w:r>
    </w:p>
  </w:endnote>
  <w:endnote w:type="continuationSeparator" w:id="0">
    <w:p w:rsidR="004F160E" w:rsidRDefault="004F160E" w:rsidP="004F1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149857"/>
      <w:docPartObj>
        <w:docPartGallery w:val="Page Numbers (Bottom of Page)"/>
        <w:docPartUnique/>
      </w:docPartObj>
    </w:sdtPr>
    <w:sdtEndPr>
      <w:rPr>
        <w:color w:val="7F7F7F" w:themeColor="background1" w:themeShade="7F"/>
        <w:spacing w:val="60"/>
      </w:rPr>
    </w:sdtEndPr>
    <w:sdtContent>
      <w:p w:rsidR="004F160E" w:rsidRDefault="004F160E">
        <w:pPr>
          <w:pStyle w:val="Footer"/>
          <w:pBdr>
            <w:top w:val="single" w:sz="4" w:space="1" w:color="D9D9D9" w:themeColor="background1" w:themeShade="D9"/>
          </w:pBdr>
          <w:jc w:val="right"/>
        </w:pPr>
        <w:r>
          <w:fldChar w:fldCharType="begin"/>
        </w:r>
        <w:r>
          <w:instrText xml:space="preserve"> PAGE   \* MERGEFORMAT </w:instrText>
        </w:r>
        <w:r>
          <w:fldChar w:fldCharType="separate"/>
        </w:r>
        <w:r w:rsidR="00B745F0">
          <w:rPr>
            <w:noProof/>
          </w:rPr>
          <w:t>1</w:t>
        </w:r>
        <w:r>
          <w:rPr>
            <w:noProof/>
          </w:rPr>
          <w:fldChar w:fldCharType="end"/>
        </w:r>
        <w:r>
          <w:t xml:space="preserve"> | </w:t>
        </w:r>
        <w:r>
          <w:rPr>
            <w:color w:val="7F7F7F" w:themeColor="background1" w:themeShade="7F"/>
            <w:spacing w:val="60"/>
          </w:rPr>
          <w:t>Page</w:t>
        </w:r>
      </w:p>
    </w:sdtContent>
  </w:sdt>
  <w:p w:rsidR="004F160E" w:rsidRDefault="004F1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60E" w:rsidRDefault="004F160E" w:rsidP="004F160E">
      <w:pPr>
        <w:spacing w:after="0" w:line="240" w:lineRule="auto"/>
      </w:pPr>
      <w:r>
        <w:separator/>
      </w:r>
    </w:p>
  </w:footnote>
  <w:footnote w:type="continuationSeparator" w:id="0">
    <w:p w:rsidR="004F160E" w:rsidRDefault="004F160E" w:rsidP="004F1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60E" w:rsidRDefault="004F160E">
    <w:pPr>
      <w:pStyle w:val="Header"/>
    </w:pPr>
    <w:r>
      <w:rPr>
        <w:noProof/>
        <w:lang w:eastAsia="en-GB"/>
      </w:rPr>
      <w:drawing>
        <wp:anchor distT="0" distB="0" distL="114300" distR="114300" simplePos="0" relativeHeight="251658240" behindDoc="0" locked="0" layoutInCell="1" allowOverlap="1">
          <wp:simplePos x="0" y="0"/>
          <wp:positionH relativeFrom="column">
            <wp:posOffset>4625340</wp:posOffset>
          </wp:positionH>
          <wp:positionV relativeFrom="paragraph">
            <wp:posOffset>-91440</wp:posOffset>
          </wp:positionV>
          <wp:extent cx="1457325" cy="323215"/>
          <wp:effectExtent l="0" t="0" r="9525" b="635"/>
          <wp:wrapThrough wrapText="bothSides">
            <wp:wrapPolygon edited="0">
              <wp:start x="0" y="0"/>
              <wp:lineTo x="0" y="20369"/>
              <wp:lineTo x="21459" y="20369"/>
              <wp:lineTo x="2145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23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60DA"/>
    <w:multiLevelType w:val="hybridMultilevel"/>
    <w:tmpl w:val="9130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D74BD"/>
    <w:multiLevelType w:val="hybridMultilevel"/>
    <w:tmpl w:val="DAFA5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7D624D"/>
    <w:multiLevelType w:val="hybridMultilevel"/>
    <w:tmpl w:val="C7547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031A1"/>
    <w:multiLevelType w:val="hybridMultilevel"/>
    <w:tmpl w:val="5802C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95CE5"/>
    <w:multiLevelType w:val="hybridMultilevel"/>
    <w:tmpl w:val="096CB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675A36"/>
    <w:multiLevelType w:val="hybridMultilevel"/>
    <w:tmpl w:val="66C4CBC8"/>
    <w:lvl w:ilvl="0" w:tplc="43F8E010">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112E80"/>
    <w:multiLevelType w:val="hybridMultilevel"/>
    <w:tmpl w:val="D4D80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3D4521"/>
    <w:multiLevelType w:val="hybridMultilevel"/>
    <w:tmpl w:val="AD98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B3EC8"/>
    <w:multiLevelType w:val="hybridMultilevel"/>
    <w:tmpl w:val="13D8B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8D51A5"/>
    <w:multiLevelType w:val="hybridMultilevel"/>
    <w:tmpl w:val="FC74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E06314"/>
    <w:multiLevelType w:val="hybridMultilevel"/>
    <w:tmpl w:val="71FE9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574989"/>
    <w:multiLevelType w:val="multilevel"/>
    <w:tmpl w:val="E584BB72"/>
    <w:lvl w:ilvl="0">
      <w:numFmt w:val="decimal"/>
      <w:pStyle w:val="Appendix"/>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1659B3"/>
    <w:multiLevelType w:val="multilevel"/>
    <w:tmpl w:val="6984488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12"/>
  </w:num>
  <w:num w:numId="3">
    <w:abstractNumId w:val="5"/>
  </w:num>
  <w:num w:numId="4">
    <w:abstractNumId w:val="6"/>
  </w:num>
  <w:num w:numId="5">
    <w:abstractNumId w:val="4"/>
  </w:num>
  <w:num w:numId="6">
    <w:abstractNumId w:val="10"/>
  </w:num>
  <w:num w:numId="7">
    <w:abstractNumId w:val="2"/>
  </w:num>
  <w:num w:numId="8">
    <w:abstractNumId w:val="1"/>
  </w:num>
  <w:num w:numId="9">
    <w:abstractNumId w:val="11"/>
  </w:num>
  <w:num w:numId="10">
    <w:abstractNumId w:val="7"/>
  </w:num>
  <w:num w:numId="11">
    <w:abstractNumId w:val="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0E"/>
    <w:rsid w:val="004F160E"/>
    <w:rsid w:val="005B6561"/>
    <w:rsid w:val="00B745F0"/>
    <w:rsid w:val="00E85F26"/>
    <w:rsid w:val="00ED3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F1664F"/>
  <w15:chartTrackingRefBased/>
  <w15:docId w15:val="{A908375F-7B6D-4816-807B-FED9E9C8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6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F160E"/>
    <w:pPr>
      <w:ind w:left="720"/>
      <w:contextualSpacing/>
    </w:pPr>
  </w:style>
  <w:style w:type="paragraph" w:customStyle="1" w:styleId="Appendix">
    <w:name w:val="Appendix"/>
    <w:basedOn w:val="Normal"/>
    <w:rsid w:val="004F160E"/>
    <w:pPr>
      <w:keepNext/>
      <w:numPr>
        <w:numId w:val="9"/>
      </w:numPr>
      <w:spacing w:after="284" w:line="240" w:lineRule="auto"/>
    </w:pPr>
    <w:rPr>
      <w:rFonts w:ascii="Arial" w:eastAsia="Times" w:hAnsi="Arial" w:cs="Times New Roman"/>
      <w:b/>
      <w:bCs/>
      <w:noProof/>
      <w:color w:val="0072C6"/>
      <w:sz w:val="36"/>
      <w:szCs w:val="28"/>
      <w:lang w:val="en-US"/>
    </w:rPr>
  </w:style>
  <w:style w:type="paragraph" w:styleId="Header">
    <w:name w:val="header"/>
    <w:basedOn w:val="Normal"/>
    <w:link w:val="HeaderChar"/>
    <w:uiPriority w:val="99"/>
    <w:unhideWhenUsed/>
    <w:rsid w:val="004F16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60E"/>
  </w:style>
  <w:style w:type="paragraph" w:styleId="Footer">
    <w:name w:val="footer"/>
    <w:basedOn w:val="Normal"/>
    <w:link w:val="FooterChar"/>
    <w:uiPriority w:val="99"/>
    <w:unhideWhenUsed/>
    <w:rsid w:val="004F1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Russell</dc:creator>
  <cp:keywords/>
  <dc:description/>
  <cp:lastModifiedBy>Andrew Russell</cp:lastModifiedBy>
  <cp:revision>3</cp:revision>
  <dcterms:created xsi:type="dcterms:W3CDTF">2022-08-15T13:59:00Z</dcterms:created>
  <dcterms:modified xsi:type="dcterms:W3CDTF">2022-08-25T16:15:00Z</dcterms:modified>
</cp:coreProperties>
</file>