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pos="4513"/>
        <w:tab w:val="right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RM6259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pos="4513"/>
        <w:tab w:val="right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nIzGNXFyFnanhgmrHexnQBeFMg==">AMUW2mWddyuvhBrBBMc5KgnXKQyZL1eKdIO/tEKC11n9x/BP0Zd3bNMTUSyNa+vgVmJvBqg/zlC+EruzPQeUftnUwJ+4QkULZXohpNjaJtPOsRm4FV3NUFm23Uq3SBct5rxzTXKquVrb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