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w:t>
      </w:r>
      <w:proofErr w:type="gramStart"/>
      <w:r>
        <w:rPr>
          <w:rFonts w:ascii="Arial" w:hAnsi="Arial" w:cs="Arial"/>
        </w:rPr>
        <w:t>are able to</w:t>
      </w:r>
      <w:proofErr w:type="gramEnd"/>
      <w:r>
        <w:rPr>
          <w:rFonts w:ascii="Arial" w:hAnsi="Arial" w:cs="Arial"/>
        </w:rPr>
        <w:t xml:space="preserve">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45CD87FA" w:rsidR="00DD4432" w:rsidRDefault="00CB0726">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3984B" w14:textId="77777777" w:rsidR="00DD4432" w:rsidRDefault="00287FD2">
            <w:pPr>
              <w:spacing w:after="0" w:line="240" w:lineRule="auto"/>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C40DD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C40DD2" w:rsidRDefault="00C40DD2" w:rsidP="00C40DD2">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58BCB068" w:rsidR="00C40DD2" w:rsidRDefault="00C40DD2" w:rsidP="00C40DD2">
            <w:pPr>
              <w:spacing w:after="0" w:line="240" w:lineRule="auto"/>
              <w:rPr>
                <w:rFonts w:ascii="Arial" w:hAnsi="Arial" w:cs="Arial"/>
                <w:lang w:eastAsia="en-GB"/>
              </w:rPr>
            </w:pPr>
            <w:r>
              <w:rPr>
                <w:rFonts w:ascii="Arial" w:hAnsi="Arial" w:cs="Arial"/>
                <w:lang w:eastAsia="en-GB"/>
              </w:rPr>
              <w:t xml:space="preserve">SmartSourcing Limited </w:t>
            </w:r>
          </w:p>
        </w:tc>
      </w:tr>
      <w:tr w:rsidR="00C40DD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C40DD2" w:rsidRDefault="00C40DD2" w:rsidP="00C40DD2">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6CC84FCD" w:rsidR="00C40DD2" w:rsidRDefault="00287FD2" w:rsidP="00C40DD2">
            <w:pPr>
              <w:spacing w:after="0" w:line="240" w:lineRule="auto"/>
              <w:rPr>
                <w:rFonts w:ascii="Arial" w:hAnsi="Arial" w:cs="Arial"/>
                <w:lang w:eastAsia="en-GB"/>
              </w:rPr>
            </w:pPr>
            <w:r>
              <w:rPr>
                <w:rFonts w:ascii="Arial" w:hAnsi="Arial" w:cs="Arial"/>
                <w:lang w:eastAsia="en-GB"/>
              </w:rPr>
              <w:t>REDACTED</w:t>
            </w:r>
          </w:p>
        </w:tc>
      </w:tr>
      <w:tr w:rsidR="00C40DD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C40DD2" w:rsidRDefault="00C40DD2" w:rsidP="00C40DD2">
            <w:pPr>
              <w:spacing w:after="0" w:line="240" w:lineRule="auto"/>
              <w:rPr>
                <w:rFonts w:ascii="Arial" w:hAnsi="Arial" w:cs="Arial"/>
                <w:b/>
                <w:lang w:eastAsia="en-GB"/>
              </w:rPr>
            </w:pPr>
            <w:r>
              <w:rPr>
                <w:rFonts w:ascii="Arial" w:hAnsi="Arial" w:cs="Arial"/>
                <w:b/>
                <w:lang w:eastAsia="en-GB"/>
              </w:rPr>
              <w:t>Supplier Address</w:t>
            </w:r>
          </w:p>
          <w:p w14:paraId="54665F70" w14:textId="77777777" w:rsidR="00C40DD2" w:rsidRDefault="00C40DD2" w:rsidP="00C40DD2">
            <w:pPr>
              <w:spacing w:after="0" w:line="240" w:lineRule="auto"/>
              <w:rPr>
                <w:rFonts w:ascii="Arial" w:hAnsi="Arial" w:cs="Arial"/>
                <w:b/>
                <w:lang w:eastAsia="en-GB"/>
              </w:rPr>
            </w:pPr>
          </w:p>
          <w:p w14:paraId="76681E68" w14:textId="77777777" w:rsidR="00C40DD2" w:rsidRDefault="00C40DD2" w:rsidP="00C40DD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F731" w14:textId="77777777" w:rsidR="00C40DD2" w:rsidRPr="0009200D" w:rsidRDefault="00C40DD2" w:rsidP="00C40DD2">
            <w:pPr>
              <w:pStyle w:val="NoSpacing"/>
              <w:rPr>
                <w:rFonts w:ascii="Arial" w:hAnsi="Arial" w:cs="Arial"/>
              </w:rPr>
            </w:pPr>
            <w:r w:rsidRPr="0009200D">
              <w:rPr>
                <w:rFonts w:ascii="Arial" w:hAnsi="Arial" w:cs="Arial"/>
              </w:rPr>
              <w:t>Tanglewood</w:t>
            </w:r>
          </w:p>
          <w:p w14:paraId="6A5AEECF" w14:textId="77777777" w:rsidR="00C40DD2" w:rsidRPr="0009200D" w:rsidRDefault="00C40DD2" w:rsidP="00C40DD2">
            <w:pPr>
              <w:pStyle w:val="NoSpacing"/>
              <w:rPr>
                <w:rFonts w:ascii="Arial" w:hAnsi="Arial" w:cs="Arial"/>
              </w:rPr>
            </w:pPr>
            <w:r w:rsidRPr="0009200D">
              <w:rPr>
                <w:rFonts w:ascii="Arial" w:hAnsi="Arial" w:cs="Arial"/>
              </w:rPr>
              <w:t>90-92 Vicarage Hill</w:t>
            </w:r>
          </w:p>
          <w:p w14:paraId="3D887D80" w14:textId="77777777" w:rsidR="00C40DD2" w:rsidRPr="0009200D" w:rsidRDefault="00C40DD2" w:rsidP="00C40DD2">
            <w:pPr>
              <w:pStyle w:val="NoSpacing"/>
              <w:rPr>
                <w:rFonts w:ascii="Arial" w:hAnsi="Arial" w:cs="Arial"/>
              </w:rPr>
            </w:pPr>
            <w:r w:rsidRPr="0009200D">
              <w:rPr>
                <w:rFonts w:ascii="Arial" w:hAnsi="Arial" w:cs="Arial"/>
              </w:rPr>
              <w:t>South Benfleet</w:t>
            </w:r>
          </w:p>
          <w:p w14:paraId="13636A01" w14:textId="38436C78" w:rsidR="00C40DD2" w:rsidRPr="008D1888" w:rsidRDefault="00C40DD2" w:rsidP="00C40DD2">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Pr="00364B4A" w:rsidRDefault="00AD5C73">
            <w:pPr>
              <w:spacing w:after="0" w:line="240" w:lineRule="auto"/>
              <w:rPr>
                <w:rFonts w:ascii="Arial" w:hAnsi="Arial" w:cs="Arial"/>
                <w:lang w:eastAsia="en-GB"/>
              </w:rPr>
            </w:pPr>
            <w:r w:rsidRPr="00364B4A">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77777777"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059A9990" w:rsidR="00DD4432" w:rsidRPr="00364B4A" w:rsidRDefault="00503B71">
            <w:pPr>
              <w:spacing w:after="0" w:line="240" w:lineRule="auto"/>
              <w:rPr>
                <w:rFonts w:ascii="Arial" w:hAnsi="Arial" w:cs="Arial"/>
              </w:rPr>
            </w:pPr>
            <w:r w:rsidRPr="00364B4A">
              <w:rPr>
                <w:rFonts w:ascii="Arial" w:hAnsi="Arial" w:cs="Arial"/>
              </w:rPr>
              <w:t xml:space="preserve">Lot </w:t>
            </w:r>
            <w:r w:rsidR="007D206E" w:rsidRPr="00364B4A">
              <w:rPr>
                <w:rFonts w:ascii="Arial" w:hAnsi="Arial" w:cs="Arial"/>
              </w:rPr>
              <w:t>3</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7A2EB817" w:rsidR="00DD4432" w:rsidRPr="00364B4A" w:rsidRDefault="00364B4A">
            <w:pPr>
              <w:spacing w:after="0" w:line="240" w:lineRule="auto"/>
              <w:rPr>
                <w:rFonts w:ascii="Arial" w:hAnsi="Arial" w:cs="Arial"/>
              </w:rPr>
            </w:pPr>
            <w:r w:rsidRPr="00364B4A">
              <w:rPr>
                <w:rFonts w:ascii="Arial" w:hAnsi="Arial" w:cs="Arial"/>
              </w:rPr>
              <w:t>TIS0592</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3D0E9947" w:rsidR="00DD4432" w:rsidRPr="00186BA0" w:rsidRDefault="00364B4A">
            <w:pPr>
              <w:spacing w:after="0" w:line="240" w:lineRule="auto"/>
              <w:rPr>
                <w:rFonts w:ascii="Arial" w:hAnsi="Arial" w:cs="Arial"/>
              </w:rPr>
            </w:pPr>
            <w:r>
              <w:rPr>
                <w:rFonts w:ascii="Arial" w:hAnsi="Arial" w:cs="Arial"/>
              </w:rPr>
              <w:t>24/11/2022</w:t>
            </w:r>
          </w:p>
        </w:tc>
      </w:tr>
      <w:tr w:rsidR="00DD4432"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7777777"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589B9BC0" w:rsidR="00DD4432" w:rsidRDefault="00FA3068">
            <w:pPr>
              <w:spacing w:after="0" w:line="240" w:lineRule="auto"/>
              <w:rPr>
                <w:rFonts w:ascii="Arial" w:hAnsi="Arial" w:cs="Arial"/>
                <w:shd w:val="clear" w:color="auto" w:fill="FFFF00"/>
                <w:lang w:eastAsia="en-GB"/>
              </w:rPr>
            </w:pPr>
            <w:r>
              <w:rPr>
                <w:rFonts w:ascii="Arial" w:hAnsi="Arial" w:cs="Arial"/>
              </w:rPr>
              <w:t>1</w:t>
            </w:r>
            <w:r w:rsidR="00364B4A">
              <w:rPr>
                <w:rFonts w:ascii="Arial" w:hAnsi="Arial" w:cs="Arial"/>
              </w:rPr>
              <w:t>2</w:t>
            </w:r>
            <w:r w:rsidR="00477AC2">
              <w:rPr>
                <w:rFonts w:ascii="Arial" w:hAnsi="Arial" w:cs="Arial"/>
              </w:rPr>
              <w:t>/1</w:t>
            </w:r>
            <w:r w:rsidR="00364B4A">
              <w:rPr>
                <w:rFonts w:ascii="Arial" w:hAnsi="Arial" w:cs="Arial"/>
              </w:rPr>
              <w:t>2</w:t>
            </w:r>
            <w:r w:rsidR="00477AC2">
              <w:rPr>
                <w:rFonts w:ascii="Arial" w:hAnsi="Arial" w:cs="Arial"/>
              </w:rPr>
              <w:t>/2022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7E99CB9A" w:rsidR="00DD4432" w:rsidRPr="00AD5C73" w:rsidRDefault="00477AC2" w:rsidP="00AD5C73">
            <w:pPr>
              <w:rPr>
                <w:rFonts w:ascii="Arial" w:hAnsi="Arial" w:cs="Arial"/>
              </w:rPr>
            </w:pPr>
            <w:r>
              <w:rPr>
                <w:rFonts w:ascii="Arial" w:hAnsi="Arial" w:cs="Arial"/>
              </w:rPr>
              <w:t>09/</w:t>
            </w:r>
            <w:r w:rsidR="00362AE5">
              <w:rPr>
                <w:rFonts w:ascii="Arial" w:hAnsi="Arial" w:cs="Arial"/>
              </w:rPr>
              <w:t>0</w:t>
            </w:r>
            <w:r w:rsidR="00364B4A">
              <w:rPr>
                <w:rFonts w:ascii="Arial" w:hAnsi="Arial" w:cs="Arial"/>
              </w:rPr>
              <w:t>6</w:t>
            </w:r>
            <w:r>
              <w:rPr>
                <w:rFonts w:ascii="Arial" w:hAnsi="Arial" w:cs="Arial"/>
              </w:rPr>
              <w:t>/202</w:t>
            </w:r>
            <w:r w:rsidR="00364B4A">
              <w:rPr>
                <w:rFonts w:ascii="Arial" w:hAnsi="Arial" w:cs="Arial"/>
              </w:rPr>
              <w:t>3</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77777777" w:rsidR="00DD4432" w:rsidRDefault="00AD5C73">
            <w:pPr>
              <w:spacing w:after="0" w:line="240" w:lineRule="auto"/>
              <w:rPr>
                <w:rFonts w:ascii="Arial" w:hAnsi="Arial" w:cs="Arial"/>
                <w:b/>
                <w:lang w:eastAsia="en-GB"/>
              </w:rPr>
            </w:pPr>
            <w:bookmarkStart w:id="7" w:name="Extension"/>
            <w:r>
              <w:rPr>
                <w:rFonts w:ascii="Arial" w:hAnsi="Arial" w:cs="Arial"/>
                <w:b/>
                <w:lang w:eastAsia="en-GB"/>
              </w:rPr>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788F1D61" w:rsidR="00364B4A" w:rsidRPr="00364B4A" w:rsidRDefault="00364B4A">
            <w:pPr>
              <w:spacing w:after="0" w:line="240" w:lineRule="auto"/>
              <w:rPr>
                <w:rFonts w:ascii="Arial" w:hAnsi="Arial" w:cs="Arial"/>
                <w:lang w:eastAsia="en-GB"/>
              </w:rPr>
            </w:pPr>
            <w:r w:rsidRPr="00364B4A">
              <w:rPr>
                <w:rFonts w:ascii="Arial" w:hAnsi="Arial" w:cs="Arial"/>
              </w:rPr>
              <w:t>Extension options to extend for up to 12 months to 7</w:t>
            </w:r>
            <w:r w:rsidRPr="00364B4A">
              <w:rPr>
                <w:rFonts w:ascii="Arial" w:hAnsi="Arial" w:cs="Arial"/>
                <w:vertAlign w:val="superscript"/>
              </w:rPr>
              <w:t>th</w:t>
            </w:r>
            <w:r w:rsidRPr="00364B4A">
              <w:rPr>
                <w:rFonts w:ascii="Arial" w:hAnsi="Arial" w:cs="Arial"/>
              </w:rPr>
              <w:t xml:space="preserve"> June 2024 subject to the relevant approvals being obtained. </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Default="00AD5C73">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77777777" w:rsidR="00DD4432" w:rsidRDefault="00AD5C73">
            <w:pPr>
              <w:spacing w:after="0" w:line="240" w:lineRule="auto"/>
              <w:rPr>
                <w:rFonts w:ascii="Arial" w:hAnsi="Arial" w:cs="Arial"/>
                <w:lang w:eastAsia="en-GB"/>
              </w:rPr>
            </w:pPr>
            <w:r>
              <w:rPr>
                <w:rFonts w:ascii="Arial" w:hAnsi="Arial" w:cs="Arial"/>
                <w:lang w:eastAsia="en-GB"/>
              </w:rPr>
              <w:t>Independent Controller</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Default="00AD5C73">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3B3E5072" w:rsidR="00DD4432" w:rsidRPr="00443D42" w:rsidRDefault="003D28F0" w:rsidP="00443D42">
            <w:pPr>
              <w:pStyle w:val="Heading2"/>
              <w:numPr>
                <w:ilvl w:val="0"/>
                <w:numId w:val="0"/>
              </w:numPr>
              <w:spacing w:after="120"/>
            </w:pPr>
            <w:r>
              <w:t>Solution Architect</w:t>
            </w:r>
            <w:r w:rsidR="0017457C">
              <w:t xml:space="preserve"> – Customer </w:t>
            </w:r>
            <w:r w:rsidR="0017457C" w:rsidRPr="0017457C">
              <w:rPr>
                <w:szCs w:val="22"/>
              </w:rPr>
              <w:t xml:space="preserve">Digital Services &amp; </w:t>
            </w:r>
            <w:r w:rsidR="0017457C" w:rsidRPr="0017457C">
              <w:rPr>
                <w:rFonts w:cs="Arial"/>
                <w:szCs w:val="22"/>
              </w:rPr>
              <w:t>Data Transformation project/Application Optimisation Projects.</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AD5C73" w:rsidRDefault="00AD5C73">
            <w:pPr>
              <w:spacing w:after="0" w:line="240" w:lineRule="auto"/>
              <w:rPr>
                <w:rFonts w:ascii="Arial" w:hAnsi="Arial" w:cs="Arial"/>
                <w:b/>
                <w:lang w:eastAsia="en-GB"/>
              </w:rPr>
            </w:pPr>
            <w:r w:rsidRPr="00AD5C73">
              <w:rPr>
                <w:rFonts w:ascii="Arial" w:hAnsi="Arial" w:cs="Arial"/>
                <w:b/>
                <w:lang w:eastAsia="en-GB"/>
              </w:rPr>
              <w:lastRenderedPageBreak/>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77777777" w:rsidR="00AD5C73" w:rsidRDefault="00AD5C73">
            <w:pPr>
              <w:spacing w:after="0" w:line="240" w:lineRule="auto"/>
              <w:rPr>
                <w:rFonts w:ascii="Arial" w:hAnsi="Arial" w:cs="Arial"/>
                <w:lang w:eastAsia="en-GB"/>
              </w:rPr>
            </w:pPr>
            <w:r>
              <w:rPr>
                <w:rFonts w:ascii="Arial" w:hAnsi="Arial" w:cs="Arial"/>
                <w:lang w:eastAsia="en-GB"/>
              </w:rPr>
              <w:t>In Scope of IR35</w:t>
            </w:r>
          </w:p>
        </w:tc>
      </w:tr>
      <w:tr w:rsidR="0048686E" w14:paraId="015D789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CF4484" w14:textId="39333D39" w:rsidR="0048686E" w:rsidRPr="00AD5C73" w:rsidRDefault="0048686E" w:rsidP="0048686E">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4592A" w14:textId="7DC090D7" w:rsidR="0048686E" w:rsidRDefault="0048686E" w:rsidP="0048686E">
            <w:pPr>
              <w:spacing w:after="0" w:line="240" w:lineRule="auto"/>
              <w:rPr>
                <w:rFonts w:ascii="Arial" w:hAnsi="Arial" w:cs="Arial"/>
                <w:lang w:eastAsia="en-GB"/>
              </w:rPr>
            </w:pPr>
            <w:r>
              <w:rPr>
                <w:rFonts w:ascii="Arial" w:hAnsi="Arial" w:cs="Arial"/>
                <w:lang w:eastAsia="en-GB"/>
              </w:rPr>
              <w:t>Two</w:t>
            </w:r>
            <w:r w:rsidRPr="00535AF9">
              <w:rPr>
                <w:rFonts w:ascii="Arial" w:hAnsi="Arial" w:cs="Arial"/>
                <w:lang w:eastAsia="en-GB"/>
              </w:rPr>
              <w:t xml:space="preserve"> Week</w:t>
            </w:r>
            <w:r>
              <w:rPr>
                <w:rFonts w:ascii="Arial" w:hAnsi="Arial" w:cs="Arial"/>
                <w:lang w:eastAsia="en-GB"/>
              </w:rPr>
              <w:t>s</w:t>
            </w:r>
            <w:r w:rsidRPr="00535AF9">
              <w:rPr>
                <w:rFonts w:ascii="Arial" w:hAnsi="Arial" w:cs="Arial"/>
                <w:lang w:eastAsia="en-GB"/>
              </w:rPr>
              <w:t xml:space="preserve"> (</w:t>
            </w:r>
            <w:r>
              <w:rPr>
                <w:rFonts w:ascii="Arial" w:hAnsi="Arial" w:cs="Arial"/>
                <w:lang w:eastAsia="en-GB"/>
              </w:rPr>
              <w:t>Ten</w:t>
            </w:r>
            <w:r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Default="00AD5C73">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Default="00AD5C73">
            <w:pPr>
              <w:spacing w:after="0" w:line="240" w:lineRule="auto"/>
            </w:pPr>
            <w:r>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Default="00AD5C73">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0B6EFCB8" w:rsidR="00DD4432" w:rsidRDefault="0029384C">
            <w:pPr>
              <w:spacing w:after="0" w:line="240" w:lineRule="auto"/>
              <w:rPr>
                <w:rFonts w:ascii="Arial" w:hAnsi="Arial" w:cs="Arial"/>
                <w:lang w:eastAsia="en-GB"/>
              </w:rPr>
            </w:pPr>
            <w:r>
              <w:rPr>
                <w:rFonts w:ascii="Arial" w:hAnsi="Arial" w:cs="Arial"/>
                <w:lang w:eastAsia="en-GB"/>
              </w:rPr>
              <w:t>8 hours per day excluding lunch</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Default="00AD5C73">
            <w:pPr>
              <w:spacing w:after="0" w:line="240" w:lineRule="auto"/>
            </w:pPr>
            <w:r>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701A54" w:rsidRDefault="00AD5C73">
            <w:pPr>
              <w:spacing w:after="0" w:line="240" w:lineRule="auto"/>
              <w:rPr>
                <w:rFonts w:ascii="Arial" w:hAnsi="Arial" w:cs="Arial"/>
                <w:lang w:eastAsia="en-GB"/>
              </w:rPr>
            </w:pPr>
            <w:r w:rsidRPr="00701A54">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287FD2">
            <w:pPr>
              <w:spacing w:after="0" w:line="240" w:lineRule="auto"/>
            </w:pPr>
            <w:hyperlink r:id="rId13" w:history="1">
              <w:proofErr w:type="gramStart"/>
              <w:r w:rsidR="00AD5C73">
                <w:rPr>
                  <w:rStyle w:val="Hyperlink"/>
                  <w:rFonts w:ascii="Arial" w:hAnsi="Arial" w:cs="Arial"/>
                  <w:b/>
                  <w:lang w:eastAsia="en-GB"/>
                </w:rPr>
                <w:t>High cost</w:t>
              </w:r>
              <w:proofErr w:type="gramEnd"/>
              <w:r w:rsidR="00AD5C73">
                <w:rPr>
                  <w:rStyle w:val="Hyperlink"/>
                  <w:rFonts w:ascii="Arial" w:hAnsi="Arial" w:cs="Arial"/>
                  <w:b/>
                  <w:lang w:eastAsia="en-GB"/>
                </w:rPr>
                <w:t xml:space="preserve">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701A54" w:rsidRDefault="00AD5C73">
            <w:pPr>
              <w:spacing w:after="0" w:line="240" w:lineRule="auto"/>
              <w:rPr>
                <w:rFonts w:ascii="Arial" w:hAnsi="Arial" w:cs="Arial"/>
                <w:lang w:eastAsia="en-GB"/>
              </w:rPr>
            </w:pPr>
            <w:r w:rsidRPr="00701A54">
              <w:rPr>
                <w:rFonts w:ascii="Arial" w:hAnsi="Arial" w:cs="Arial"/>
                <w:lang w:eastAsia="en-GB"/>
              </w:rPr>
              <w:t>1.</w:t>
            </w:r>
            <w:r w:rsidRPr="00701A54">
              <w:rPr>
                <w:rFonts w:ascii="Arial" w:hAnsi="Arial" w:cs="Arial"/>
                <w:lang w:eastAsia="en-GB"/>
              </w:rPr>
              <w:tab/>
              <w:t>None</w:t>
            </w:r>
          </w:p>
          <w:p w14:paraId="4C4810A1" w14:textId="77777777" w:rsidR="00DD4432" w:rsidRPr="00701A54"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701A54" w:rsidRDefault="00AD5C73">
            <w:pPr>
              <w:spacing w:after="0" w:line="240" w:lineRule="auto"/>
              <w:rPr>
                <w:rFonts w:ascii="Arial" w:hAnsi="Arial" w:cs="Arial"/>
                <w:lang w:eastAsia="en-GB"/>
              </w:rPr>
            </w:pPr>
            <w:r w:rsidRPr="00701A54">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3260"/>
        <w:gridCol w:w="326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2996B8D6" w:rsidR="00DD4432" w:rsidRPr="00AD5C73" w:rsidRDefault="0048686E">
            <w:pPr>
              <w:spacing w:after="0" w:line="240" w:lineRule="auto"/>
              <w:rPr>
                <w:rFonts w:ascii="Arial" w:hAnsi="Arial" w:cs="Arial"/>
              </w:rPr>
            </w:pPr>
            <w:r>
              <w:rPr>
                <w:rFonts w:ascii="Arial" w:hAnsi="Arial" w:cs="Arial"/>
              </w:rPr>
              <w:t>10</w:t>
            </w:r>
            <w:r w:rsidR="00EA121E">
              <w:rPr>
                <w:rFonts w:ascii="Arial" w:hAnsi="Arial" w:cs="Arial"/>
              </w:rPr>
              <w:t>B</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1BFEFC5A"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294C8B" w14:textId="5FF62027" w:rsidR="00DD4432" w:rsidRPr="0048686E" w:rsidRDefault="00AD5C73">
            <w:pPr>
              <w:spacing w:after="0" w:line="240" w:lineRule="auto"/>
              <w:rPr>
                <w:rFonts w:ascii="Arial" w:hAnsi="Arial" w:cs="Arial"/>
                <w:b/>
                <w:lang w:eastAsia="en-GB"/>
              </w:rPr>
            </w:pPr>
            <w:r w:rsidRPr="0048686E">
              <w:rPr>
                <w:rFonts w:ascii="Arial" w:hAnsi="Arial" w:cs="Arial"/>
                <w:b/>
                <w:lang w:eastAsia="en-GB"/>
              </w:rPr>
              <w:t xml:space="preserve">Charge </w:t>
            </w:r>
            <w:r w:rsidR="0048686E">
              <w:rPr>
                <w:rFonts w:ascii="Arial" w:hAnsi="Arial" w:cs="Arial"/>
                <w:b/>
                <w:lang w:eastAsia="en-GB"/>
              </w:rPr>
              <w:t>R</w:t>
            </w:r>
            <w:r w:rsidRPr="0048686E">
              <w:rPr>
                <w:rFonts w:ascii="Arial" w:hAnsi="Arial" w:cs="Arial"/>
                <w:b/>
                <w:lang w:eastAsia="en-GB"/>
              </w:rPr>
              <w:t>ates</w:t>
            </w:r>
          </w:p>
          <w:p w14:paraId="126A6EFA" w14:textId="77777777" w:rsidR="00DD4432" w:rsidRDefault="00DD4432">
            <w:pPr>
              <w:spacing w:after="0" w:line="240" w:lineRule="auto"/>
              <w:rPr>
                <w:rFonts w:ascii="Arial" w:hAnsi="Arial" w:cs="Arial"/>
                <w:b/>
                <w:sz w:val="20"/>
                <w:szCs w:val="20"/>
                <w:lang w:eastAsia="en-GB"/>
              </w:rPr>
            </w:pPr>
          </w:p>
          <w:p w14:paraId="183037AD" w14:textId="77777777" w:rsidR="00DD4432" w:rsidRDefault="00DD4432">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ACEF"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Pre-AWR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126E" w14:textId="77777777" w:rsidR="00DD4432" w:rsidRDefault="00AD5C73">
            <w:pPr>
              <w:spacing w:after="0" w:line="240" w:lineRule="auto"/>
              <w:rPr>
                <w:rFonts w:ascii="Arial" w:hAnsi="Arial" w:cs="Arial"/>
                <w:lang w:eastAsia="en-GB"/>
              </w:rPr>
            </w:pPr>
            <w:r>
              <w:rPr>
                <w:rFonts w:ascii="Arial" w:hAnsi="Arial" w:cs="Arial"/>
                <w:lang w:eastAsia="en-GB"/>
              </w:rPr>
              <w:t>Post-AWR</w:t>
            </w:r>
          </w:p>
        </w:tc>
      </w:tr>
      <w:tr w:rsidR="009C2458" w14:paraId="7CF507A5" w14:textId="77777777" w:rsidTr="009C2458">
        <w:trPr>
          <w:trHeight w:val="552"/>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23BBE0" w14:textId="77777777" w:rsidR="009C2458" w:rsidRDefault="009C2458" w:rsidP="00186BA0">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EB362D" w14:textId="33BAFFFA" w:rsidR="009C2458" w:rsidRPr="009C2458" w:rsidRDefault="00287FD2" w:rsidP="00186BA0">
            <w:pPr>
              <w:pStyle w:val="NoSpacing"/>
              <w:rPr>
                <w:rFonts w:ascii="Arial" w:hAnsi="Arial" w:cs="Arial"/>
              </w:rPr>
            </w:pPr>
            <w:r>
              <w:rPr>
                <w:rFonts w:ascii="Arial" w:hAnsi="Arial" w:cs="Arial"/>
                <w:lang w:eastAsia="en-GB"/>
              </w:rPr>
              <w:t>REDACTED</w:t>
            </w:r>
          </w:p>
        </w:tc>
        <w:tc>
          <w:tcPr>
            <w:tcW w:w="32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8A1FDB" w14:textId="2D7B4723" w:rsidR="009C2458" w:rsidRPr="009C2458" w:rsidRDefault="00287FD2" w:rsidP="00186BA0">
            <w:pPr>
              <w:pStyle w:val="NoSpacing"/>
              <w:rPr>
                <w:rFonts w:ascii="Arial" w:hAnsi="Arial" w:cs="Arial"/>
              </w:rPr>
            </w:pPr>
            <w:r>
              <w:rPr>
                <w:rFonts w:ascii="Arial" w:hAnsi="Arial" w:cs="Arial"/>
                <w:lang w:eastAsia="en-GB"/>
              </w:rPr>
              <w:t>REDACTED</w:t>
            </w:r>
          </w:p>
        </w:tc>
      </w:tr>
      <w:tr w:rsidR="00186BA0" w14:paraId="76100498"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DF51C" w14:textId="77777777" w:rsidR="00186BA0" w:rsidRDefault="00186BA0" w:rsidP="00186BA0">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FBA1" w14:textId="618D8A20" w:rsidR="00186BA0" w:rsidRPr="009C2458" w:rsidRDefault="00287FD2" w:rsidP="00186BA0">
            <w:pPr>
              <w:pStyle w:val="NoSpacing"/>
              <w:rPr>
                <w:rFonts w:ascii="Arial" w:hAnsi="Arial" w:cs="Arial"/>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1BC4" w14:textId="6AA710C0" w:rsidR="00186BA0" w:rsidRPr="009C2458" w:rsidRDefault="00287FD2" w:rsidP="00186BA0">
            <w:pPr>
              <w:pStyle w:val="NoSpacing"/>
              <w:rPr>
                <w:rFonts w:ascii="Arial" w:hAnsi="Arial" w:cs="Arial"/>
              </w:rPr>
            </w:pPr>
            <w:r>
              <w:rPr>
                <w:rFonts w:ascii="Arial" w:hAnsi="Arial" w:cs="Arial"/>
                <w:lang w:eastAsia="en-GB"/>
              </w:rPr>
              <w:t>REDACTED</w:t>
            </w:r>
          </w:p>
        </w:tc>
      </w:tr>
      <w:tr w:rsidR="00186BA0" w14:paraId="54A099B4" w14:textId="77777777">
        <w:trPr>
          <w:trHeight w:val="191"/>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8D259E" w14:textId="77777777" w:rsidR="00186BA0" w:rsidRDefault="00186BA0" w:rsidP="00186BA0">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F58A" w14:textId="1E33B8F2" w:rsidR="00186BA0" w:rsidRPr="00186BA0" w:rsidRDefault="00287FD2" w:rsidP="00186BA0">
            <w:pPr>
              <w:pStyle w:val="NoSpacing"/>
              <w:rPr>
                <w:rFonts w:ascii="Arial" w:hAnsi="Arial" w:cs="Arial"/>
              </w:rPr>
            </w:pPr>
            <w:r>
              <w:rPr>
                <w:rFonts w:ascii="Arial" w:hAnsi="Arial" w:cs="Arial"/>
                <w:lang w:eastAsia="en-GB"/>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0927D" w14:textId="6F7B900E" w:rsidR="00186BA0" w:rsidRPr="00AD5C73" w:rsidRDefault="00287FD2" w:rsidP="00186BA0">
            <w:pPr>
              <w:pStyle w:val="NoSpacing"/>
              <w:rPr>
                <w:rFonts w:ascii="Arial" w:hAnsi="Arial" w:cs="Arial"/>
              </w:rPr>
            </w:pPr>
            <w:r>
              <w:rPr>
                <w:rFonts w:ascii="Arial" w:hAnsi="Arial" w:cs="Arial"/>
                <w:lang w:eastAsia="en-GB"/>
              </w:rPr>
              <w:t>REDACTED</w:t>
            </w: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Default="00AD5C73">
            <w:pPr>
              <w:spacing w:after="0" w:line="240" w:lineRule="auto"/>
              <w:rPr>
                <w:rFonts w:ascii="Arial" w:hAnsi="Arial" w:cs="Arial"/>
                <w:lang w:eastAsia="en-GB"/>
              </w:rPr>
            </w:pPr>
            <w:r>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48686E" w:rsidRDefault="00AD5C73">
            <w:pPr>
              <w:spacing w:after="0" w:line="240" w:lineRule="auto"/>
            </w:pPr>
            <w:r w:rsidRPr="0048686E">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57E1DFFF" w:rsidR="00DD4432" w:rsidRPr="0048686E" w:rsidRDefault="0048686E">
            <w:pPr>
              <w:spacing w:after="0" w:line="240" w:lineRule="auto"/>
              <w:rPr>
                <w:rFonts w:ascii="Arial" w:hAnsi="Arial" w:cs="Arial"/>
                <w:lang w:eastAsia="en-GB"/>
              </w:rPr>
            </w:pPr>
            <w:r>
              <w:rPr>
                <w:rFonts w:ascii="Arial" w:hAnsi="Arial" w:cs="Arial"/>
                <w:lang w:eastAsia="en-GB"/>
              </w:rPr>
              <w:t>N</w:t>
            </w:r>
            <w:r w:rsidR="00AD5C73" w:rsidRPr="0048686E">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 xml:space="preserve">State any skills, mandatory </w:t>
            </w:r>
            <w:proofErr w:type="gramStart"/>
            <w:r>
              <w:rPr>
                <w:rFonts w:ascii="Arial" w:hAnsi="Arial" w:cs="Arial"/>
                <w:b/>
                <w:lang w:eastAsia="en-GB"/>
              </w:rPr>
              <w:t>training</w:t>
            </w:r>
            <w:proofErr w:type="gramEnd"/>
            <w:r>
              <w:rPr>
                <w:rFonts w:ascii="Arial" w:hAnsi="Arial" w:cs="Arial"/>
                <w:b/>
                <w:lang w:eastAsia="en-GB"/>
              </w:rPr>
              <w:t xml:space="preserve">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C17E" w14:textId="77777777" w:rsidR="0062425B" w:rsidRDefault="0062425B" w:rsidP="0062425B">
            <w:pPr>
              <w:pStyle w:val="Heading2"/>
              <w:numPr>
                <w:ilvl w:val="0"/>
                <w:numId w:val="11"/>
              </w:numPr>
              <w:tabs>
                <w:tab w:val="left" w:pos="720"/>
              </w:tabs>
              <w:overflowPunct w:val="0"/>
              <w:autoSpaceDE w:val="0"/>
              <w:autoSpaceDN w:val="0"/>
              <w:spacing w:after="120"/>
              <w:ind w:left="314" w:hanging="283"/>
              <w:jc w:val="left"/>
              <w:textAlignment w:val="baseline"/>
            </w:pPr>
            <w:r>
              <w:t>Strong technical or development background is required along with the ability to discuss the details of a broad range of industry-standard technologies, across both proprietary and open-source technology stacks.</w:t>
            </w:r>
          </w:p>
          <w:p w14:paraId="759DFEC0" w14:textId="77777777" w:rsidR="0062425B" w:rsidRDefault="0062425B" w:rsidP="0062425B">
            <w:pPr>
              <w:pStyle w:val="Heading2"/>
              <w:numPr>
                <w:ilvl w:val="0"/>
                <w:numId w:val="11"/>
              </w:numPr>
              <w:tabs>
                <w:tab w:val="left" w:pos="720"/>
              </w:tabs>
              <w:overflowPunct w:val="0"/>
              <w:autoSpaceDE w:val="0"/>
              <w:autoSpaceDN w:val="0"/>
              <w:spacing w:after="120"/>
              <w:ind w:left="314" w:hanging="283"/>
              <w:textAlignment w:val="baseline"/>
            </w:pPr>
            <w:r>
              <w:t>GDS experience</w:t>
            </w:r>
          </w:p>
          <w:p w14:paraId="4942FA6B" w14:textId="77777777" w:rsidR="0062425B" w:rsidRDefault="0062425B" w:rsidP="0062425B">
            <w:pPr>
              <w:pStyle w:val="Heading2"/>
              <w:numPr>
                <w:ilvl w:val="0"/>
                <w:numId w:val="11"/>
              </w:numPr>
              <w:tabs>
                <w:tab w:val="left" w:pos="720"/>
              </w:tabs>
              <w:overflowPunct w:val="0"/>
              <w:autoSpaceDE w:val="0"/>
              <w:autoSpaceDN w:val="0"/>
              <w:spacing w:after="120"/>
              <w:ind w:left="314" w:hanging="283"/>
              <w:jc w:val="left"/>
              <w:textAlignment w:val="baseline"/>
            </w:pPr>
            <w:r>
              <w:t xml:space="preserve">Understanding of open standards, common </w:t>
            </w:r>
            <w:proofErr w:type="gramStart"/>
            <w:r>
              <w:t>components</w:t>
            </w:r>
            <w:proofErr w:type="gramEnd"/>
            <w:r>
              <w:t xml:space="preserve"> and patterns and PowerApps and related architecture</w:t>
            </w:r>
          </w:p>
          <w:p w14:paraId="298DBFA7" w14:textId="77777777" w:rsidR="0062425B" w:rsidRDefault="0062425B" w:rsidP="0062425B">
            <w:pPr>
              <w:pStyle w:val="Heading2"/>
              <w:numPr>
                <w:ilvl w:val="0"/>
                <w:numId w:val="11"/>
              </w:numPr>
              <w:tabs>
                <w:tab w:val="left" w:pos="720"/>
              </w:tabs>
              <w:overflowPunct w:val="0"/>
              <w:autoSpaceDE w:val="0"/>
              <w:autoSpaceDN w:val="0"/>
              <w:spacing w:after="120"/>
              <w:ind w:left="314" w:hanging="283"/>
              <w:jc w:val="left"/>
              <w:textAlignment w:val="baseline"/>
            </w:pPr>
            <w:r>
              <w:t>Business and data modelling</w:t>
            </w:r>
          </w:p>
          <w:p w14:paraId="510D639C" w14:textId="77777777" w:rsidR="0062425B" w:rsidRPr="0062425B" w:rsidRDefault="0062425B" w:rsidP="0062425B">
            <w:pPr>
              <w:pStyle w:val="Heading2"/>
              <w:numPr>
                <w:ilvl w:val="0"/>
                <w:numId w:val="11"/>
              </w:numPr>
              <w:tabs>
                <w:tab w:val="left" w:pos="720"/>
              </w:tabs>
              <w:overflowPunct w:val="0"/>
              <w:autoSpaceDE w:val="0"/>
              <w:autoSpaceDN w:val="0"/>
              <w:spacing w:after="120"/>
              <w:ind w:left="314" w:hanging="283"/>
              <w:jc w:val="left"/>
              <w:textAlignment w:val="baseline"/>
              <w:rPr>
                <w:rFonts w:cs="Arial"/>
                <w:lang w:eastAsia="en-GB"/>
              </w:rPr>
            </w:pPr>
            <w:r>
              <w:t>Customer and Agency security and data needs</w:t>
            </w:r>
          </w:p>
          <w:p w14:paraId="2AF31F7B" w14:textId="679B6F65" w:rsidR="00DD4432" w:rsidRDefault="0062425B" w:rsidP="0062425B">
            <w:pPr>
              <w:pStyle w:val="Heading2"/>
              <w:numPr>
                <w:ilvl w:val="0"/>
                <w:numId w:val="11"/>
              </w:numPr>
              <w:tabs>
                <w:tab w:val="left" w:pos="720"/>
              </w:tabs>
              <w:overflowPunct w:val="0"/>
              <w:autoSpaceDE w:val="0"/>
              <w:autoSpaceDN w:val="0"/>
              <w:spacing w:after="120"/>
              <w:ind w:left="314" w:hanging="283"/>
              <w:jc w:val="left"/>
              <w:textAlignment w:val="baseline"/>
              <w:rPr>
                <w:rFonts w:cs="Arial"/>
                <w:lang w:eastAsia="en-GB"/>
              </w:rPr>
            </w:pPr>
            <w:proofErr w:type="spellStart"/>
            <w:r>
              <w:t>BizzDesign</w:t>
            </w:r>
            <w:proofErr w:type="spellEnd"/>
            <w:r>
              <w:t xml:space="preserve"> &amp; </w:t>
            </w:r>
            <w:proofErr w:type="spellStart"/>
            <w:r>
              <w:t>Archimate</w:t>
            </w:r>
            <w:proofErr w:type="spellEnd"/>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w:t>
      </w:r>
      <w:proofErr w:type="gramStart"/>
      <w:r>
        <w:rPr>
          <w:rFonts w:ascii="Arial" w:hAnsi="Arial" w:cs="Arial"/>
        </w:rPr>
        <w:t>Schedules’</w:t>
      </w:r>
      <w:proofErr w:type="gramEnd"/>
      <w:r>
        <w:rPr>
          <w:rFonts w:ascii="Arial" w:hAnsi="Arial" w:cs="Arial"/>
        </w:rPr>
        <w:t xml:space="preserve"> for this Framework Contract are available on the CCS website. Visit the </w:t>
      </w:r>
      <w:hyperlink r:id="rId14" w:history="1">
        <w:proofErr w:type="gramStart"/>
        <w:r>
          <w:rPr>
            <w:rStyle w:val="Hyperlink"/>
            <w:rFonts w:ascii="Arial" w:hAnsi="Arial" w:cs="Arial"/>
          </w:rPr>
          <w:t>Non Clinical</w:t>
        </w:r>
        <w:proofErr w:type="gramEnd"/>
        <w:r>
          <w:rPr>
            <w:rStyle w:val="Hyperlink"/>
            <w:rFonts w:ascii="Arial" w:hAnsi="Arial" w:cs="Arial"/>
          </w:rPr>
          <w:t xml:space="preserve">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DD4432" w14:paraId="3B97FC24" w14:textId="77777777" w:rsidTr="00051D1D">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4A56" w14:textId="51020133" w:rsidR="00DD4432" w:rsidRDefault="00AC5CA8" w:rsidP="0048686E">
            <w:pPr>
              <w:rPr>
                <w:rFonts w:ascii="Arial" w:hAnsi="Arial" w:cs="Arial"/>
                <w:b/>
                <w:bCs/>
                <w:lang w:val="en"/>
              </w:rPr>
            </w:pPr>
            <w:r w:rsidRPr="00AC5CA8">
              <w:rPr>
                <w:rFonts w:ascii="Arial" w:hAnsi="Arial" w:cs="Arial"/>
                <w:b/>
                <w:bCs/>
                <w:lang w:val="en"/>
              </w:rPr>
              <w:t>Solution Architect</w:t>
            </w:r>
            <w:r w:rsidR="0017457C">
              <w:rPr>
                <w:rFonts w:ascii="Arial" w:hAnsi="Arial" w:cs="Arial"/>
                <w:b/>
                <w:bCs/>
                <w:lang w:val="en"/>
              </w:rPr>
              <w:t xml:space="preserve"> – </w:t>
            </w:r>
            <w:r w:rsidR="00287FD2">
              <w:rPr>
                <w:rFonts w:ascii="Arial" w:hAnsi="Arial" w:cs="Arial"/>
                <w:lang w:eastAsia="en-GB"/>
              </w:rPr>
              <w:t>REDACTED</w:t>
            </w:r>
          </w:p>
          <w:p w14:paraId="5492AD5B" w14:textId="3785F7E0" w:rsidR="00A51EAF" w:rsidRPr="0017457C" w:rsidRDefault="00A51EAF" w:rsidP="0048686E">
            <w:pPr>
              <w:rPr>
                <w:rFonts w:ascii="Arial" w:hAnsi="Arial" w:cs="Arial"/>
              </w:rPr>
            </w:pPr>
            <w:r w:rsidRPr="0017457C">
              <w:rPr>
                <w:rFonts w:ascii="Arial" w:hAnsi="Arial" w:cs="Arial"/>
              </w:rPr>
              <w:t>Supporting Customer Digital Services and Data Transformation project/Application Optimisation Projects.</w:t>
            </w:r>
          </w:p>
          <w:tbl>
            <w:tblPr>
              <w:tblW w:w="0" w:type="auto"/>
              <w:tblCellMar>
                <w:left w:w="0" w:type="dxa"/>
                <w:right w:w="0" w:type="dxa"/>
              </w:tblCellMar>
              <w:tblLook w:val="04A0" w:firstRow="1" w:lastRow="0" w:firstColumn="1" w:lastColumn="0" w:noHBand="0" w:noVBand="1"/>
            </w:tblPr>
            <w:tblGrid>
              <w:gridCol w:w="1923"/>
              <w:gridCol w:w="4013"/>
              <w:gridCol w:w="3331"/>
            </w:tblGrid>
            <w:tr w:rsidR="00040D25" w14:paraId="7C6D83E2" w14:textId="77777777" w:rsidTr="00040D25">
              <w:trPr>
                <w:trHeight w:val="126"/>
              </w:trPr>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72E7C" w14:textId="77777777" w:rsidR="00040D25" w:rsidRPr="00040D25" w:rsidRDefault="00040D25" w:rsidP="00040D25">
                  <w:pPr>
                    <w:spacing w:line="252" w:lineRule="auto"/>
                    <w:rPr>
                      <w:b/>
                      <w:bCs/>
                    </w:rPr>
                  </w:pPr>
                  <w:r w:rsidRPr="00040D25">
                    <w:rPr>
                      <w:b/>
                      <w:bCs/>
                    </w:rPr>
                    <w:t>Outcome/ Deliverable</w:t>
                  </w:r>
                </w:p>
              </w:tc>
              <w:tc>
                <w:tcPr>
                  <w:tcW w:w="104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F45EE" w14:textId="77777777" w:rsidR="00040D25" w:rsidRPr="00040D25" w:rsidRDefault="00040D25" w:rsidP="00040D25">
                  <w:pPr>
                    <w:spacing w:line="252" w:lineRule="auto"/>
                    <w:rPr>
                      <w:b/>
                      <w:bCs/>
                    </w:rPr>
                  </w:pPr>
                  <w:r w:rsidRPr="00040D25">
                    <w:rPr>
                      <w:b/>
                      <w:bCs/>
                    </w:rPr>
                    <w:t>Description</w:t>
                  </w:r>
                </w:p>
              </w:tc>
              <w:tc>
                <w:tcPr>
                  <w:tcW w:w="107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A911B" w14:textId="77777777" w:rsidR="00040D25" w:rsidRPr="00040D25" w:rsidRDefault="00040D25" w:rsidP="00040D25">
                  <w:pPr>
                    <w:spacing w:line="252" w:lineRule="auto"/>
                    <w:rPr>
                      <w:b/>
                      <w:bCs/>
                    </w:rPr>
                  </w:pPr>
                  <w:r w:rsidRPr="00040D25">
                    <w:rPr>
                      <w:b/>
                      <w:bCs/>
                    </w:rPr>
                    <w:t>Acceptance Criteria</w:t>
                  </w:r>
                </w:p>
              </w:tc>
            </w:tr>
            <w:tr w:rsidR="00040D25" w14:paraId="580A806B" w14:textId="77777777" w:rsidTr="00040D25">
              <w:trPr>
                <w:trHeight w:val="1085"/>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10697575" w14:textId="77777777" w:rsidR="00040D25" w:rsidRDefault="00040D25" w:rsidP="00040D25">
                  <w:pPr>
                    <w:spacing w:line="252" w:lineRule="auto"/>
                    <w:rPr>
                      <w:highlight w:val="yellow"/>
                    </w:rPr>
                  </w:pPr>
                  <w:r>
                    <w:t>Technical Oversight and Assurance</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38CBC2D3" w14:textId="77777777" w:rsidR="00040D25" w:rsidRDefault="00040D25" w:rsidP="00040D25">
                  <w:pPr>
                    <w:spacing w:line="252" w:lineRule="auto"/>
                  </w:pPr>
                  <w:r>
                    <w:t>To provide technical oversight and assurance to the Customer Digital Services (CDS) Project teams in conjunction with DTS senior stakeholders and governance bodies. This will continue through procurement and beta phases.</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7BFDF0C4" w14:textId="77777777" w:rsidR="00040D25" w:rsidRDefault="00040D25" w:rsidP="00040D25">
                  <w:pPr>
                    <w:spacing w:line="252" w:lineRule="auto"/>
                  </w:pPr>
                  <w:r>
                    <w:t>Responsible for ensuring the proposed routes/solutions deliver services that align with the Agency’s IT principles and meet the required outcomes of the projects</w:t>
                  </w:r>
                </w:p>
              </w:tc>
            </w:tr>
            <w:tr w:rsidR="00040D25" w14:paraId="774A4901" w14:textId="77777777" w:rsidTr="00040D25">
              <w:trPr>
                <w:trHeight w:val="1196"/>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5ED7465" w14:textId="77777777" w:rsidR="00040D25" w:rsidRDefault="00040D25" w:rsidP="00040D25">
                  <w:pPr>
                    <w:spacing w:line="252" w:lineRule="auto"/>
                  </w:pPr>
                  <w:r>
                    <w:t xml:space="preserve">Technical Design </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21971345" w14:textId="77777777" w:rsidR="00040D25" w:rsidRDefault="00040D25" w:rsidP="00040D25">
                  <w:pPr>
                    <w:spacing w:line="252" w:lineRule="auto"/>
                  </w:pPr>
                  <w:r>
                    <w:t xml:space="preserve">To provide technical design documentation of CDS project delivery (either by project resources or third-party suppliers) by either producing or supporting the production of required technical designs using agreed methodologies and tooling (ArchiMate / </w:t>
                  </w:r>
                  <w:proofErr w:type="spellStart"/>
                  <w:r>
                    <w:t>BiZZdesign</w:t>
                  </w:r>
                  <w:proofErr w:type="spellEnd"/>
                  <w:r>
                    <w:t>). All alterations to existing design to be fully documented.</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3BCB09F8" w14:textId="77777777" w:rsidR="00040D25" w:rsidRDefault="00040D25" w:rsidP="00040D25">
                  <w:pPr>
                    <w:spacing w:line="252" w:lineRule="auto"/>
                  </w:pPr>
                  <w:r>
                    <w:t xml:space="preserve">Deliver overarching solution architecture documentation. </w:t>
                  </w:r>
                </w:p>
              </w:tc>
            </w:tr>
            <w:tr w:rsidR="00040D25" w14:paraId="599C23F3" w14:textId="77777777" w:rsidTr="00040D25">
              <w:trPr>
                <w:trHeight w:val="1343"/>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7DFAA5D" w14:textId="77777777" w:rsidR="00040D25" w:rsidRDefault="00040D25" w:rsidP="00040D25">
                  <w:pPr>
                    <w:spacing w:line="252" w:lineRule="auto"/>
                  </w:pPr>
                  <w:r>
                    <w:t xml:space="preserve">Technical assurance and strategic direction  </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5A97AD7E" w14:textId="77777777" w:rsidR="00040D25" w:rsidRDefault="00040D25" w:rsidP="00040D25">
                  <w:pPr>
                    <w:spacing w:line="252" w:lineRule="auto"/>
                  </w:pPr>
                  <w:r>
                    <w:t xml:space="preserve">Technical assurance of documents produced by others. Ensure agency strategic direction is factored into architectural and </w:t>
                  </w:r>
                  <w:proofErr w:type="gramStart"/>
                  <w:r>
                    <w:t>lower level</w:t>
                  </w:r>
                  <w:proofErr w:type="gramEnd"/>
                  <w:r>
                    <w:t xml:space="preserve"> design decisions. Ensure the solution is not supplier-led, and that technology choices are aligned with agency strategic direction, including for data and security specifications. Refer to and consult with DTS Senior Stakeholders as required.</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07E7906C" w14:textId="77777777" w:rsidR="00040D25" w:rsidRDefault="00040D25" w:rsidP="00040D25">
                  <w:pPr>
                    <w:spacing w:line="252" w:lineRule="auto"/>
                  </w:pPr>
                  <w:r>
                    <w:t>Technical documentation for Technical Assurance Group</w:t>
                  </w:r>
                </w:p>
              </w:tc>
            </w:tr>
            <w:tr w:rsidR="00040D25" w14:paraId="493B3397" w14:textId="77777777" w:rsidTr="00040D25">
              <w:trPr>
                <w:trHeight w:val="994"/>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61BFB44" w14:textId="77777777" w:rsidR="00040D25" w:rsidRDefault="00040D25" w:rsidP="00040D25">
                  <w:pPr>
                    <w:spacing w:line="252" w:lineRule="auto"/>
                  </w:pPr>
                  <w:r>
                    <w:t xml:space="preserve">Strategic management of stakeholders on digital and </w:t>
                  </w:r>
                  <w:r>
                    <w:lastRenderedPageBreak/>
                    <w:t xml:space="preserve">technology matters </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0A833F51" w14:textId="77777777" w:rsidR="00040D25" w:rsidRDefault="00040D25" w:rsidP="00040D25">
                  <w:pPr>
                    <w:spacing w:line="252" w:lineRule="auto"/>
                  </w:pPr>
                  <w:r>
                    <w:lastRenderedPageBreak/>
                    <w:t>Manage the engagement of key CDS technical stakeholders.</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6820B135" w14:textId="77777777" w:rsidR="00040D25" w:rsidRDefault="00040D25" w:rsidP="00040D25">
                  <w:pPr>
                    <w:spacing w:line="252" w:lineRule="auto"/>
                  </w:pPr>
                  <w:r>
                    <w:t>Attendance at TAG, project boards and other DTS meetings as required.</w:t>
                  </w:r>
                </w:p>
              </w:tc>
            </w:tr>
            <w:tr w:rsidR="00040D25" w14:paraId="713C4678" w14:textId="77777777" w:rsidTr="00040D25">
              <w:trPr>
                <w:trHeight w:val="1973"/>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F3712ED" w14:textId="77777777" w:rsidR="00040D25" w:rsidRDefault="00040D25" w:rsidP="00040D25">
                  <w:pPr>
                    <w:spacing w:line="252" w:lineRule="auto"/>
                  </w:pPr>
                  <w:r>
                    <w:t>Technical exploration</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7EDDFD96" w14:textId="77777777" w:rsidR="00040D25" w:rsidRDefault="00040D25" w:rsidP="00040D25">
                  <w:pPr>
                    <w:shd w:val="clear" w:color="auto" w:fill="FFFFFF"/>
                    <w:spacing w:after="75" w:line="252" w:lineRule="auto"/>
                  </w:pPr>
                  <w:r>
                    <w:rPr>
                      <w:color w:val="000000"/>
                    </w:rPr>
                    <w:t xml:space="preserve">Work with CDS project team and wider agency to explore the solution – focusing on integrations, and dependencies, constraints, ensuring planned system architecture aligns with strategic </w:t>
                  </w:r>
                  <w:proofErr w:type="gramStart"/>
                  <w:r>
                    <w:rPr>
                      <w:color w:val="000000"/>
                    </w:rPr>
                    <w:t>principles ,</w:t>
                  </w:r>
                  <w:proofErr w:type="gramEnd"/>
                  <w:r>
                    <w:rPr>
                      <w:color w:val="000000"/>
                    </w:rPr>
                    <w:t xml:space="preserve"> are robust, scalable, open and secure, throughout the project lifecycle and iterative development of the beta phases.</w:t>
                  </w:r>
                </w:p>
              </w:tc>
              <w:tc>
                <w:tcPr>
                  <w:tcW w:w="10734" w:type="dxa"/>
                  <w:tcBorders>
                    <w:top w:val="nil"/>
                    <w:left w:val="nil"/>
                    <w:bottom w:val="single" w:sz="8" w:space="0" w:color="auto"/>
                    <w:right w:val="single" w:sz="8" w:space="0" w:color="auto"/>
                  </w:tcBorders>
                  <w:tcMar>
                    <w:top w:w="0" w:type="dxa"/>
                    <w:left w:w="108" w:type="dxa"/>
                    <w:bottom w:w="0" w:type="dxa"/>
                    <w:right w:w="108" w:type="dxa"/>
                  </w:tcMar>
                </w:tcPr>
                <w:p w14:paraId="25566E7C" w14:textId="77777777" w:rsidR="00040D25" w:rsidRDefault="00040D25" w:rsidP="00040D25">
                  <w:pPr>
                    <w:spacing w:line="252" w:lineRule="auto"/>
                  </w:pPr>
                  <w:r>
                    <w:t>Technical documentation to support work, including technical requirements and diagrams</w:t>
                  </w:r>
                </w:p>
                <w:p w14:paraId="7FD962C9" w14:textId="77777777" w:rsidR="00040D25" w:rsidRDefault="00040D25" w:rsidP="00040D25">
                  <w:pPr>
                    <w:spacing w:line="252" w:lineRule="auto"/>
                  </w:pPr>
                </w:p>
                <w:p w14:paraId="51AFADC2" w14:textId="77777777" w:rsidR="00040D25" w:rsidRDefault="00040D25" w:rsidP="00040D25">
                  <w:pPr>
                    <w:spacing w:line="252" w:lineRule="auto"/>
                  </w:pPr>
                  <w:r>
                    <w:t>Outlined:</w:t>
                  </w:r>
                </w:p>
                <w:p w14:paraId="5BA9C550" w14:textId="77777777" w:rsidR="00040D25" w:rsidRDefault="00040D25" w:rsidP="00040D25">
                  <w:pPr>
                    <w:pStyle w:val="ListParagraph"/>
                    <w:numPr>
                      <w:ilvl w:val="0"/>
                      <w:numId w:val="12"/>
                    </w:numPr>
                    <w:suppressAutoHyphens w:val="0"/>
                    <w:autoSpaceDN/>
                    <w:spacing w:after="0" w:line="252" w:lineRule="auto"/>
                    <w:contextualSpacing/>
                    <w:textAlignment w:val="auto"/>
                    <w:rPr>
                      <w:rFonts w:eastAsia="Times New Roman"/>
                    </w:rPr>
                  </w:pPr>
                  <w:r>
                    <w:rPr>
                      <w:rFonts w:eastAsia="Times New Roman"/>
                    </w:rPr>
                    <w:t>recommendations for Beta phases and for future procurement</w:t>
                  </w:r>
                </w:p>
                <w:p w14:paraId="1B03861A" w14:textId="77777777" w:rsidR="00040D25" w:rsidRDefault="00040D25" w:rsidP="00040D25">
                  <w:pPr>
                    <w:pStyle w:val="ListParagraph"/>
                    <w:numPr>
                      <w:ilvl w:val="0"/>
                      <w:numId w:val="12"/>
                    </w:numPr>
                    <w:suppressAutoHyphens w:val="0"/>
                    <w:autoSpaceDN/>
                    <w:spacing w:after="0" w:line="252" w:lineRule="auto"/>
                    <w:contextualSpacing/>
                    <w:textAlignment w:val="auto"/>
                    <w:rPr>
                      <w:rFonts w:eastAsia="Times New Roman"/>
                    </w:rPr>
                  </w:pPr>
                  <w:r>
                    <w:rPr>
                      <w:rFonts w:eastAsia="Times New Roman"/>
                    </w:rPr>
                    <w:t>Risks and constraints for options</w:t>
                  </w:r>
                </w:p>
              </w:tc>
            </w:tr>
            <w:tr w:rsidR="00040D25" w14:paraId="1ECE1D28" w14:textId="77777777" w:rsidTr="00040D25">
              <w:trPr>
                <w:trHeight w:val="966"/>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0685E2F" w14:textId="77777777" w:rsidR="00040D25" w:rsidRDefault="00040D25" w:rsidP="00040D25">
                  <w:pPr>
                    <w:spacing w:line="252" w:lineRule="auto"/>
                    <w:rPr>
                      <w:rFonts w:eastAsiaTheme="minorHAnsi"/>
                    </w:rPr>
                  </w:pPr>
                  <w:r>
                    <w:t>Lead technical and architectural approval process – internal architecture process</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2EF1FCD4" w14:textId="77777777" w:rsidR="00040D25" w:rsidRDefault="00040D25" w:rsidP="00040D25">
                  <w:pPr>
                    <w:spacing w:line="252" w:lineRule="auto"/>
                  </w:pPr>
                  <w:r>
                    <w:t>Work with the CDS project team to identify, produce and present key architectural insights and decisions points to the agency Architecture Forum and onward for approval at the Technical Assurance Group. Should the solution change, further assurances and approvals may be required</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147D1CFF" w14:textId="77777777" w:rsidR="00040D25" w:rsidRDefault="00040D25" w:rsidP="00040D25">
                  <w:pPr>
                    <w:spacing w:line="252" w:lineRule="auto"/>
                  </w:pPr>
                  <w:r>
                    <w:t xml:space="preserve">Technical documentation approved within DTS </w:t>
                  </w:r>
                </w:p>
              </w:tc>
            </w:tr>
            <w:tr w:rsidR="00040D25" w14:paraId="2AA91C10" w14:textId="77777777" w:rsidTr="00040D25">
              <w:trPr>
                <w:trHeight w:val="980"/>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4415C0C" w14:textId="77777777" w:rsidR="00040D25" w:rsidRDefault="00040D25" w:rsidP="00040D25">
                  <w:pPr>
                    <w:spacing w:line="252" w:lineRule="auto"/>
                  </w:pPr>
                  <w:r>
                    <w:t xml:space="preserve">Lead technical and architectural approval process – GDS and BEIS </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3A75345E" w14:textId="77777777" w:rsidR="00040D25" w:rsidRDefault="00040D25" w:rsidP="00040D25">
                  <w:pPr>
                    <w:spacing w:line="252" w:lineRule="auto"/>
                  </w:pPr>
                  <w:r>
                    <w:t>Work with the CDS project team to present key architectural insights and decisions points to PAG and GDS for Beta Assessment.</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3D66C53A" w14:textId="77777777" w:rsidR="00040D25" w:rsidRDefault="00040D25" w:rsidP="00040D25">
                  <w:pPr>
                    <w:spacing w:line="252" w:lineRule="auto"/>
                  </w:pPr>
                  <w:r>
                    <w:t>Technical documents and plans agreed by BEIS and GDS.</w:t>
                  </w:r>
                </w:p>
              </w:tc>
            </w:tr>
            <w:tr w:rsidR="00040D25" w14:paraId="558085A8" w14:textId="77777777" w:rsidTr="00040D25">
              <w:trPr>
                <w:trHeight w:val="1122"/>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4A64B0F" w14:textId="77777777" w:rsidR="00040D25" w:rsidRDefault="00040D25" w:rsidP="00040D25">
                  <w:pPr>
                    <w:spacing w:line="252" w:lineRule="auto"/>
                  </w:pPr>
                  <w:r>
                    <w:t xml:space="preserve">Production of other key documents </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6A9A4F98" w14:textId="77777777" w:rsidR="00040D25" w:rsidRDefault="00040D25" w:rsidP="00040D25">
                  <w:pPr>
                    <w:spacing w:line="252" w:lineRule="auto"/>
                  </w:pPr>
                  <w:r>
                    <w:t>To support the CDS project team in the production and quality assurance on any cost estimates, project plans, dependencies or risk/issue assessments as required to deliver the technical aspects required to meet the project outcomes.</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3CEC6F8F" w14:textId="77777777" w:rsidR="00040D25" w:rsidRDefault="00040D25" w:rsidP="00040D25">
                  <w:pPr>
                    <w:spacing w:line="252" w:lineRule="auto"/>
                  </w:pPr>
                  <w:r>
                    <w:t xml:space="preserve">Delivery plan approved by the project board. </w:t>
                  </w:r>
                </w:p>
              </w:tc>
            </w:tr>
            <w:tr w:rsidR="00040D25" w14:paraId="0DACB58F" w14:textId="77777777" w:rsidTr="00040D25">
              <w:trPr>
                <w:trHeight w:val="250"/>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E946D86" w14:textId="77777777" w:rsidR="00040D25" w:rsidRDefault="00040D25" w:rsidP="00040D25">
                  <w:pPr>
                    <w:spacing w:line="252" w:lineRule="auto"/>
                  </w:pPr>
                  <w:r>
                    <w:t>Supplier evaluation</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5F3A924F" w14:textId="77777777" w:rsidR="00040D25" w:rsidRDefault="00040D25" w:rsidP="00040D25">
                  <w:pPr>
                    <w:spacing w:line="252" w:lineRule="auto"/>
                  </w:pPr>
                  <w:r>
                    <w:t>Assist the CDS project team in the evaluation of supplier proposals, ensuring that they align with project requirements, and wider agency constraints that impact the project</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650BB85D" w14:textId="77777777" w:rsidR="00040D25" w:rsidRDefault="00040D25" w:rsidP="00040D25">
                  <w:pPr>
                    <w:spacing w:line="252" w:lineRule="auto"/>
                  </w:pPr>
                  <w:r>
                    <w:t>Supplier evaluation completion</w:t>
                  </w:r>
                </w:p>
              </w:tc>
            </w:tr>
            <w:tr w:rsidR="00040D25" w14:paraId="266B6A7A" w14:textId="77777777" w:rsidTr="00040D25">
              <w:trPr>
                <w:trHeight w:val="250"/>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5BDE666" w14:textId="77777777" w:rsidR="00040D25" w:rsidRDefault="00040D25" w:rsidP="00040D25">
                  <w:pPr>
                    <w:spacing w:line="252" w:lineRule="auto"/>
                  </w:pPr>
                  <w:r>
                    <w:t>Stakeholder engagement</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513C9A6A" w14:textId="77777777" w:rsidR="00040D25" w:rsidRDefault="00040D25" w:rsidP="00040D25">
                  <w:pPr>
                    <w:spacing w:line="252" w:lineRule="auto"/>
                  </w:pPr>
                  <w:r>
                    <w:t>Cross-</w:t>
                  </w:r>
                  <w:proofErr w:type="gramStart"/>
                  <w:r>
                    <w:t>architectural  engagement</w:t>
                  </w:r>
                  <w:proofErr w:type="gramEnd"/>
                  <w:r>
                    <w:t xml:space="preserve"> to ensure that dependencies, constraints, and technical risks are monitored to ensure that delivery of the solution as anticipated. Engaging with key groups within the agency including security, information governance, architecture, and </w:t>
                  </w:r>
                  <w:r>
                    <w:lastRenderedPageBreak/>
                    <w:t>service governance to ensure alignment with wider agency and strategies.</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1CFCB9AA" w14:textId="77777777" w:rsidR="00040D25" w:rsidRDefault="00040D25" w:rsidP="00040D25">
                  <w:pPr>
                    <w:spacing w:line="252" w:lineRule="auto"/>
                  </w:pPr>
                  <w:r>
                    <w:lastRenderedPageBreak/>
                    <w:t>Solution aligns to the wider agency strategy and requirements of key DTS groups.</w:t>
                  </w:r>
                </w:p>
              </w:tc>
            </w:tr>
            <w:tr w:rsidR="00040D25" w14:paraId="6B152E8E" w14:textId="77777777" w:rsidTr="00040D25">
              <w:trPr>
                <w:trHeight w:val="250"/>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01E09B3F" w14:textId="77777777" w:rsidR="00040D25" w:rsidRDefault="00040D25" w:rsidP="00040D25">
                  <w:pPr>
                    <w:spacing w:line="252" w:lineRule="auto"/>
                  </w:pPr>
                  <w:r>
                    <w:t>Supplier engagement</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20B079F5" w14:textId="77777777" w:rsidR="00040D25" w:rsidRDefault="00040D25" w:rsidP="00040D25">
                  <w:pPr>
                    <w:spacing w:line="252" w:lineRule="auto"/>
                  </w:pPr>
                  <w:r>
                    <w:t>Working with the supplier post-procurement to ensure that the solution being built adheres to the agreed design and technical needs of the business, ensuring that any agreed changes have been fully documented and approved by the correct individual or assurance board</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2D437D15" w14:textId="77777777" w:rsidR="00040D25" w:rsidRDefault="00040D25" w:rsidP="00040D25">
                  <w:pPr>
                    <w:spacing w:line="252" w:lineRule="auto"/>
                  </w:pPr>
                  <w:r>
                    <w:t xml:space="preserve">Fully documented changes with audit trail to show agreement and authorisation. </w:t>
                  </w:r>
                </w:p>
                <w:p w14:paraId="11224747" w14:textId="77777777" w:rsidR="00040D25" w:rsidRDefault="00040D25" w:rsidP="00040D25">
                  <w:pPr>
                    <w:spacing w:line="252" w:lineRule="auto"/>
                  </w:pPr>
                  <w:r>
                    <w:t xml:space="preserve">Technical documentation updated and </w:t>
                  </w:r>
                  <w:proofErr w:type="gramStart"/>
                  <w:r>
                    <w:t>reflects</w:t>
                  </w:r>
                  <w:proofErr w:type="gramEnd"/>
                  <w:r>
                    <w:t xml:space="preserve"> the solution being built</w:t>
                  </w:r>
                </w:p>
              </w:tc>
            </w:tr>
            <w:tr w:rsidR="00040D25" w14:paraId="0C15D854" w14:textId="77777777" w:rsidTr="00040D25">
              <w:trPr>
                <w:trHeight w:val="250"/>
              </w:trPr>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6A7ED88" w14:textId="77777777" w:rsidR="00040D25" w:rsidRDefault="00040D25" w:rsidP="00040D25">
                  <w:pPr>
                    <w:spacing w:line="252" w:lineRule="auto"/>
                  </w:pPr>
                  <w:r>
                    <w:t>Knowledge transfer</w:t>
                  </w:r>
                </w:p>
              </w:tc>
              <w:tc>
                <w:tcPr>
                  <w:tcW w:w="10489" w:type="dxa"/>
                  <w:tcBorders>
                    <w:top w:val="nil"/>
                    <w:left w:val="nil"/>
                    <w:bottom w:val="single" w:sz="8" w:space="0" w:color="auto"/>
                    <w:right w:val="single" w:sz="8" w:space="0" w:color="auto"/>
                  </w:tcBorders>
                  <w:tcMar>
                    <w:top w:w="0" w:type="dxa"/>
                    <w:left w:w="108" w:type="dxa"/>
                    <w:bottom w:w="0" w:type="dxa"/>
                    <w:right w:w="108" w:type="dxa"/>
                  </w:tcMar>
                  <w:hideMark/>
                </w:tcPr>
                <w:p w14:paraId="13503C45" w14:textId="77777777" w:rsidR="00040D25" w:rsidRDefault="00040D25" w:rsidP="00040D25">
                  <w:pPr>
                    <w:spacing w:line="252" w:lineRule="auto"/>
                  </w:pPr>
                  <w:r>
                    <w:t xml:space="preserve">Knowledge transfer completed with supplier and individuals identified by the project. </w:t>
                  </w:r>
                </w:p>
              </w:tc>
              <w:tc>
                <w:tcPr>
                  <w:tcW w:w="10734" w:type="dxa"/>
                  <w:tcBorders>
                    <w:top w:val="nil"/>
                    <w:left w:val="nil"/>
                    <w:bottom w:val="single" w:sz="8" w:space="0" w:color="auto"/>
                    <w:right w:val="single" w:sz="8" w:space="0" w:color="auto"/>
                  </w:tcBorders>
                  <w:tcMar>
                    <w:top w:w="0" w:type="dxa"/>
                    <w:left w:w="108" w:type="dxa"/>
                    <w:bottom w:w="0" w:type="dxa"/>
                    <w:right w:w="108" w:type="dxa"/>
                  </w:tcMar>
                  <w:hideMark/>
                </w:tcPr>
                <w:p w14:paraId="0824EFF2" w14:textId="77777777" w:rsidR="00040D25" w:rsidRDefault="00040D25" w:rsidP="00040D25">
                  <w:pPr>
                    <w:spacing w:line="252" w:lineRule="auto"/>
                  </w:pPr>
                  <w:r>
                    <w:t>Knowledge transfer completed and supplier and project lead have both provided agreement that all information and understanding has been transferred as required from solution architect</w:t>
                  </w:r>
                </w:p>
              </w:tc>
            </w:tr>
          </w:tbl>
          <w:p w14:paraId="51B695B7" w14:textId="48488B8F" w:rsidR="00DD4432" w:rsidRDefault="00DD4432">
            <w:pPr>
              <w:spacing w:after="0" w:line="249" w:lineRule="auto"/>
              <w:rPr>
                <w:rFonts w:ascii="Arial" w:hAnsi="Arial" w:cs="Arial"/>
                <w:b/>
                <w:lang w:val="en"/>
              </w:rPr>
            </w:pPr>
          </w:p>
          <w:p w14:paraId="221ECBF6" w14:textId="0E3648DB" w:rsidR="007D206E" w:rsidRPr="007B5A18" w:rsidRDefault="00040D25">
            <w:pPr>
              <w:spacing w:after="0" w:line="249" w:lineRule="auto"/>
              <w:rPr>
                <w:rFonts w:ascii="Arial" w:hAnsi="Arial" w:cs="Arial"/>
                <w:bCs/>
                <w:lang w:val="en"/>
              </w:rPr>
            </w:pPr>
            <w:r w:rsidRPr="007B5A18">
              <w:rPr>
                <w:rFonts w:ascii="Arial" w:hAnsi="Arial" w:cs="Arial"/>
                <w:bCs/>
                <w:lang w:val="en"/>
              </w:rPr>
              <w:t xml:space="preserve">Specific role details for </w:t>
            </w:r>
            <w:r w:rsidRPr="007B5A18">
              <w:rPr>
                <w:rFonts w:ascii="Arial" w:hAnsi="Arial" w:cs="Arial"/>
                <w:bCs/>
              </w:rPr>
              <w:t>Data Transformation project/Application Optimisation Project to be agreed</w:t>
            </w:r>
            <w:r w:rsidR="007B5A18" w:rsidRPr="007B5A18">
              <w:rPr>
                <w:rFonts w:ascii="Arial" w:hAnsi="Arial" w:cs="Arial"/>
                <w:bCs/>
              </w:rPr>
              <w:t>.</w:t>
            </w:r>
          </w:p>
          <w:p w14:paraId="7F8BAFB1" w14:textId="77777777" w:rsidR="00040D25" w:rsidRPr="00701A54" w:rsidRDefault="00040D25">
            <w:pPr>
              <w:spacing w:after="0" w:line="249" w:lineRule="auto"/>
              <w:rPr>
                <w:rFonts w:ascii="Arial" w:hAnsi="Arial" w:cs="Arial"/>
                <w:b/>
                <w:lang w:val="en"/>
              </w:rPr>
            </w:pPr>
          </w:p>
          <w:p w14:paraId="649A6A77" w14:textId="77777777" w:rsidR="00DD4432" w:rsidRPr="00701A54" w:rsidRDefault="00AD5C73">
            <w:pPr>
              <w:spacing w:after="0" w:line="249" w:lineRule="auto"/>
              <w:rPr>
                <w:rFonts w:ascii="Arial" w:hAnsi="Arial" w:cs="Arial"/>
                <w:b/>
                <w:lang w:val="en"/>
              </w:rPr>
            </w:pPr>
            <w:r w:rsidRPr="00701A54">
              <w:rPr>
                <w:rFonts w:ascii="Arial" w:hAnsi="Arial" w:cs="Arial"/>
                <w:b/>
                <w:lang w:val="en"/>
              </w:rPr>
              <w:t>Total Contract Value</w:t>
            </w:r>
          </w:p>
          <w:p w14:paraId="12F34108" w14:textId="59DDB560" w:rsidR="00DD4432" w:rsidRPr="00364B4A" w:rsidRDefault="00AD5C73">
            <w:pPr>
              <w:spacing w:after="0" w:line="249" w:lineRule="auto"/>
              <w:rPr>
                <w:rFonts w:ascii="Arial" w:hAnsi="Arial" w:cs="Arial"/>
                <w:lang w:val="en"/>
              </w:rPr>
            </w:pPr>
            <w:r w:rsidRPr="00364B4A">
              <w:rPr>
                <w:rFonts w:ascii="Arial" w:hAnsi="Arial" w:cs="Arial"/>
                <w:lang w:val="en"/>
              </w:rPr>
              <w:t xml:space="preserve">The Total Contract Value shall be </w:t>
            </w:r>
            <w:r w:rsidR="00364B4A" w:rsidRPr="00364B4A">
              <w:rPr>
                <w:rFonts w:ascii="Arial" w:hAnsi="Arial" w:cs="Arial"/>
                <w:lang w:val="en"/>
              </w:rPr>
              <w:t>£</w:t>
            </w:r>
            <w:r w:rsidR="00364B4A" w:rsidRPr="00364B4A">
              <w:rPr>
                <w:rFonts w:ascii="Arial" w:hAnsi="Arial" w:cs="Arial"/>
                <w:bCs/>
              </w:rPr>
              <w:t xml:space="preserve">114,558.00 </w:t>
            </w:r>
            <w:r w:rsidRPr="00364B4A">
              <w:rPr>
                <w:rFonts w:ascii="Arial" w:hAnsi="Arial" w:cs="Arial"/>
                <w:lang w:val="en"/>
              </w:rPr>
              <w:t xml:space="preserve">for the Initial Period based on a maximum of </w:t>
            </w:r>
            <w:r w:rsidR="00364B4A" w:rsidRPr="00364B4A">
              <w:rPr>
                <w:rFonts w:ascii="Arial" w:hAnsi="Arial" w:cs="Arial"/>
                <w:lang w:val="en"/>
              </w:rPr>
              <w:t>122</w:t>
            </w:r>
            <w:r w:rsidRPr="00364B4A">
              <w:rPr>
                <w:rFonts w:ascii="Arial" w:hAnsi="Arial" w:cs="Arial"/>
                <w:lang w:val="en"/>
              </w:rPr>
              <w:t xml:space="preserve"> working days at £</w:t>
            </w:r>
            <w:r w:rsidR="00AC5CA8" w:rsidRPr="00364B4A">
              <w:rPr>
                <w:rFonts w:ascii="Arial" w:hAnsi="Arial" w:cs="Arial"/>
                <w:lang w:val="en"/>
              </w:rPr>
              <w:t>9</w:t>
            </w:r>
            <w:r w:rsidR="00010167" w:rsidRPr="00364B4A">
              <w:rPr>
                <w:rFonts w:ascii="Arial" w:hAnsi="Arial" w:cs="Arial"/>
                <w:lang w:val="en"/>
              </w:rPr>
              <w:t>39</w:t>
            </w:r>
            <w:r w:rsidR="0048686E" w:rsidRPr="00364B4A">
              <w:rPr>
                <w:rFonts w:ascii="Arial" w:hAnsi="Arial" w:cs="Arial"/>
                <w:lang w:val="en"/>
              </w:rPr>
              <w:t xml:space="preserve"> </w:t>
            </w:r>
            <w:r w:rsidRPr="00364B4A">
              <w:rPr>
                <w:rFonts w:ascii="Arial" w:hAnsi="Arial" w:cs="Arial"/>
                <w:lang w:val="en"/>
              </w:rPr>
              <w:t xml:space="preserve">per day. </w:t>
            </w:r>
            <w:r w:rsidR="00364B4A" w:rsidRPr="00364B4A">
              <w:rPr>
                <w:rFonts w:ascii="Arial" w:hAnsi="Arial" w:cs="Arial"/>
                <w:lang w:val="en"/>
              </w:rPr>
              <w:t>R</w:t>
            </w:r>
            <w:proofErr w:type="spellStart"/>
            <w:r w:rsidR="00364B4A" w:rsidRPr="00364B4A">
              <w:rPr>
                <w:rFonts w:ascii="Arial" w:hAnsi="Arial" w:cs="Arial"/>
                <w:bCs/>
              </w:rPr>
              <w:t>ising</w:t>
            </w:r>
            <w:proofErr w:type="spellEnd"/>
            <w:r w:rsidR="00364B4A" w:rsidRPr="00364B4A">
              <w:rPr>
                <w:rFonts w:ascii="Arial" w:hAnsi="Arial" w:cs="Arial"/>
                <w:bCs/>
              </w:rPr>
              <w:t xml:space="preserve"> by £236,628.00 to £351,186.00 if the extension option is enacted based on 252 working days at the same day rate.</w:t>
            </w:r>
          </w:p>
          <w:p w14:paraId="191295AB" w14:textId="77777777" w:rsidR="00DD4432" w:rsidRPr="00701A54" w:rsidRDefault="00DD4432">
            <w:pPr>
              <w:spacing w:after="0" w:line="249" w:lineRule="auto"/>
              <w:rPr>
                <w:rFonts w:ascii="Arial" w:hAnsi="Arial" w:cs="Arial"/>
                <w:lang w:val="en"/>
              </w:rPr>
            </w:pPr>
          </w:p>
          <w:p w14:paraId="790478B7" w14:textId="585E72C1" w:rsidR="00DD4432" w:rsidRDefault="00AD5C73">
            <w:pPr>
              <w:spacing w:after="0" w:line="249" w:lineRule="auto"/>
            </w:pPr>
            <w:r w:rsidRPr="00701A54">
              <w:rPr>
                <w:rFonts w:ascii="Arial" w:hAnsi="Arial" w:cs="Arial"/>
                <w:b/>
                <w:lang w:val="en"/>
              </w:rPr>
              <w:t xml:space="preserve">Notice Period: </w:t>
            </w:r>
            <w:r w:rsidR="0048686E" w:rsidRPr="00701A54">
              <w:rPr>
                <w:rFonts w:ascii="Arial" w:hAnsi="Arial" w:cs="Arial"/>
                <w:b/>
                <w:lang w:val="en"/>
              </w:rPr>
              <w:t>Two</w:t>
            </w:r>
            <w:r w:rsidRPr="00701A54">
              <w:rPr>
                <w:rFonts w:ascii="Arial" w:hAnsi="Arial" w:cs="Arial"/>
                <w:b/>
                <w:lang w:val="en"/>
              </w:rPr>
              <w:t xml:space="preserve"> Week</w:t>
            </w:r>
            <w:r w:rsidR="0048686E" w:rsidRPr="00701A54">
              <w:rPr>
                <w:rFonts w:ascii="Arial" w:hAnsi="Arial" w:cs="Arial"/>
                <w:b/>
                <w:lang w:val="en"/>
              </w:rPr>
              <w:t>s</w:t>
            </w:r>
            <w:r w:rsidR="00051D1D" w:rsidRPr="00701A54">
              <w:rPr>
                <w:rFonts w:ascii="Arial" w:hAnsi="Arial" w:cs="Arial"/>
                <w:b/>
                <w:lang w:val="en"/>
              </w:rPr>
              <w:t xml:space="preserve"> (</w:t>
            </w:r>
            <w:r w:rsidR="0048686E" w:rsidRPr="00701A54">
              <w:rPr>
                <w:rFonts w:ascii="Arial" w:hAnsi="Arial" w:cs="Arial"/>
                <w:b/>
                <w:lang w:val="en"/>
              </w:rPr>
              <w:t>10</w:t>
            </w:r>
            <w:r w:rsidR="00051D1D" w:rsidRPr="00701A54">
              <w:rPr>
                <w:rFonts w:ascii="Arial" w:hAnsi="Arial" w:cs="Arial"/>
                <w:b/>
                <w:lang w:val="en"/>
              </w:rPr>
              <w:t xml:space="preserve"> Working Days)</w:t>
            </w:r>
          </w:p>
        </w:tc>
      </w:tr>
    </w:tbl>
    <w:p w14:paraId="50B0CE10" w14:textId="77777777" w:rsidR="00DD4432" w:rsidRDefault="00DD443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5EA2" w14:textId="50EC72AE" w:rsidR="00DD4432" w:rsidRPr="008E4ECD" w:rsidRDefault="00AC5CA8" w:rsidP="008E4ECD">
            <w:pPr>
              <w:pStyle w:val="Heading2"/>
              <w:numPr>
                <w:ilvl w:val="0"/>
                <w:numId w:val="0"/>
              </w:numPr>
              <w:spacing w:after="120"/>
            </w:pPr>
            <w:r>
              <w:t xml:space="preserve">Solution </w:t>
            </w:r>
            <w:r w:rsidRPr="00AC5CA8">
              <w:t>Architect</w:t>
            </w:r>
            <w:r w:rsidR="002B7F79" w:rsidRPr="00AC5CA8">
              <w:t xml:space="preserve"> </w:t>
            </w:r>
            <w:r w:rsidR="00010167">
              <w:t>–</w:t>
            </w:r>
            <w:r w:rsidR="002B7F79" w:rsidRPr="00AC5CA8">
              <w:t xml:space="preserve"> </w:t>
            </w:r>
            <w:r w:rsidR="00287FD2">
              <w:rPr>
                <w:rFonts w:cs="Arial"/>
                <w:lang w:eastAsia="en-GB"/>
              </w:rPr>
              <w:t>REDACTED</w:t>
            </w: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0" w:name="Subcontractors"/>
            <w:r>
              <w:rPr>
                <w:rStyle w:val="Emphasis"/>
                <w:rFonts w:ascii="Arial" w:hAnsi="Arial" w:cs="Arial"/>
                <w:b/>
                <w:i w:val="0"/>
                <w:iCs w:val="0"/>
                <w:lang w:eastAsia="en-GB"/>
              </w:rPr>
              <w:t>Key Subcontractors</w:t>
            </w:r>
            <w:bookmarkEnd w:id="10"/>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77777777" w:rsidR="00DD4432" w:rsidRDefault="00DD4432">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lastRenderedPageBreak/>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8B25E8E" w14:textId="77777777" w:rsidR="00DD4432" w:rsidRDefault="00DD4432">
            <w:pPr>
              <w:pStyle w:val="MarginText"/>
              <w:rPr>
                <w:rFonts w:cs="Arial"/>
                <w:sz w:val="24"/>
                <w:szCs w:val="24"/>
              </w:rPr>
            </w:pPr>
          </w:p>
          <w:p w14:paraId="796B01BF" w14:textId="19F86C2F" w:rsidR="007D206E" w:rsidRDefault="00287FD2">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3F592440" w:rsidR="00DD4432" w:rsidRDefault="00287FD2">
            <w:pPr>
              <w:pStyle w:val="MarginText"/>
              <w:rPr>
                <w:rFonts w:cs="Arial"/>
                <w:sz w:val="24"/>
                <w:szCs w:val="24"/>
              </w:rPr>
            </w:pPr>
            <w:r>
              <w:rPr>
                <w:rFonts w:cs="Arial"/>
                <w:lang w:eastAsia="en-GB"/>
              </w:rPr>
              <w:t>REDACTED</w:t>
            </w: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266AC413" w:rsidR="0062425B" w:rsidRDefault="00287FD2">
            <w:pPr>
              <w:pStyle w:val="MarginText"/>
              <w:rPr>
                <w:rFonts w:cs="Arial"/>
                <w:sz w:val="24"/>
                <w:szCs w:val="24"/>
              </w:rPr>
            </w:pPr>
            <w:r>
              <w:rPr>
                <w:rFonts w:cs="Arial"/>
                <w:lang w:eastAsia="en-GB"/>
              </w:rPr>
              <w:t>REDACTED</w:t>
            </w:r>
            <w:r>
              <w:rPr>
                <w:rFonts w:cs="Arial"/>
                <w:sz w:val="24"/>
                <w:szCs w:val="24"/>
              </w:rPr>
              <w:t xml:space="preserve"> </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68F0D0C9" w:rsidR="00DD4432" w:rsidRDefault="00287FD2" w:rsidP="007D206E">
            <w:pPr>
              <w:pStyle w:val="MarginText"/>
              <w:ind w:left="0"/>
              <w:rPr>
                <w:rFonts w:cs="Arial"/>
                <w:sz w:val="24"/>
                <w:szCs w:val="24"/>
              </w:rPr>
            </w:pPr>
            <w:r>
              <w:rPr>
                <w:rFonts w:cs="Arial"/>
                <w:lang w:eastAsia="en-GB"/>
              </w:rPr>
              <w:t>REDACTED</w:t>
            </w: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1BE5EEC6" w:rsidR="007D206E" w:rsidRDefault="00287FD2">
            <w:pPr>
              <w:pStyle w:val="MarginText"/>
              <w:rPr>
                <w:rFonts w:cs="Arial"/>
                <w:sz w:val="24"/>
                <w:szCs w:val="24"/>
              </w:rPr>
            </w:pPr>
            <w:r>
              <w:rPr>
                <w:rFonts w:cs="Arial"/>
                <w:lang w:eastAsia="en-GB"/>
              </w:rPr>
              <w:t>REDACTED</w:t>
            </w:r>
            <w:r>
              <w:rPr>
                <w:rFonts w:cs="Arial"/>
                <w:sz w:val="24"/>
                <w:szCs w:val="24"/>
              </w:rPr>
              <w:t xml:space="preserve"> </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5F05D28E" w:rsidR="00DD4432" w:rsidRPr="00186BA0" w:rsidRDefault="00287FD2" w:rsidP="00186BA0">
            <w:pPr>
              <w:rPr>
                <w:rFonts w:ascii="Arial" w:hAnsi="Arial" w:cs="Arial"/>
                <w:sz w:val="24"/>
                <w:szCs w:val="24"/>
              </w:rPr>
            </w:pPr>
            <w:r>
              <w:rPr>
                <w:rFonts w:ascii="Arial" w:hAnsi="Arial" w:cs="Arial"/>
                <w:lang w:eastAsia="en-GB"/>
              </w:rPr>
              <w:t>REDACTED</w:t>
            </w: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7D6B8D5D" w:rsidR="00DD4432" w:rsidRDefault="00287FD2">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221B2BB0" w:rsidR="00DD4432" w:rsidRDefault="00287FD2">
            <w:pPr>
              <w:pStyle w:val="MarginText"/>
              <w:rPr>
                <w:rFonts w:cs="Arial"/>
                <w:sz w:val="24"/>
                <w:szCs w:val="24"/>
              </w:rPr>
            </w:pPr>
            <w:r>
              <w:rPr>
                <w:rFonts w:cs="Arial"/>
                <w:lang w:eastAsia="en-GB"/>
              </w:rPr>
              <w:t>REDACTED</w:t>
            </w:r>
          </w:p>
        </w:tc>
      </w:tr>
    </w:tbl>
    <w:p w14:paraId="3FE1CC63" w14:textId="77777777"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865DB" w14:textId="77777777" w:rsidR="0053409D" w:rsidRDefault="0053409D">
      <w:pPr>
        <w:spacing w:after="0" w:line="240" w:lineRule="auto"/>
      </w:pPr>
      <w:r>
        <w:separator/>
      </w:r>
    </w:p>
  </w:endnote>
  <w:endnote w:type="continuationSeparator" w:id="0">
    <w:p w14:paraId="453FEA38" w14:textId="77777777" w:rsidR="0053409D" w:rsidRDefault="0053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CA2" w14:textId="77777777" w:rsidR="00AD5C73" w:rsidRDefault="00AD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6A495E" w:rsidRDefault="00AD5C73">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6A495E" w:rsidRDefault="00AD5C73">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6A495E" w:rsidRDefault="00AD5C73">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6A495E" w:rsidRDefault="00AD5C73">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6A495E" w:rsidRDefault="00AD5C73">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6A495E" w:rsidRDefault="00AD5C73">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3AD7" w14:textId="77777777" w:rsidR="0053409D" w:rsidRDefault="0053409D">
      <w:pPr>
        <w:spacing w:after="0" w:line="240" w:lineRule="auto"/>
      </w:pPr>
      <w:r>
        <w:rPr>
          <w:color w:val="000000"/>
        </w:rPr>
        <w:separator/>
      </w:r>
    </w:p>
  </w:footnote>
  <w:footnote w:type="continuationSeparator" w:id="0">
    <w:p w14:paraId="351DADC1" w14:textId="77777777" w:rsidR="0053409D" w:rsidRDefault="00534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01CA" w14:textId="77777777" w:rsidR="00AD5C73" w:rsidRDefault="00AD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6A495E" w:rsidRDefault="00AD5C73">
    <w:pPr>
      <w:pStyle w:val="Header"/>
    </w:pPr>
    <w:r>
      <w:rPr>
        <w:rFonts w:ascii="Arial" w:hAnsi="Arial" w:cs="Arial"/>
        <w:b/>
        <w:sz w:val="20"/>
      </w:rPr>
      <w:t>Order Form Template (Short Form)</w:t>
    </w:r>
    <w:r>
      <w:t xml:space="preserve"> </w:t>
    </w:r>
  </w:p>
  <w:p w14:paraId="29188D8D"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6A495E" w:rsidRDefault="00AD5C73">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6A495E" w:rsidRDefault="00AD5C7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A755AC7"/>
    <w:multiLevelType w:val="hybridMultilevel"/>
    <w:tmpl w:val="74E6FC60"/>
    <w:lvl w:ilvl="0" w:tplc="E0C457E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4"/>
  </w:num>
  <w:num w:numId="2">
    <w:abstractNumId w:val="0"/>
  </w:num>
  <w:num w:numId="3">
    <w:abstractNumId w:val="6"/>
  </w:num>
  <w:num w:numId="4">
    <w:abstractNumId w:val="1"/>
  </w:num>
  <w:num w:numId="5">
    <w:abstractNumId w:val="3"/>
  </w:num>
  <w:num w:numId="6">
    <w:abstractNumId w:val="9"/>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10167"/>
    <w:rsid w:val="00040D25"/>
    <w:rsid w:val="00051D1D"/>
    <w:rsid w:val="00093BEF"/>
    <w:rsid w:val="000C7230"/>
    <w:rsid w:val="000F38DD"/>
    <w:rsid w:val="00105B7F"/>
    <w:rsid w:val="00127B06"/>
    <w:rsid w:val="0013118A"/>
    <w:rsid w:val="00155752"/>
    <w:rsid w:val="001608CC"/>
    <w:rsid w:val="0017457C"/>
    <w:rsid w:val="0017684D"/>
    <w:rsid w:val="00186BA0"/>
    <w:rsid w:val="00190E37"/>
    <w:rsid w:val="00235EC0"/>
    <w:rsid w:val="0026782D"/>
    <w:rsid w:val="00287FD2"/>
    <w:rsid w:val="0029384C"/>
    <w:rsid w:val="002B7F79"/>
    <w:rsid w:val="00362AE5"/>
    <w:rsid w:val="00364B4A"/>
    <w:rsid w:val="00387B7E"/>
    <w:rsid w:val="003D28F0"/>
    <w:rsid w:val="003D7CB5"/>
    <w:rsid w:val="00443D42"/>
    <w:rsid w:val="00477AC2"/>
    <w:rsid w:val="0048686E"/>
    <w:rsid w:val="00503B71"/>
    <w:rsid w:val="0053409D"/>
    <w:rsid w:val="005A5CE8"/>
    <w:rsid w:val="005B4B4C"/>
    <w:rsid w:val="005D5314"/>
    <w:rsid w:val="0062425B"/>
    <w:rsid w:val="00630ED4"/>
    <w:rsid w:val="00640A15"/>
    <w:rsid w:val="006D4145"/>
    <w:rsid w:val="00701A54"/>
    <w:rsid w:val="007B5A18"/>
    <w:rsid w:val="007D02F4"/>
    <w:rsid w:val="007D206E"/>
    <w:rsid w:val="008546FA"/>
    <w:rsid w:val="008D1888"/>
    <w:rsid w:val="008E02DB"/>
    <w:rsid w:val="008E4ECD"/>
    <w:rsid w:val="0096629D"/>
    <w:rsid w:val="009A5292"/>
    <w:rsid w:val="009C2458"/>
    <w:rsid w:val="00A51EAF"/>
    <w:rsid w:val="00A768C6"/>
    <w:rsid w:val="00AC5CA8"/>
    <w:rsid w:val="00AD5C73"/>
    <w:rsid w:val="00B14CDE"/>
    <w:rsid w:val="00BA5332"/>
    <w:rsid w:val="00BF4BD2"/>
    <w:rsid w:val="00C40DD2"/>
    <w:rsid w:val="00C51054"/>
    <w:rsid w:val="00CB0726"/>
    <w:rsid w:val="00D51378"/>
    <w:rsid w:val="00D7745B"/>
    <w:rsid w:val="00D80292"/>
    <w:rsid w:val="00DD4432"/>
    <w:rsid w:val="00EA121E"/>
    <w:rsid w:val="00F45252"/>
    <w:rsid w:val="00FA3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701A54"/>
    <w:pPr>
      <w:keepNext/>
      <w:numPr>
        <w:numId w:val="8"/>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701A54"/>
    <w:pPr>
      <w:numPr>
        <w:ilvl w:val="1"/>
        <w:numId w:val="8"/>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701A54"/>
    <w:pPr>
      <w:numPr>
        <w:ilvl w:val="2"/>
        <w:numId w:val="8"/>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01A54"/>
    <w:pPr>
      <w:numPr>
        <w:ilvl w:val="3"/>
        <w:numId w:val="8"/>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01A54"/>
    <w:pPr>
      <w:numPr>
        <w:ilvl w:val="4"/>
        <w:numId w:val="8"/>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01A54"/>
    <w:pPr>
      <w:numPr>
        <w:ilvl w:val="5"/>
        <w:numId w:val="8"/>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701A54"/>
    <w:pPr>
      <w:numPr>
        <w:ilvl w:val="6"/>
        <w:numId w:val="8"/>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701A54"/>
    <w:pPr>
      <w:numPr>
        <w:ilvl w:val="7"/>
        <w:numId w:val="8"/>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01A54"/>
    <w:pPr>
      <w:numPr>
        <w:ilvl w:val="8"/>
        <w:numId w:val="8"/>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01A54"/>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01A54"/>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01A54"/>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01A54"/>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01A54"/>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01A54"/>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01A54"/>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01A54"/>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01A54"/>
    <w:rPr>
      <w:rFonts w:ascii="Arial" w:eastAsia="STZhongsong" w:hAnsi="Arial"/>
      <w:szCs w:val="20"/>
      <w:lang w:eastAsia="zh-CN"/>
    </w:rPr>
  </w:style>
  <w:style w:type="table" w:styleId="TableGrid">
    <w:name w:val="Table Grid"/>
    <w:basedOn w:val="TableNormal"/>
    <w:uiPriority w:val="59"/>
    <w:rsid w:val="0062425B"/>
    <w:pPr>
      <w:overflowPunct w:val="0"/>
      <w:autoSpaceDE w:val="0"/>
      <w:adjustRightInd w:val="0"/>
      <w:spacing w:after="0" w:line="240" w:lineRule="auto"/>
      <w:jc w:val="both"/>
      <w:textAlignment w:val="auto"/>
    </w:pPr>
    <w:rPr>
      <w:rFonts w:ascii="Times New Roman" w:eastAsia="Times New Roman" w:hAnsi="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28673">
      <w:bodyDiv w:val="1"/>
      <w:marLeft w:val="0"/>
      <w:marRight w:val="0"/>
      <w:marTop w:val="0"/>
      <w:marBottom w:val="0"/>
      <w:divBdr>
        <w:top w:val="none" w:sz="0" w:space="0" w:color="auto"/>
        <w:left w:val="none" w:sz="0" w:space="0" w:color="auto"/>
        <w:bottom w:val="none" w:sz="0" w:space="0" w:color="auto"/>
        <w:right w:val="none" w:sz="0" w:space="0" w:color="auto"/>
      </w:divBdr>
    </w:div>
    <w:div w:id="208047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3</cp:revision>
  <dcterms:created xsi:type="dcterms:W3CDTF">2022-12-16T13:35:00Z</dcterms:created>
  <dcterms:modified xsi:type="dcterms:W3CDTF">2022-12-16T13:37:00Z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