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82320" w14:textId="77777777"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2BE85BF1" w14:textId="77777777" w:rsidR="00EA230B" w:rsidRPr="003014E1" w:rsidRDefault="00EA230B" w:rsidP="003014E1">
      <w:r w:rsidRPr="003014E1">
        <w:t xml:space="preserve">  </w:t>
      </w:r>
    </w:p>
    <w:p w14:paraId="0C1BF3D0"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27651C13" w14:textId="77777777" w:rsidR="00EA230B" w:rsidRPr="003014E1" w:rsidRDefault="00EA230B" w:rsidP="003014E1"/>
    <w:p w14:paraId="6CF2D081" w14:textId="77777777" w:rsidR="00EA230B" w:rsidRPr="003014E1" w:rsidRDefault="00EA230B" w:rsidP="003014E1"/>
    <w:p w14:paraId="3A35C945" w14:textId="77777777" w:rsidR="00EA230B" w:rsidRPr="003014E1" w:rsidRDefault="00EA230B" w:rsidP="003014E1"/>
    <w:p w14:paraId="3C771ED4" w14:textId="77777777" w:rsidR="009E6862" w:rsidRPr="003014E1" w:rsidRDefault="009E6862" w:rsidP="003014E1"/>
    <w:p w14:paraId="40E67EC9" w14:textId="77777777" w:rsidR="00137F02" w:rsidRPr="003014E1" w:rsidRDefault="00D46F96" w:rsidP="003014E1">
      <w:pPr>
        <w:jc w:val="center"/>
        <w:rPr>
          <w:b/>
          <w:sz w:val="40"/>
          <w:szCs w:val="40"/>
        </w:rPr>
      </w:pPr>
      <w:r w:rsidRPr="003014E1">
        <w:rPr>
          <w:b/>
          <w:sz w:val="40"/>
          <w:szCs w:val="40"/>
        </w:rPr>
        <w:t>Invitation to Tender</w:t>
      </w:r>
    </w:p>
    <w:p w14:paraId="659AC1B4" w14:textId="77777777" w:rsidR="005D2814" w:rsidRPr="003014E1" w:rsidRDefault="005D2814" w:rsidP="003014E1">
      <w:pPr>
        <w:jc w:val="center"/>
      </w:pPr>
    </w:p>
    <w:p w14:paraId="7D060AAD" w14:textId="64E37A4E" w:rsidR="00137F02" w:rsidRPr="003014E1" w:rsidRDefault="005D2814" w:rsidP="003014E1">
      <w:pPr>
        <w:jc w:val="center"/>
        <w:rPr>
          <w:b/>
          <w:sz w:val="36"/>
          <w:szCs w:val="36"/>
        </w:rPr>
      </w:pPr>
      <w:r w:rsidRPr="003014E1">
        <w:rPr>
          <w:b/>
          <w:sz w:val="36"/>
          <w:szCs w:val="36"/>
        </w:rPr>
        <w:t xml:space="preserve">Provision of </w:t>
      </w:r>
      <w:r w:rsidR="008715D5">
        <w:rPr>
          <w:b/>
          <w:sz w:val="36"/>
          <w:szCs w:val="36"/>
        </w:rPr>
        <w:t xml:space="preserve">Reception Baseline Assessment </w:t>
      </w:r>
      <w:r w:rsidR="001E1CC9">
        <w:rPr>
          <w:b/>
          <w:sz w:val="36"/>
          <w:szCs w:val="36"/>
        </w:rPr>
        <w:t>Expert</w:t>
      </w:r>
      <w:r w:rsidR="006C184E" w:rsidRPr="003014E1">
        <w:rPr>
          <w:b/>
          <w:sz w:val="36"/>
          <w:szCs w:val="36"/>
        </w:rPr>
        <w:t xml:space="preserv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14:paraId="6BD48B73" w14:textId="77777777" w:rsidR="00137F02" w:rsidRPr="003014E1" w:rsidRDefault="00137F02" w:rsidP="003014E1">
      <w:pPr>
        <w:jc w:val="center"/>
      </w:pPr>
    </w:p>
    <w:p w14:paraId="53F6BDAD" w14:textId="04265CA5"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1E1CC9">
        <w:rPr>
          <w:sz w:val="32"/>
          <w:szCs w:val="32"/>
        </w:rPr>
        <w:t>1</w:t>
      </w:r>
      <w:r w:rsidR="008715D5">
        <w:rPr>
          <w:sz w:val="32"/>
          <w:szCs w:val="32"/>
        </w:rPr>
        <w:t>80</w:t>
      </w:r>
    </w:p>
    <w:p w14:paraId="3BD77C46" w14:textId="77777777" w:rsidR="00137F02" w:rsidRPr="003014E1" w:rsidRDefault="00137F02" w:rsidP="003014E1"/>
    <w:p w14:paraId="54C76EE2" w14:textId="77777777" w:rsidR="00137F02" w:rsidRPr="003014E1" w:rsidRDefault="00137F02" w:rsidP="003014E1"/>
    <w:p w14:paraId="01F5ABB2" w14:textId="77777777" w:rsidR="00137F02" w:rsidRPr="003014E1" w:rsidRDefault="00137F02" w:rsidP="003014E1"/>
    <w:p w14:paraId="48C88C1A"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1E1C82AE" w14:textId="77777777" w:rsidTr="008B2E0E">
        <w:tc>
          <w:tcPr>
            <w:tcW w:w="1768" w:type="pct"/>
            <w:shd w:val="clear" w:color="auto" w:fill="B8CCE4" w:themeFill="accent1" w:themeFillTint="66"/>
          </w:tcPr>
          <w:p w14:paraId="50B3A361"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168F9A3B" w14:textId="0D4F383D" w:rsidR="00137F02" w:rsidRPr="003014E1" w:rsidRDefault="00137F02" w:rsidP="003014E1"/>
        </w:tc>
      </w:tr>
      <w:tr w:rsidR="00137F02" w:rsidRPr="003014E1" w14:paraId="0C50D3C4" w14:textId="77777777" w:rsidTr="008B2E0E">
        <w:tc>
          <w:tcPr>
            <w:tcW w:w="1768" w:type="pct"/>
            <w:shd w:val="clear" w:color="auto" w:fill="B8CCE4" w:themeFill="accent1" w:themeFillTint="66"/>
          </w:tcPr>
          <w:p w14:paraId="46CE1E5C"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6C6F7E65" w14:textId="77777777" w:rsidR="00137F02" w:rsidRPr="003014E1" w:rsidRDefault="00137F02" w:rsidP="003014E1"/>
        </w:tc>
      </w:tr>
      <w:tr w:rsidR="00137F02" w:rsidRPr="003014E1" w14:paraId="46A9C0C9" w14:textId="77777777" w:rsidTr="008B2E0E">
        <w:tc>
          <w:tcPr>
            <w:tcW w:w="1768" w:type="pct"/>
            <w:shd w:val="clear" w:color="auto" w:fill="B8CCE4" w:themeFill="accent1" w:themeFillTint="66"/>
          </w:tcPr>
          <w:p w14:paraId="13D8CF69"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7F99B460" w14:textId="77777777" w:rsidR="00137F02" w:rsidRPr="003014E1" w:rsidRDefault="00137F02" w:rsidP="003014E1"/>
        </w:tc>
      </w:tr>
      <w:tr w:rsidR="00137F02" w:rsidRPr="003014E1" w14:paraId="39BDD800" w14:textId="77777777" w:rsidTr="008B2E0E">
        <w:tc>
          <w:tcPr>
            <w:tcW w:w="1768" w:type="pct"/>
            <w:shd w:val="clear" w:color="auto" w:fill="B8CCE4" w:themeFill="accent1" w:themeFillTint="66"/>
          </w:tcPr>
          <w:p w14:paraId="7955A6DF"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65EFC0A1" w14:textId="77777777" w:rsidR="00137F02" w:rsidRPr="003014E1" w:rsidRDefault="00137F02" w:rsidP="003014E1"/>
        </w:tc>
      </w:tr>
      <w:tr w:rsidR="00EE5E08" w:rsidRPr="003014E1" w14:paraId="4DBB8F89" w14:textId="77777777" w:rsidTr="008B2E0E">
        <w:tc>
          <w:tcPr>
            <w:tcW w:w="1768" w:type="pct"/>
            <w:shd w:val="clear" w:color="auto" w:fill="B8CCE4" w:themeFill="accent1" w:themeFillTint="66"/>
          </w:tcPr>
          <w:p w14:paraId="431446F9" w14:textId="77777777" w:rsidR="00EE5E08" w:rsidRPr="008B2E0E" w:rsidRDefault="00EE5E08" w:rsidP="003014E1">
            <w:pPr>
              <w:rPr>
                <w:b/>
              </w:rPr>
            </w:pPr>
            <w:r w:rsidRPr="008B2E0E">
              <w:rPr>
                <w:b/>
              </w:rPr>
              <w:t>Postal Address:</w:t>
            </w:r>
          </w:p>
        </w:tc>
        <w:tc>
          <w:tcPr>
            <w:tcW w:w="3232" w:type="pct"/>
            <w:shd w:val="clear" w:color="auto" w:fill="auto"/>
          </w:tcPr>
          <w:p w14:paraId="7BF3A987" w14:textId="77777777" w:rsidR="00EE5E08" w:rsidRPr="003014E1" w:rsidRDefault="00EE5E08" w:rsidP="003014E1"/>
        </w:tc>
      </w:tr>
    </w:tbl>
    <w:p w14:paraId="2F7E5F66" w14:textId="77777777" w:rsidR="00137F02" w:rsidRPr="003014E1" w:rsidRDefault="00137F02" w:rsidP="003014E1"/>
    <w:p w14:paraId="1E1EA3B9"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187BB79E"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5D3FDFD8"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767B4B31"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3E4046F2" w14:textId="56B98485" w:rsidR="00252A2F" w:rsidRDefault="00137F02" w:rsidP="003014E1">
      <w:proofErr w:type="gramStart"/>
      <w:r w:rsidRPr="003014E1">
        <w:t xml:space="preserve">This Invitation to </w:t>
      </w:r>
      <w:r w:rsidR="004A1BBC" w:rsidRPr="003014E1">
        <w:t>Tender (ITT</w:t>
      </w:r>
      <w:r w:rsidRPr="003014E1">
        <w:t xml:space="preserve">) has been issued by </w:t>
      </w:r>
      <w:r w:rsidR="00CD3B31">
        <w:t>t</w:t>
      </w:r>
      <w:r w:rsidRPr="003014E1">
        <w:t>he Standards and Testing Agency (STA</w:t>
      </w:r>
      <w:proofErr w:type="gramEnd"/>
      <w:r w:rsidRPr="003014E1">
        <w:t xml:space="preserve">) in connection with a competitive procurement exercise </w:t>
      </w:r>
      <w:r w:rsidR="004838B3" w:rsidRPr="003014E1">
        <w:t>(</w:t>
      </w:r>
      <w:r w:rsidRPr="003014E1">
        <w:t>Ref: STA-</w:t>
      </w:r>
      <w:r w:rsidR="00662D5F" w:rsidRPr="003014E1">
        <w:t>0</w:t>
      </w:r>
      <w:r w:rsidR="001E1CC9">
        <w:t>1</w:t>
      </w:r>
      <w:r w:rsidR="008715D5">
        <w:t>80</w:t>
      </w:r>
      <w:r w:rsidR="004838B3" w:rsidRPr="003014E1">
        <w:t>)</w:t>
      </w:r>
      <w:r w:rsidR="00BF2DBE">
        <w:t xml:space="preserve">.  </w:t>
      </w:r>
      <w:r w:rsidRPr="003014E1">
        <w:t xml:space="preserve">The </w:t>
      </w:r>
      <w:r w:rsidR="009476BF" w:rsidRPr="003014E1">
        <w:t>purpose</w:t>
      </w:r>
      <w:r w:rsidRPr="003014E1">
        <w:t xml:space="preserve"> of this procurement is to </w:t>
      </w:r>
      <w:r w:rsidR="00BB1495">
        <w:t xml:space="preserve">acquire </w:t>
      </w:r>
      <w:r w:rsidR="008715D5">
        <w:t xml:space="preserve">Reception Baseline Assessment </w:t>
      </w:r>
      <w:r w:rsidR="006D3C7A">
        <w:t xml:space="preserve">Expert </w:t>
      </w:r>
      <w:r w:rsidR="00BB1495">
        <w:t xml:space="preserve">resource </w:t>
      </w:r>
      <w:r w:rsidR="006C184E" w:rsidRPr="003014E1">
        <w:t xml:space="preserve">to support </w:t>
      </w:r>
      <w:r w:rsidR="008715D5">
        <w:t xml:space="preserve">the evaluation and award process of the Reception Baseline </w:t>
      </w:r>
      <w:r w:rsidR="00503434">
        <w:t>Assessment</w:t>
      </w:r>
    </w:p>
    <w:p w14:paraId="2C1A8675" w14:textId="77777777" w:rsidR="008715D5" w:rsidRPr="003014E1" w:rsidRDefault="008715D5" w:rsidP="003014E1"/>
    <w:p w14:paraId="42EE9126"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55433379" w14:textId="77777777" w:rsidR="00137F02" w:rsidRPr="003014E1" w:rsidRDefault="00137F02" w:rsidP="003014E1">
      <w:r w:rsidRPr="003014E1">
        <w:t>This document:</w:t>
      </w:r>
    </w:p>
    <w:p w14:paraId="0E1A8C8A" w14:textId="77777777" w:rsidR="00137F02" w:rsidRPr="003014E1" w:rsidRDefault="00137F02" w:rsidP="00125DA0">
      <w:pPr>
        <w:pStyle w:val="ListParagraph"/>
        <w:numPr>
          <w:ilvl w:val="0"/>
          <w:numId w:val="6"/>
        </w:numPr>
      </w:pPr>
      <w:r w:rsidRPr="003014E1">
        <w:t>sets out the context for the required services;</w:t>
      </w:r>
    </w:p>
    <w:p w14:paraId="2B8E4CF8" w14:textId="77777777" w:rsidR="00137F02" w:rsidRPr="003014E1" w:rsidRDefault="00137F02" w:rsidP="00125DA0">
      <w:pPr>
        <w:pStyle w:val="ListParagraph"/>
        <w:numPr>
          <w:ilvl w:val="0"/>
          <w:numId w:val="6"/>
        </w:numPr>
      </w:pPr>
      <w:r w:rsidRPr="003014E1">
        <w:t>outlines the planned procurement process; and</w:t>
      </w:r>
    </w:p>
    <w:p w14:paraId="0D2BA0D6" w14:textId="77777777" w:rsidR="00137F02" w:rsidRPr="003014E1" w:rsidRDefault="00137F02" w:rsidP="00125DA0">
      <w:pPr>
        <w:pStyle w:val="ListParagraph"/>
        <w:numPr>
          <w:ilvl w:val="0"/>
          <w:numId w:val="6"/>
        </w:numPr>
      </w:pPr>
      <w:proofErr w:type="gramStart"/>
      <w:r w:rsidRPr="003014E1">
        <w:t>contains</w:t>
      </w:r>
      <w:proofErr w:type="gramEnd"/>
      <w:r w:rsidRPr="003014E1">
        <w:t xml:space="preserve"> a response section to evaluate the Bidder's proposed response to STA's requirements.</w:t>
      </w:r>
    </w:p>
    <w:p w14:paraId="5DC5E3F1" w14:textId="77777777" w:rsidR="00252A2F" w:rsidRPr="003014E1" w:rsidRDefault="00252A2F" w:rsidP="003014E1"/>
    <w:p w14:paraId="0BC68938"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5A8AD5B3"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24DE1351" w14:textId="77777777" w:rsidR="00BF2DBE" w:rsidRDefault="00BF2DBE" w:rsidP="003014E1"/>
    <w:p w14:paraId="1B352240" w14:textId="628D4D43" w:rsidR="00137F02" w:rsidRPr="003014E1" w:rsidRDefault="00137F02" w:rsidP="003014E1">
      <w:r w:rsidRPr="003014E1">
        <w:t>STA reserves the right, subject to the appropriate procurement regulations, to change without notice the basis of, or the procedures for, the competitive process or to terminate the process at any time.</w:t>
      </w:r>
    </w:p>
    <w:p w14:paraId="632FCCB1" w14:textId="77777777" w:rsidR="00AE6277" w:rsidRDefault="00AE6277" w:rsidP="003014E1"/>
    <w:p w14:paraId="606FAC24" w14:textId="44F76D7A" w:rsidR="00137F02" w:rsidRPr="003014E1" w:rsidRDefault="00137F02" w:rsidP="003014E1">
      <w:r w:rsidRPr="003014E1">
        <w:t xml:space="preserve">The information contained within this document is confidential and </w:t>
      </w:r>
      <w:proofErr w:type="gramStart"/>
      <w:r w:rsidRPr="003014E1">
        <w:t>should not be disclosed</w:t>
      </w:r>
      <w:proofErr w:type="gramEnd"/>
      <w:r w:rsidRPr="003014E1">
        <w:t xml:space="preserve"> except for purposes related to its completion.</w:t>
      </w:r>
    </w:p>
    <w:p w14:paraId="372BD871" w14:textId="77777777" w:rsidR="00252A2F" w:rsidRPr="003014E1" w:rsidRDefault="00252A2F" w:rsidP="003014E1"/>
    <w:p w14:paraId="281B2817"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34DDC74F" w14:textId="77777777"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w:t>
      </w:r>
      <w:proofErr w:type="gramStart"/>
      <w:r w:rsidRPr="003014E1">
        <w:t>be disclosed</w:t>
      </w:r>
      <w:proofErr w:type="gramEnd"/>
      <w:r w:rsidRPr="003014E1">
        <w:t xml:space="preserve"> by the public authority in response to a request under the Act. STA may also decide to include certain information in the publication scheme, which it maintains under the Act. </w:t>
      </w:r>
    </w:p>
    <w:p w14:paraId="0A5A27FD" w14:textId="77777777" w:rsidR="00BF2DBE" w:rsidRDefault="00BF2DBE" w:rsidP="003014E1"/>
    <w:p w14:paraId="3B33EA15" w14:textId="77777777" w:rsidR="00137F02" w:rsidRPr="003014E1" w:rsidRDefault="00137F02" w:rsidP="003014E1">
      <w:r w:rsidRPr="003014E1">
        <w:t>STA also has a commitment to the Government's transparency initiative relating to public sector suppliers, their transactions and their contracts. This includes:</w:t>
      </w:r>
    </w:p>
    <w:p w14:paraId="51A7ECF0"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32398DB4" w14:textId="77777777" w:rsidR="00137F02" w:rsidRPr="003014E1" w:rsidRDefault="00137F02" w:rsidP="00125DA0">
      <w:pPr>
        <w:pStyle w:val="ListParagraph"/>
        <w:numPr>
          <w:ilvl w:val="0"/>
          <w:numId w:val="7"/>
        </w:numPr>
      </w:pPr>
      <w:r w:rsidRPr="003014E1">
        <w:lastRenderedPageBreak/>
        <w:t>publication of financial transactions relating to expenditure with third parties; and</w:t>
      </w:r>
    </w:p>
    <w:p w14:paraId="64FDF60D" w14:textId="77777777" w:rsidR="00137F02" w:rsidRDefault="00137F02" w:rsidP="00125DA0">
      <w:pPr>
        <w:pStyle w:val="ListParagraph"/>
        <w:numPr>
          <w:ilvl w:val="0"/>
          <w:numId w:val="7"/>
        </w:numPr>
      </w:pPr>
      <w:proofErr w:type="gramStart"/>
      <w:r w:rsidRPr="003014E1">
        <w:t>publication</w:t>
      </w:r>
      <w:proofErr w:type="gramEnd"/>
      <w:r w:rsidRPr="003014E1">
        <w:t xml:space="preserve"> of new contracts.</w:t>
      </w:r>
    </w:p>
    <w:p w14:paraId="7DD52B62" w14:textId="77777777" w:rsidR="000D212F" w:rsidRPr="003014E1" w:rsidRDefault="000D212F" w:rsidP="003014E1"/>
    <w:p w14:paraId="75EE468F" w14:textId="77777777"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proofErr w:type="gramStart"/>
      <w:r w:rsidRPr="003014E1">
        <w:t>time period</w:t>
      </w:r>
      <w:proofErr w:type="gramEnd"/>
      <w:r w:rsidRPr="003014E1">
        <w:t xml:space="preserve">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5115D4CF"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58DA99A7" w14:textId="77777777" w:rsidTr="008E756B">
        <w:tc>
          <w:tcPr>
            <w:tcW w:w="1488" w:type="dxa"/>
            <w:shd w:val="clear" w:color="auto" w:fill="99CCFF"/>
          </w:tcPr>
          <w:p w14:paraId="4D91E297" w14:textId="77777777" w:rsidR="00137F02" w:rsidRPr="003014E1" w:rsidRDefault="00137F02" w:rsidP="003014E1">
            <w:r w:rsidRPr="003014E1">
              <w:t>Section</w:t>
            </w:r>
          </w:p>
        </w:tc>
        <w:tc>
          <w:tcPr>
            <w:tcW w:w="4992" w:type="dxa"/>
            <w:shd w:val="clear" w:color="auto" w:fill="99CCFF"/>
          </w:tcPr>
          <w:p w14:paraId="70AE8914" w14:textId="77777777" w:rsidR="00137F02" w:rsidRPr="003014E1" w:rsidRDefault="00137F02" w:rsidP="003014E1">
            <w:r w:rsidRPr="003014E1">
              <w:t>Commercial sensitivity</w:t>
            </w:r>
          </w:p>
        </w:tc>
        <w:tc>
          <w:tcPr>
            <w:tcW w:w="2994" w:type="dxa"/>
            <w:shd w:val="clear" w:color="auto" w:fill="99CCFF"/>
          </w:tcPr>
          <w:p w14:paraId="72CDB661" w14:textId="77777777" w:rsidR="00137F02" w:rsidRPr="003014E1" w:rsidRDefault="00137F02" w:rsidP="003014E1">
            <w:r w:rsidRPr="003014E1">
              <w:t>Time period</w:t>
            </w:r>
          </w:p>
        </w:tc>
      </w:tr>
      <w:tr w:rsidR="00137F02" w:rsidRPr="003014E1" w14:paraId="2FAEB534" w14:textId="77777777" w:rsidTr="008E756B">
        <w:trPr>
          <w:trHeight w:val="70"/>
        </w:trPr>
        <w:tc>
          <w:tcPr>
            <w:tcW w:w="1488" w:type="dxa"/>
            <w:shd w:val="clear" w:color="auto" w:fill="auto"/>
          </w:tcPr>
          <w:p w14:paraId="55458398" w14:textId="77777777" w:rsidR="00137F02" w:rsidRPr="003014E1" w:rsidRDefault="00137F02" w:rsidP="003014E1"/>
          <w:p w14:paraId="66D63595" w14:textId="77777777" w:rsidR="00137F02" w:rsidRPr="003014E1" w:rsidRDefault="00137F02" w:rsidP="003014E1"/>
        </w:tc>
        <w:tc>
          <w:tcPr>
            <w:tcW w:w="4992" w:type="dxa"/>
            <w:shd w:val="clear" w:color="auto" w:fill="auto"/>
          </w:tcPr>
          <w:p w14:paraId="42D28D64" w14:textId="77777777" w:rsidR="00137F02" w:rsidRPr="003014E1" w:rsidRDefault="00137F02" w:rsidP="003014E1"/>
        </w:tc>
        <w:tc>
          <w:tcPr>
            <w:tcW w:w="2994" w:type="dxa"/>
            <w:shd w:val="clear" w:color="auto" w:fill="auto"/>
          </w:tcPr>
          <w:p w14:paraId="2286FD43" w14:textId="77777777" w:rsidR="00137F02" w:rsidRPr="003014E1" w:rsidRDefault="00137F02" w:rsidP="003014E1"/>
        </w:tc>
      </w:tr>
    </w:tbl>
    <w:p w14:paraId="7697C9E3" w14:textId="77777777" w:rsidR="00BF2DBE" w:rsidRDefault="00BF2DBE" w:rsidP="003014E1">
      <w:bookmarkStart w:id="25" w:name="_Toc309139683"/>
    </w:p>
    <w:p w14:paraId="28F060F8" w14:textId="77777777" w:rsidR="000C2B87" w:rsidRDefault="000C2B87">
      <w:pPr>
        <w:rPr>
          <w:b/>
          <w:sz w:val="32"/>
          <w:szCs w:val="32"/>
        </w:rPr>
      </w:pPr>
      <w:r>
        <w:rPr>
          <w:b/>
          <w:sz w:val="32"/>
          <w:szCs w:val="32"/>
        </w:rPr>
        <w:br w:type="page"/>
      </w:r>
    </w:p>
    <w:p w14:paraId="7A68EC9C" w14:textId="565C2B27" w:rsidR="00137F02" w:rsidRPr="000D212F" w:rsidRDefault="00B971F3" w:rsidP="003014E1">
      <w:pPr>
        <w:rPr>
          <w:b/>
          <w:sz w:val="32"/>
          <w:szCs w:val="32"/>
        </w:rPr>
      </w:pPr>
      <w:r>
        <w:rPr>
          <w:b/>
          <w:sz w:val="32"/>
          <w:szCs w:val="32"/>
        </w:rPr>
        <w:lastRenderedPageBreak/>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264A1D2D" w14:textId="77777777" w:rsidR="000D212F" w:rsidRDefault="000D212F" w:rsidP="003014E1">
      <w:bookmarkStart w:id="26" w:name="_Toc309139684"/>
    </w:p>
    <w:p w14:paraId="3973266B" w14:textId="0C5A540B" w:rsidR="00165816" w:rsidRDefault="00F90A49" w:rsidP="003014E1">
      <w:r>
        <w:t>This section of the ITT</w:t>
      </w:r>
      <w:r w:rsidR="00165816" w:rsidRPr="00165816">
        <w:t xml:space="preserve"> sets out the Specification of Requirements</w:t>
      </w:r>
      <w:r w:rsidR="008715D5">
        <w:t>.</w:t>
      </w:r>
    </w:p>
    <w:p w14:paraId="0056EAD0" w14:textId="77777777" w:rsidR="008715D5" w:rsidRDefault="008715D5" w:rsidP="003014E1"/>
    <w:p w14:paraId="044E0E9C" w14:textId="688DB63A" w:rsidR="00137F02"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1F94B8B9" w14:textId="77777777" w:rsidR="00012B3F" w:rsidRPr="000D212F" w:rsidRDefault="00012B3F" w:rsidP="003014E1">
      <w:pPr>
        <w:rPr>
          <w:b/>
          <w:sz w:val="28"/>
          <w:szCs w:val="28"/>
        </w:rPr>
      </w:pPr>
    </w:p>
    <w:p w14:paraId="1C39BEA8" w14:textId="3FCC37F6" w:rsidR="00012B3F" w:rsidRDefault="00683779" w:rsidP="00012B3F">
      <w:bookmarkStart w:id="27" w:name="_Toc309139685"/>
      <w:r>
        <w:t>The Standa</w:t>
      </w:r>
      <w:r w:rsidR="0046647F">
        <w:t>rds and Testing Agency (STA) is</w:t>
      </w:r>
      <w:r>
        <w:t xml:space="preserve"> looking to procure </w:t>
      </w:r>
      <w:bookmarkStart w:id="28" w:name="_GoBack"/>
      <w:bookmarkEnd w:id="28"/>
      <w:r w:rsidR="00012B3F">
        <w:t xml:space="preserve">three experts </w:t>
      </w:r>
      <w:r>
        <w:t xml:space="preserve">to provide independent expertise </w:t>
      </w:r>
      <w:r w:rsidR="00012B3F" w:rsidRPr="003014E1">
        <w:t xml:space="preserve">to support </w:t>
      </w:r>
      <w:r w:rsidR="00012B3F">
        <w:t xml:space="preserve">the evaluation and award process of the Reception Baseline </w:t>
      </w:r>
      <w:r w:rsidR="00503434">
        <w:t>Assessment</w:t>
      </w:r>
    </w:p>
    <w:p w14:paraId="07ACED39" w14:textId="5FD6BA5C" w:rsidR="00683779" w:rsidRDefault="00683779" w:rsidP="00683779"/>
    <w:p w14:paraId="3AC6D14E" w14:textId="132F89BE" w:rsidR="003662DE"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21C3FB05" w14:textId="44A7AB69" w:rsidR="00012B3F" w:rsidRDefault="00012B3F" w:rsidP="003014E1">
      <w:pPr>
        <w:rPr>
          <w:b/>
          <w:sz w:val="28"/>
          <w:szCs w:val="28"/>
        </w:rPr>
      </w:pPr>
    </w:p>
    <w:p w14:paraId="1F43E325" w14:textId="77777777" w:rsidR="00012B3F" w:rsidRPr="0083323A" w:rsidRDefault="00012B3F" w:rsidP="00012B3F">
      <w:r w:rsidRPr="0083323A">
        <w:t>STA is seeking to engage Experts who have:</w:t>
      </w:r>
    </w:p>
    <w:p w14:paraId="0A6DCEF2" w14:textId="77777777" w:rsidR="00012B3F" w:rsidRPr="0083323A" w:rsidRDefault="00012B3F" w:rsidP="00012B3F"/>
    <w:p w14:paraId="31A8DED9" w14:textId="77777777" w:rsidR="00012B3F" w:rsidRPr="0083323A" w:rsidRDefault="00012B3F" w:rsidP="00012B3F">
      <w:pPr>
        <w:numPr>
          <w:ilvl w:val="0"/>
          <w:numId w:val="37"/>
        </w:numPr>
        <w:rPr>
          <w:rFonts w:eastAsia="Calibri" w:cs="Arial"/>
        </w:rPr>
      </w:pPr>
      <w:r w:rsidRPr="0083323A">
        <w:rPr>
          <w:rFonts w:eastAsia="Calibri" w:cs="Arial"/>
        </w:rPr>
        <w:t>Have experience of working with children of appropriate age (e.g. Headteacher, teacher, local authority consultant)</w:t>
      </w:r>
    </w:p>
    <w:p w14:paraId="367A08DE" w14:textId="77777777" w:rsidR="00012B3F" w:rsidRPr="0083323A" w:rsidRDefault="00012B3F" w:rsidP="00012B3F">
      <w:pPr>
        <w:rPr>
          <w:rFonts w:cs="Arial"/>
          <w:lang w:eastAsia="en-GB"/>
        </w:rPr>
      </w:pPr>
    </w:p>
    <w:p w14:paraId="02B304EB" w14:textId="77777777" w:rsidR="00012B3F" w:rsidRPr="0083323A" w:rsidRDefault="00012B3F" w:rsidP="00012B3F">
      <w:pPr>
        <w:numPr>
          <w:ilvl w:val="0"/>
          <w:numId w:val="37"/>
        </w:numPr>
        <w:rPr>
          <w:rFonts w:eastAsia="Calibri" w:cs="Arial"/>
        </w:rPr>
      </w:pPr>
      <w:r w:rsidRPr="0083323A">
        <w:rPr>
          <w:rFonts w:eastAsia="Calibri" w:cs="Arial"/>
        </w:rPr>
        <w:t>Have knowledge of the theory and techniques of assessing children of reception age</w:t>
      </w:r>
    </w:p>
    <w:p w14:paraId="28D05DCD" w14:textId="2D12A4EA" w:rsidR="00012B3F" w:rsidRPr="0083323A" w:rsidRDefault="0083323A" w:rsidP="0083323A">
      <w:pPr>
        <w:tabs>
          <w:tab w:val="left" w:pos="5610"/>
        </w:tabs>
        <w:rPr>
          <w:rFonts w:cs="Arial"/>
          <w:lang w:eastAsia="en-GB"/>
        </w:rPr>
      </w:pPr>
      <w:r>
        <w:rPr>
          <w:rFonts w:cs="Arial"/>
          <w:lang w:eastAsia="en-GB"/>
        </w:rPr>
        <w:tab/>
      </w:r>
    </w:p>
    <w:p w14:paraId="5CAB3E51" w14:textId="77777777" w:rsidR="00012B3F" w:rsidRPr="0083323A" w:rsidRDefault="00012B3F" w:rsidP="00012B3F">
      <w:pPr>
        <w:numPr>
          <w:ilvl w:val="0"/>
          <w:numId w:val="37"/>
        </w:numPr>
        <w:rPr>
          <w:rFonts w:eastAsia="Calibri" w:cs="Arial"/>
        </w:rPr>
      </w:pPr>
      <w:r w:rsidRPr="0083323A">
        <w:rPr>
          <w:rFonts w:eastAsia="Calibri" w:cs="Arial"/>
        </w:rPr>
        <w:t>Have an understanding of the early years and primary accountability context</w:t>
      </w:r>
    </w:p>
    <w:p w14:paraId="308286CA" w14:textId="77777777" w:rsidR="00012B3F" w:rsidRPr="0083323A" w:rsidRDefault="00012B3F" w:rsidP="0083323A">
      <w:pPr>
        <w:ind w:left="720"/>
        <w:rPr>
          <w:rFonts w:eastAsia="Calibri" w:cs="Arial"/>
        </w:rPr>
      </w:pPr>
    </w:p>
    <w:p w14:paraId="1A79B34D" w14:textId="0F0C4986" w:rsidR="00012B3F" w:rsidRPr="0083323A" w:rsidRDefault="00012B3F" w:rsidP="00012B3F">
      <w:pPr>
        <w:numPr>
          <w:ilvl w:val="0"/>
          <w:numId w:val="37"/>
        </w:numPr>
        <w:rPr>
          <w:rFonts w:eastAsia="Calibri" w:cs="Arial"/>
        </w:rPr>
      </w:pPr>
      <w:r w:rsidRPr="0083323A">
        <w:rPr>
          <w:rFonts w:eastAsia="Calibri" w:cs="Arial"/>
        </w:rPr>
        <w:t xml:space="preserve">Have the capacity to meet all of the requirements set out in this </w:t>
      </w:r>
      <w:r w:rsidR="00503434">
        <w:rPr>
          <w:rFonts w:eastAsia="Calibri" w:cs="Arial"/>
        </w:rPr>
        <w:t>ITT</w:t>
      </w:r>
      <w:r w:rsidRPr="0083323A">
        <w:rPr>
          <w:rFonts w:eastAsia="Calibri" w:cs="Arial"/>
        </w:rPr>
        <w:t xml:space="preserve"> and to be able to meet deadlines on a project</w:t>
      </w:r>
      <w:r w:rsidRPr="0083323A" w:rsidDel="00D110C5">
        <w:rPr>
          <w:rFonts w:eastAsia="Calibri" w:cs="Arial"/>
        </w:rPr>
        <w:t xml:space="preserve"> </w:t>
      </w:r>
    </w:p>
    <w:p w14:paraId="49E04220" w14:textId="77777777" w:rsidR="00012B3F" w:rsidRPr="0083323A" w:rsidRDefault="00012B3F" w:rsidP="0083323A">
      <w:pPr>
        <w:ind w:left="720"/>
        <w:rPr>
          <w:rFonts w:eastAsia="Calibri" w:cs="Arial"/>
        </w:rPr>
      </w:pPr>
    </w:p>
    <w:p w14:paraId="3B55A575" w14:textId="56D63A94" w:rsidR="00012B3F" w:rsidRPr="0083323A" w:rsidRDefault="00012B3F" w:rsidP="0083323A">
      <w:pPr>
        <w:pStyle w:val="ListParagraph"/>
        <w:numPr>
          <w:ilvl w:val="0"/>
          <w:numId w:val="37"/>
        </w:numPr>
        <w:rPr>
          <w:rFonts w:cs="Arial"/>
          <w:lang w:eastAsia="en-GB"/>
        </w:rPr>
      </w:pPr>
      <w:r w:rsidRPr="0083323A">
        <w:rPr>
          <w:rFonts w:cs="Arial"/>
          <w:lang w:eastAsia="en-GB"/>
        </w:rPr>
        <w:t>Be independent of any supplier who is submitting a proposal as part of the Reception Baseline procurement</w:t>
      </w:r>
    </w:p>
    <w:p w14:paraId="73921721" w14:textId="21B063D5" w:rsidR="00012B3F" w:rsidRPr="0083323A" w:rsidRDefault="00012B3F" w:rsidP="00012B3F">
      <w:pPr>
        <w:rPr>
          <w:rFonts w:cs="Arial"/>
          <w:lang w:eastAsia="en-GB"/>
        </w:rPr>
      </w:pPr>
    </w:p>
    <w:p w14:paraId="5C467563" w14:textId="69B1432E" w:rsidR="00012B3F" w:rsidRPr="0083323A" w:rsidRDefault="00012B3F" w:rsidP="00012B3F">
      <w:pPr>
        <w:rPr>
          <w:b/>
          <w:lang w:eastAsia="en-GB"/>
        </w:rPr>
      </w:pPr>
      <w:r w:rsidRPr="0083323A">
        <w:rPr>
          <w:lang w:eastAsia="en-GB"/>
        </w:rPr>
        <w:t xml:space="preserve">The specialist will be an expert in Early Years education and assessments in order to have a clear understanding of the process. They will spend at least 0.5 day evaluating each bid and scoring against the set criteria as published in the Invitation to Tender. They will also attend a minimum of </w:t>
      </w:r>
      <w:r w:rsidR="0083323A" w:rsidRPr="0083323A">
        <w:rPr>
          <w:lang w:eastAsia="en-GB"/>
        </w:rPr>
        <w:t>two</w:t>
      </w:r>
      <w:r w:rsidRPr="0083323A">
        <w:rPr>
          <w:lang w:eastAsia="en-GB"/>
        </w:rPr>
        <w:t xml:space="preserve"> evaluation meetings. The contract will be for a maximum of </w:t>
      </w:r>
      <w:r w:rsidR="00161EF4">
        <w:rPr>
          <w:lang w:eastAsia="en-GB"/>
        </w:rPr>
        <w:t>8</w:t>
      </w:r>
      <w:r w:rsidRPr="0083323A">
        <w:rPr>
          <w:lang w:eastAsia="en-GB"/>
        </w:rPr>
        <w:t xml:space="preserve"> days only.</w:t>
      </w:r>
      <w:r w:rsidRPr="0083323A">
        <w:rPr>
          <w:b/>
          <w:lang w:eastAsia="en-GB"/>
        </w:rPr>
        <w:t xml:space="preserve">  </w:t>
      </w:r>
    </w:p>
    <w:p w14:paraId="5FB95F8E" w14:textId="77777777" w:rsidR="00012B3F" w:rsidRDefault="00012B3F" w:rsidP="00012B3F"/>
    <w:p w14:paraId="686D1D4F" w14:textId="3C9628E1" w:rsidR="00E109C2" w:rsidRDefault="00E109C2" w:rsidP="003014E1"/>
    <w:p w14:paraId="02BD9585" w14:textId="2828F600" w:rsidR="00912B37" w:rsidRPr="006C126B" w:rsidRDefault="00E109C2" w:rsidP="00912B37">
      <w:pPr>
        <w:rPr>
          <w:b/>
          <w:sz w:val="28"/>
          <w:szCs w:val="28"/>
        </w:rPr>
      </w:pPr>
      <w:bookmarkStart w:id="29" w:name="_Toc309139693"/>
      <w:r>
        <w:rPr>
          <w:b/>
          <w:sz w:val="28"/>
          <w:szCs w:val="28"/>
        </w:rPr>
        <w:t>2.</w:t>
      </w:r>
      <w:r w:rsidR="00012B3F">
        <w:rPr>
          <w:b/>
          <w:sz w:val="28"/>
          <w:szCs w:val="28"/>
        </w:rPr>
        <w:t>3</w:t>
      </w:r>
      <w:r w:rsidR="00912B37" w:rsidRPr="006C126B">
        <w:rPr>
          <w:b/>
          <w:sz w:val="28"/>
          <w:szCs w:val="28"/>
        </w:rPr>
        <w:t xml:space="preserve"> Conflict of interest</w:t>
      </w:r>
      <w:bookmarkEnd w:id="29"/>
    </w:p>
    <w:p w14:paraId="3E1DB023" w14:textId="77777777" w:rsidR="00912B37" w:rsidRDefault="00912B37" w:rsidP="00912B37">
      <w:r w:rsidRPr="003014E1">
        <w:t xml:space="preserve">Any conflicts of interest </w:t>
      </w:r>
      <w:proofErr w:type="gramStart"/>
      <w:r w:rsidRPr="003014E1">
        <w:t>should be declared</w:t>
      </w:r>
      <w:proofErr w:type="gramEnd"/>
      <w:r w:rsidRPr="003014E1">
        <w:t xml:space="preserve"> in the bidder’s application</w:t>
      </w:r>
      <w:bookmarkStart w:id="30" w:name="_DV_M249"/>
      <w:bookmarkEnd w:id="30"/>
      <w:r w:rsidRPr="003014E1">
        <w:t xml:space="preserve"> including other work for STA that could conflict with the objective and successful discharge of these services.</w:t>
      </w:r>
    </w:p>
    <w:p w14:paraId="484B697D" w14:textId="77777777" w:rsidR="00912B37" w:rsidRDefault="00912B37" w:rsidP="003014E1"/>
    <w:p w14:paraId="2810ADFA" w14:textId="521994C4" w:rsidR="005260FE" w:rsidRDefault="006632FF" w:rsidP="001F5B6B">
      <w:pPr>
        <w:rPr>
          <w:b/>
          <w:sz w:val="28"/>
          <w:szCs w:val="28"/>
        </w:rPr>
      </w:pPr>
      <w:bookmarkStart w:id="31" w:name="_Toc308624825"/>
      <w:bookmarkEnd w:id="31"/>
      <w:r>
        <w:rPr>
          <w:b/>
          <w:sz w:val="28"/>
          <w:szCs w:val="28"/>
        </w:rPr>
        <w:t>2.</w:t>
      </w:r>
      <w:r w:rsidR="00012B3F">
        <w:rPr>
          <w:b/>
          <w:sz w:val="28"/>
          <w:szCs w:val="28"/>
        </w:rPr>
        <w:t>4</w:t>
      </w:r>
      <w:r w:rsidR="00912B37" w:rsidRPr="00F00E06">
        <w:rPr>
          <w:b/>
          <w:sz w:val="28"/>
          <w:szCs w:val="28"/>
        </w:rPr>
        <w:t xml:space="preserve"> </w:t>
      </w:r>
      <w:r w:rsidR="00943153">
        <w:rPr>
          <w:b/>
          <w:sz w:val="28"/>
          <w:szCs w:val="28"/>
        </w:rPr>
        <w:t>Allocation of work and t</w:t>
      </w:r>
      <w:r w:rsidR="005260FE">
        <w:rPr>
          <w:b/>
          <w:sz w:val="28"/>
          <w:szCs w:val="28"/>
        </w:rPr>
        <w:t>imelin</w:t>
      </w:r>
      <w:r w:rsidR="005260FE" w:rsidRPr="00F00E06">
        <w:rPr>
          <w:b/>
          <w:sz w:val="28"/>
          <w:szCs w:val="28"/>
        </w:rPr>
        <w:t>es</w:t>
      </w:r>
    </w:p>
    <w:p w14:paraId="3A6D0CC7" w14:textId="1FE2A313" w:rsidR="00012B3F" w:rsidRDefault="00012B3F" w:rsidP="001F5B6B">
      <w:pPr>
        <w:rPr>
          <w:b/>
          <w:sz w:val="28"/>
          <w:szCs w:val="28"/>
        </w:rPr>
      </w:pPr>
    </w:p>
    <w:tbl>
      <w:tblPr>
        <w:tblW w:w="9594" w:type="dxa"/>
        <w:tblInd w:w="-3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4"/>
      </w:tblGrid>
      <w:tr w:rsidR="00012B3F" w:rsidRPr="00EA1841" w14:paraId="55F02852" w14:textId="77777777" w:rsidTr="0083323A">
        <w:tc>
          <w:tcPr>
            <w:tcW w:w="9594" w:type="dxa"/>
            <w:tcBorders>
              <w:top w:val="single" w:sz="6" w:space="0" w:color="auto"/>
              <w:left w:val="single" w:sz="6" w:space="0" w:color="auto"/>
              <w:bottom w:val="single" w:sz="6" w:space="0" w:color="auto"/>
              <w:right w:val="single" w:sz="6" w:space="0" w:color="auto"/>
            </w:tcBorders>
          </w:tcPr>
          <w:p w14:paraId="2D27FE29" w14:textId="77777777" w:rsidR="00012B3F" w:rsidRDefault="00012B3F" w:rsidP="0083323A">
            <w:pPr>
              <w:rPr>
                <w:b/>
              </w:rPr>
            </w:pPr>
            <w:r>
              <w:rPr>
                <w:b/>
              </w:rPr>
              <w:t>Timeline</w:t>
            </w:r>
          </w:p>
          <w:p w14:paraId="724E2ACE" w14:textId="77777777" w:rsidR="00012B3F" w:rsidRDefault="00012B3F" w:rsidP="0083323A">
            <w:pPr>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2"/>
              <w:gridCol w:w="3774"/>
              <w:gridCol w:w="2324"/>
            </w:tblGrid>
            <w:tr w:rsidR="00012B3F" w:rsidRPr="00E86A2F" w14:paraId="0FFEFA83" w14:textId="77777777" w:rsidTr="0083323A">
              <w:tc>
                <w:tcPr>
                  <w:tcW w:w="1282" w:type="dxa"/>
                  <w:shd w:val="clear" w:color="auto" w:fill="CCCCCC"/>
                </w:tcPr>
                <w:p w14:paraId="3BCD1EB7" w14:textId="77777777" w:rsidR="00012B3F" w:rsidRPr="00E86A2F" w:rsidRDefault="00012B3F" w:rsidP="0083323A">
                  <w:pPr>
                    <w:spacing w:before="240" w:after="120"/>
                    <w:jc w:val="center"/>
                    <w:rPr>
                      <w:rFonts w:cs="Arial"/>
                      <w:b/>
                      <w:noProof/>
                      <w:sz w:val="22"/>
                      <w:szCs w:val="22"/>
                      <w:lang w:val="en-US"/>
                    </w:rPr>
                  </w:pPr>
                  <w:r w:rsidRPr="00E86A2F">
                    <w:rPr>
                      <w:rFonts w:cs="Arial"/>
                      <w:b/>
                      <w:noProof/>
                      <w:sz w:val="22"/>
                      <w:szCs w:val="22"/>
                      <w:lang w:val="en-US"/>
                    </w:rPr>
                    <w:t xml:space="preserve">Milestone </w:t>
                  </w:r>
                </w:p>
              </w:tc>
              <w:tc>
                <w:tcPr>
                  <w:tcW w:w="3774" w:type="dxa"/>
                  <w:shd w:val="clear" w:color="auto" w:fill="CCCCCC"/>
                </w:tcPr>
                <w:p w14:paraId="47203250" w14:textId="77777777" w:rsidR="00012B3F" w:rsidRPr="00E86A2F" w:rsidRDefault="00012B3F" w:rsidP="0083323A">
                  <w:pPr>
                    <w:spacing w:before="240" w:after="120"/>
                    <w:jc w:val="center"/>
                    <w:rPr>
                      <w:rFonts w:cs="Arial"/>
                      <w:b/>
                      <w:noProof/>
                      <w:sz w:val="22"/>
                      <w:szCs w:val="22"/>
                      <w:lang w:val="en-US"/>
                    </w:rPr>
                  </w:pPr>
                  <w:r w:rsidRPr="00E86A2F">
                    <w:rPr>
                      <w:rFonts w:cs="Arial"/>
                      <w:b/>
                      <w:noProof/>
                      <w:sz w:val="22"/>
                      <w:szCs w:val="22"/>
                      <w:lang w:val="en-US"/>
                    </w:rPr>
                    <w:t>Requirement/Critical Steps</w:t>
                  </w:r>
                </w:p>
              </w:tc>
              <w:tc>
                <w:tcPr>
                  <w:tcW w:w="2324" w:type="dxa"/>
                  <w:shd w:val="clear" w:color="auto" w:fill="CCCCCC"/>
                </w:tcPr>
                <w:p w14:paraId="39370D1E" w14:textId="77777777" w:rsidR="00012B3F" w:rsidRPr="00E86A2F" w:rsidRDefault="00012B3F" w:rsidP="0083323A">
                  <w:pPr>
                    <w:spacing w:before="240" w:after="120"/>
                    <w:jc w:val="center"/>
                    <w:rPr>
                      <w:rFonts w:cs="Arial"/>
                      <w:b/>
                      <w:noProof/>
                      <w:sz w:val="22"/>
                      <w:szCs w:val="22"/>
                      <w:lang w:val="en-US"/>
                    </w:rPr>
                  </w:pPr>
                  <w:r>
                    <w:rPr>
                      <w:rFonts w:cs="Arial"/>
                      <w:b/>
                      <w:noProof/>
                      <w:sz w:val="22"/>
                      <w:szCs w:val="22"/>
                      <w:lang w:val="en-US"/>
                    </w:rPr>
                    <w:t>Delivery</w:t>
                  </w:r>
                </w:p>
              </w:tc>
            </w:tr>
            <w:tr w:rsidR="00012B3F" w:rsidRPr="00E86A2F" w14:paraId="4235A3D2" w14:textId="77777777" w:rsidTr="0083323A">
              <w:trPr>
                <w:trHeight w:val="536"/>
              </w:trPr>
              <w:tc>
                <w:tcPr>
                  <w:tcW w:w="1282" w:type="dxa"/>
                  <w:tcBorders>
                    <w:bottom w:val="single" w:sz="4" w:space="0" w:color="auto"/>
                  </w:tcBorders>
                </w:tcPr>
                <w:p w14:paraId="43DD396C" w14:textId="77777777" w:rsidR="00012B3F" w:rsidRPr="00E86A2F" w:rsidRDefault="00012B3F" w:rsidP="0083323A">
                  <w:pPr>
                    <w:spacing w:before="240" w:after="120"/>
                    <w:jc w:val="center"/>
                    <w:rPr>
                      <w:rFonts w:cs="Arial"/>
                      <w:noProof/>
                      <w:sz w:val="22"/>
                      <w:szCs w:val="22"/>
                      <w:lang w:val="en-US"/>
                    </w:rPr>
                  </w:pPr>
                  <w:r w:rsidRPr="00E86A2F">
                    <w:rPr>
                      <w:rFonts w:cs="Arial"/>
                      <w:noProof/>
                      <w:sz w:val="22"/>
                      <w:szCs w:val="22"/>
                      <w:lang w:val="en-US"/>
                    </w:rPr>
                    <w:t>1</w:t>
                  </w:r>
                </w:p>
              </w:tc>
              <w:tc>
                <w:tcPr>
                  <w:tcW w:w="3774" w:type="dxa"/>
                  <w:tcBorders>
                    <w:bottom w:val="single" w:sz="4" w:space="0" w:color="auto"/>
                  </w:tcBorders>
                  <w:vAlign w:val="bottom"/>
                </w:tcPr>
                <w:p w14:paraId="18F0C92A" w14:textId="77777777" w:rsidR="00012B3F" w:rsidRDefault="00012B3F" w:rsidP="0083323A">
                  <w:pPr>
                    <w:spacing w:before="240" w:after="120"/>
                    <w:rPr>
                      <w:rFonts w:cs="Arial"/>
                      <w:noProof/>
                      <w:sz w:val="22"/>
                      <w:szCs w:val="22"/>
                      <w:lang w:val="en-US"/>
                    </w:rPr>
                  </w:pPr>
                  <w:r>
                    <w:rPr>
                      <w:rFonts w:cs="Arial"/>
                      <w:noProof/>
                      <w:sz w:val="22"/>
                      <w:szCs w:val="22"/>
                      <w:lang w:val="en-US"/>
                    </w:rPr>
                    <w:t>To complete reading the contract specification for the delivery of the reception baseline. To assess all bids received and score each bid against the set criteria.</w:t>
                  </w:r>
                </w:p>
                <w:p w14:paraId="68621D6F" w14:textId="77777777" w:rsidR="00012B3F" w:rsidRPr="00E86A2F" w:rsidRDefault="00012B3F" w:rsidP="0083323A">
                  <w:pPr>
                    <w:spacing w:before="240" w:after="120"/>
                    <w:rPr>
                      <w:rFonts w:cs="Arial"/>
                      <w:noProof/>
                      <w:sz w:val="22"/>
                      <w:szCs w:val="22"/>
                      <w:lang w:val="en-US"/>
                    </w:rPr>
                  </w:pPr>
                </w:p>
              </w:tc>
              <w:tc>
                <w:tcPr>
                  <w:tcW w:w="2324" w:type="dxa"/>
                  <w:tcBorders>
                    <w:bottom w:val="single" w:sz="4" w:space="0" w:color="auto"/>
                  </w:tcBorders>
                  <w:vAlign w:val="bottom"/>
                </w:tcPr>
                <w:p w14:paraId="277794B0" w14:textId="49ABB8FD" w:rsidR="006513A8" w:rsidRDefault="007F4FD7" w:rsidP="00161EF4">
                  <w:pPr>
                    <w:spacing w:before="240" w:after="120"/>
                    <w:rPr>
                      <w:rFonts w:cs="Arial"/>
                      <w:noProof/>
                      <w:sz w:val="22"/>
                      <w:szCs w:val="22"/>
                      <w:lang w:val="en-US"/>
                    </w:rPr>
                  </w:pPr>
                  <w:r>
                    <w:rPr>
                      <w:rFonts w:cs="Arial"/>
                      <w:noProof/>
                      <w:sz w:val="22"/>
                      <w:szCs w:val="22"/>
                      <w:lang w:val="en-US"/>
                    </w:rPr>
                    <w:t>31</w:t>
                  </w:r>
                  <w:r w:rsidR="006513A8">
                    <w:rPr>
                      <w:rFonts w:cs="Arial"/>
                      <w:noProof/>
                      <w:sz w:val="22"/>
                      <w:szCs w:val="22"/>
                      <w:lang w:val="en-US"/>
                    </w:rPr>
                    <w:t xml:space="preserve">/01/2018 – </w:t>
                  </w:r>
                  <w:r>
                    <w:rPr>
                      <w:rFonts w:cs="Arial"/>
                      <w:noProof/>
                      <w:sz w:val="22"/>
                      <w:szCs w:val="22"/>
                      <w:lang w:val="en-US"/>
                    </w:rPr>
                    <w:t>13</w:t>
                  </w:r>
                  <w:r w:rsidR="006513A8">
                    <w:rPr>
                      <w:rFonts w:cs="Arial"/>
                      <w:noProof/>
                      <w:sz w:val="22"/>
                      <w:szCs w:val="22"/>
                      <w:lang w:val="en-US"/>
                    </w:rPr>
                    <w:t>/02/2018</w:t>
                  </w:r>
                </w:p>
                <w:p w14:paraId="555ECD33" w14:textId="77777777" w:rsidR="006513A8" w:rsidRDefault="006513A8" w:rsidP="00161EF4">
                  <w:pPr>
                    <w:spacing w:before="240" w:after="120"/>
                    <w:rPr>
                      <w:rFonts w:cs="Arial"/>
                      <w:noProof/>
                      <w:sz w:val="22"/>
                      <w:szCs w:val="22"/>
                      <w:lang w:val="en-US"/>
                    </w:rPr>
                  </w:pPr>
                </w:p>
                <w:p w14:paraId="5D2727FB" w14:textId="4FC861DA" w:rsidR="00012B3F" w:rsidRPr="00E86A2F" w:rsidRDefault="00012B3F" w:rsidP="00161EF4">
                  <w:pPr>
                    <w:spacing w:before="240" w:after="120"/>
                    <w:rPr>
                      <w:rFonts w:cs="Arial"/>
                      <w:noProof/>
                      <w:sz w:val="22"/>
                      <w:szCs w:val="22"/>
                      <w:lang w:val="en-US"/>
                    </w:rPr>
                  </w:pPr>
                </w:p>
              </w:tc>
            </w:tr>
            <w:tr w:rsidR="00012B3F" w:rsidRPr="00E86A2F" w14:paraId="57CE8820" w14:textId="77777777" w:rsidTr="0083323A">
              <w:tc>
                <w:tcPr>
                  <w:tcW w:w="1282" w:type="dxa"/>
                  <w:tcBorders>
                    <w:bottom w:val="single" w:sz="4" w:space="0" w:color="auto"/>
                  </w:tcBorders>
                </w:tcPr>
                <w:p w14:paraId="1EDA8EC0" w14:textId="77777777" w:rsidR="00012B3F" w:rsidRPr="00E86A2F" w:rsidRDefault="00012B3F" w:rsidP="0083323A">
                  <w:pPr>
                    <w:spacing w:before="240" w:after="120"/>
                    <w:jc w:val="center"/>
                    <w:rPr>
                      <w:rFonts w:cs="Arial"/>
                      <w:noProof/>
                      <w:sz w:val="22"/>
                      <w:szCs w:val="22"/>
                      <w:lang w:val="en-US"/>
                    </w:rPr>
                  </w:pPr>
                  <w:r w:rsidRPr="00E86A2F">
                    <w:rPr>
                      <w:rFonts w:cs="Arial"/>
                      <w:noProof/>
                      <w:sz w:val="22"/>
                      <w:szCs w:val="22"/>
                      <w:lang w:val="en-US"/>
                    </w:rPr>
                    <w:t>2</w:t>
                  </w:r>
                </w:p>
              </w:tc>
              <w:tc>
                <w:tcPr>
                  <w:tcW w:w="3774" w:type="dxa"/>
                  <w:tcBorders>
                    <w:bottom w:val="single" w:sz="4" w:space="0" w:color="auto"/>
                  </w:tcBorders>
                  <w:vAlign w:val="bottom"/>
                </w:tcPr>
                <w:p w14:paraId="41A31EF6" w14:textId="77777777" w:rsidR="00012B3F" w:rsidRDefault="00012B3F" w:rsidP="0083323A">
                  <w:pPr>
                    <w:spacing w:before="240" w:after="120"/>
                    <w:rPr>
                      <w:rFonts w:cs="Arial"/>
                      <w:noProof/>
                      <w:sz w:val="22"/>
                      <w:szCs w:val="22"/>
                      <w:lang w:val="en-US"/>
                    </w:rPr>
                  </w:pPr>
                  <w:r>
                    <w:rPr>
                      <w:rFonts w:cs="Arial"/>
                      <w:noProof/>
                      <w:sz w:val="22"/>
                      <w:szCs w:val="22"/>
                      <w:lang w:val="en-US"/>
                    </w:rPr>
                    <w:t>To attend at least one evaluation meeting (possibly two) and contribute to discussions, giving their expert opinion on how the  reception baseline should be rolled out and advising on which supplier is best placed to deliver this model.</w:t>
                  </w:r>
                </w:p>
                <w:p w14:paraId="29E79A96" w14:textId="77777777" w:rsidR="00012B3F" w:rsidRPr="00E86A2F" w:rsidRDefault="00012B3F" w:rsidP="0083323A">
                  <w:pPr>
                    <w:spacing w:before="240" w:after="120"/>
                    <w:rPr>
                      <w:rFonts w:cs="Arial"/>
                      <w:noProof/>
                      <w:sz w:val="22"/>
                      <w:szCs w:val="22"/>
                      <w:lang w:val="en-US"/>
                    </w:rPr>
                  </w:pPr>
                </w:p>
              </w:tc>
              <w:tc>
                <w:tcPr>
                  <w:tcW w:w="2324" w:type="dxa"/>
                  <w:tcBorders>
                    <w:bottom w:val="single" w:sz="4" w:space="0" w:color="auto"/>
                  </w:tcBorders>
                  <w:vAlign w:val="bottom"/>
                </w:tcPr>
                <w:p w14:paraId="47D1CB4B" w14:textId="46663E79" w:rsidR="00012B3F" w:rsidRDefault="007F4FD7" w:rsidP="006513A8">
                  <w:pPr>
                    <w:spacing w:before="240" w:after="120"/>
                    <w:rPr>
                      <w:rFonts w:cs="Arial"/>
                      <w:noProof/>
                      <w:sz w:val="22"/>
                      <w:szCs w:val="22"/>
                      <w:lang w:val="en-US"/>
                    </w:rPr>
                  </w:pPr>
                  <w:r>
                    <w:rPr>
                      <w:rFonts w:cs="Arial"/>
                      <w:noProof/>
                      <w:sz w:val="22"/>
                      <w:szCs w:val="22"/>
                      <w:lang w:val="en-US"/>
                    </w:rPr>
                    <w:t>14</w:t>
                  </w:r>
                  <w:r w:rsidR="00161EF4">
                    <w:rPr>
                      <w:rFonts w:cs="Arial"/>
                      <w:noProof/>
                      <w:sz w:val="22"/>
                      <w:szCs w:val="22"/>
                      <w:lang w:val="en-US"/>
                    </w:rPr>
                    <w:t>/02/2118-</w:t>
                  </w:r>
                  <w:r>
                    <w:rPr>
                      <w:rFonts w:cs="Arial"/>
                      <w:noProof/>
                      <w:sz w:val="22"/>
                      <w:szCs w:val="22"/>
                      <w:lang w:val="en-US"/>
                    </w:rPr>
                    <w:t>15</w:t>
                  </w:r>
                  <w:r w:rsidR="00161EF4">
                    <w:rPr>
                      <w:rFonts w:cs="Arial"/>
                      <w:noProof/>
                      <w:sz w:val="22"/>
                      <w:szCs w:val="22"/>
                      <w:lang w:val="en-US"/>
                    </w:rPr>
                    <w:t>/02/2018</w:t>
                  </w:r>
                </w:p>
                <w:p w14:paraId="6999032E" w14:textId="77777777" w:rsidR="006513A8" w:rsidRDefault="006513A8" w:rsidP="0083323A">
                  <w:pPr>
                    <w:spacing w:before="240" w:after="120"/>
                    <w:jc w:val="center"/>
                    <w:rPr>
                      <w:rFonts w:cs="Arial"/>
                      <w:noProof/>
                      <w:sz w:val="22"/>
                      <w:szCs w:val="22"/>
                      <w:lang w:val="en-US"/>
                    </w:rPr>
                  </w:pPr>
                </w:p>
                <w:p w14:paraId="045DCD37" w14:textId="77777777" w:rsidR="006513A8" w:rsidRDefault="006513A8" w:rsidP="0083323A">
                  <w:pPr>
                    <w:spacing w:before="240" w:after="120"/>
                    <w:jc w:val="center"/>
                    <w:rPr>
                      <w:rFonts w:cs="Arial"/>
                      <w:noProof/>
                      <w:sz w:val="22"/>
                      <w:szCs w:val="22"/>
                      <w:lang w:val="en-US"/>
                    </w:rPr>
                  </w:pPr>
                </w:p>
                <w:p w14:paraId="35C4BE8A" w14:textId="7224AF16" w:rsidR="006513A8" w:rsidRPr="00E86A2F" w:rsidRDefault="006513A8" w:rsidP="0083323A">
                  <w:pPr>
                    <w:spacing w:before="240" w:after="120"/>
                    <w:jc w:val="center"/>
                    <w:rPr>
                      <w:rFonts w:cs="Arial"/>
                      <w:noProof/>
                      <w:sz w:val="22"/>
                      <w:szCs w:val="22"/>
                      <w:lang w:val="en-US"/>
                    </w:rPr>
                  </w:pPr>
                </w:p>
              </w:tc>
            </w:tr>
            <w:tr w:rsidR="00012B3F" w:rsidRPr="00E86A2F" w14:paraId="63DE9494" w14:textId="77777777" w:rsidTr="0083323A">
              <w:tc>
                <w:tcPr>
                  <w:tcW w:w="1282" w:type="dxa"/>
                  <w:tcBorders>
                    <w:bottom w:val="single" w:sz="4" w:space="0" w:color="auto"/>
                  </w:tcBorders>
                </w:tcPr>
                <w:p w14:paraId="29492538" w14:textId="77777777" w:rsidR="00012B3F" w:rsidRPr="00E86A2F" w:rsidRDefault="00012B3F" w:rsidP="0083323A">
                  <w:pPr>
                    <w:spacing w:before="240" w:after="120"/>
                    <w:jc w:val="center"/>
                    <w:rPr>
                      <w:rFonts w:cs="Arial"/>
                      <w:noProof/>
                      <w:sz w:val="22"/>
                      <w:szCs w:val="22"/>
                      <w:lang w:val="en-US"/>
                    </w:rPr>
                  </w:pPr>
                  <w:r w:rsidRPr="00E86A2F">
                    <w:rPr>
                      <w:rFonts w:cs="Arial"/>
                      <w:noProof/>
                      <w:sz w:val="22"/>
                      <w:szCs w:val="22"/>
                      <w:lang w:val="en-US"/>
                    </w:rPr>
                    <w:t>3</w:t>
                  </w:r>
                </w:p>
              </w:tc>
              <w:tc>
                <w:tcPr>
                  <w:tcW w:w="3774" w:type="dxa"/>
                  <w:tcBorders>
                    <w:bottom w:val="single" w:sz="4" w:space="0" w:color="auto"/>
                  </w:tcBorders>
                  <w:vAlign w:val="bottom"/>
                </w:tcPr>
                <w:p w14:paraId="762596E7" w14:textId="77777777" w:rsidR="00012B3F" w:rsidRDefault="00012B3F" w:rsidP="0083323A">
                  <w:pPr>
                    <w:spacing w:before="240" w:after="120"/>
                    <w:rPr>
                      <w:rFonts w:cs="Arial"/>
                      <w:noProof/>
                      <w:sz w:val="22"/>
                      <w:szCs w:val="22"/>
                      <w:lang w:val="en-US"/>
                    </w:rPr>
                  </w:pPr>
                  <w:r>
                    <w:rPr>
                      <w:rFonts w:cs="Arial"/>
                      <w:noProof/>
                      <w:sz w:val="22"/>
                      <w:szCs w:val="22"/>
                      <w:lang w:val="en-US"/>
                    </w:rPr>
                    <w:t>To follow up on any actions following the meeting should they be required.</w:t>
                  </w:r>
                </w:p>
                <w:p w14:paraId="1B1B19A6" w14:textId="77777777" w:rsidR="00012B3F" w:rsidRDefault="00012B3F" w:rsidP="0083323A">
                  <w:pPr>
                    <w:spacing w:before="240" w:after="120"/>
                    <w:rPr>
                      <w:rFonts w:cs="Arial"/>
                      <w:noProof/>
                      <w:sz w:val="22"/>
                      <w:szCs w:val="22"/>
                      <w:lang w:val="en-US"/>
                    </w:rPr>
                  </w:pPr>
                </w:p>
                <w:p w14:paraId="79B3C759" w14:textId="77777777" w:rsidR="00012B3F" w:rsidRPr="00E86A2F" w:rsidRDefault="00012B3F" w:rsidP="0083323A">
                  <w:pPr>
                    <w:spacing w:before="240" w:after="120"/>
                    <w:rPr>
                      <w:rFonts w:cs="Arial"/>
                      <w:noProof/>
                      <w:sz w:val="22"/>
                      <w:szCs w:val="22"/>
                      <w:lang w:val="en-US"/>
                    </w:rPr>
                  </w:pPr>
                </w:p>
              </w:tc>
              <w:tc>
                <w:tcPr>
                  <w:tcW w:w="2324" w:type="dxa"/>
                  <w:tcBorders>
                    <w:bottom w:val="single" w:sz="4" w:space="0" w:color="auto"/>
                  </w:tcBorders>
                  <w:vAlign w:val="bottom"/>
                </w:tcPr>
                <w:p w14:paraId="510959FA" w14:textId="3AF67DBB" w:rsidR="00012B3F" w:rsidRDefault="007F4FD7" w:rsidP="0083323A">
                  <w:pPr>
                    <w:spacing w:before="240" w:after="120"/>
                    <w:rPr>
                      <w:rFonts w:cs="Arial"/>
                      <w:noProof/>
                      <w:sz w:val="22"/>
                      <w:szCs w:val="22"/>
                      <w:lang w:val="en-US"/>
                    </w:rPr>
                  </w:pPr>
                  <w:r>
                    <w:rPr>
                      <w:rFonts w:cs="Arial"/>
                      <w:noProof/>
                      <w:sz w:val="22"/>
                      <w:szCs w:val="22"/>
                      <w:lang w:val="en-US"/>
                    </w:rPr>
                    <w:lastRenderedPageBreak/>
                    <w:t>16</w:t>
                  </w:r>
                  <w:r w:rsidR="00161EF4">
                    <w:rPr>
                      <w:rFonts w:cs="Arial"/>
                      <w:noProof/>
                      <w:sz w:val="22"/>
                      <w:szCs w:val="22"/>
                      <w:lang w:val="en-US"/>
                    </w:rPr>
                    <w:t>/02/2018-</w:t>
                  </w:r>
                  <w:r>
                    <w:rPr>
                      <w:rFonts w:cs="Arial"/>
                      <w:noProof/>
                      <w:sz w:val="22"/>
                      <w:szCs w:val="22"/>
                      <w:lang w:val="en-US"/>
                    </w:rPr>
                    <w:t>21</w:t>
                  </w:r>
                  <w:r w:rsidR="00012B3F" w:rsidRPr="00594379">
                    <w:rPr>
                      <w:rFonts w:cs="Arial"/>
                      <w:noProof/>
                      <w:sz w:val="22"/>
                      <w:szCs w:val="22"/>
                      <w:lang w:val="en-US"/>
                    </w:rPr>
                    <w:t>/02/2018</w:t>
                  </w:r>
                </w:p>
                <w:p w14:paraId="6ECDAFCF" w14:textId="77777777" w:rsidR="00012B3F" w:rsidRPr="00E86A2F" w:rsidRDefault="00012B3F" w:rsidP="0083323A">
                  <w:pPr>
                    <w:spacing w:before="240" w:after="120"/>
                    <w:rPr>
                      <w:rFonts w:cs="Arial"/>
                      <w:noProof/>
                      <w:sz w:val="22"/>
                      <w:szCs w:val="22"/>
                      <w:lang w:val="en-US"/>
                    </w:rPr>
                  </w:pPr>
                </w:p>
              </w:tc>
            </w:tr>
          </w:tbl>
          <w:p w14:paraId="6CF6DFAF" w14:textId="77777777" w:rsidR="00012B3F" w:rsidRPr="00EA1841" w:rsidRDefault="00012B3F" w:rsidP="0083323A">
            <w:pPr>
              <w:rPr>
                <w:b/>
              </w:rPr>
            </w:pPr>
          </w:p>
        </w:tc>
      </w:tr>
    </w:tbl>
    <w:p w14:paraId="5496D12A" w14:textId="302EB821" w:rsidR="00012B3F" w:rsidRDefault="00012B3F" w:rsidP="001F5B6B">
      <w:pPr>
        <w:rPr>
          <w:b/>
          <w:sz w:val="28"/>
          <w:szCs w:val="28"/>
        </w:rPr>
      </w:pPr>
    </w:p>
    <w:p w14:paraId="0B5A9EBC" w14:textId="77777777" w:rsidR="00012B3F" w:rsidRDefault="00012B3F" w:rsidP="001F5B6B">
      <w:pPr>
        <w:rPr>
          <w:b/>
          <w:sz w:val="28"/>
          <w:szCs w:val="28"/>
        </w:rPr>
      </w:pPr>
    </w:p>
    <w:p w14:paraId="5A9C7FE1" w14:textId="77777777" w:rsidR="00137F02" w:rsidRPr="00623A93" w:rsidRDefault="00623A93" w:rsidP="003014E1">
      <w:pPr>
        <w:rPr>
          <w:b/>
          <w:sz w:val="32"/>
          <w:szCs w:val="32"/>
        </w:rPr>
      </w:pPr>
      <w:bookmarkStart w:id="32" w:name="_Toc309139686"/>
      <w:bookmarkEnd w:id="27"/>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32"/>
    </w:p>
    <w:p w14:paraId="40E2AFC8" w14:textId="77777777" w:rsidR="00623A93" w:rsidRDefault="00623A93" w:rsidP="003014E1"/>
    <w:p w14:paraId="537E6BB7"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33F72013" w14:textId="77777777" w:rsidR="00623A93" w:rsidRDefault="00623A93" w:rsidP="003014E1"/>
    <w:p w14:paraId="2A965584" w14:textId="77777777" w:rsidR="00137F02" w:rsidRPr="003014E1" w:rsidRDefault="00137F02" w:rsidP="003014E1">
      <w:r w:rsidRPr="003014E1">
        <w:t xml:space="preserve">These instructions </w:t>
      </w:r>
      <w:proofErr w:type="gramStart"/>
      <w:r w:rsidRPr="003014E1">
        <w:t>are designed</w:t>
      </w:r>
      <w:proofErr w:type="gramEnd"/>
      <w:r w:rsidRPr="003014E1">
        <w:t xml:space="preserve"> to ensure that all Bidders are given equal and fair consideration. It is important therefore that you provide all the information asked for in the format and order specified.  </w:t>
      </w:r>
    </w:p>
    <w:p w14:paraId="645B6FE9" w14:textId="77777777" w:rsidR="00623A93" w:rsidRDefault="00623A93" w:rsidP="003014E1"/>
    <w:p w14:paraId="22E11803"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3062E0D1" w14:textId="77777777" w:rsidR="00623A93" w:rsidRDefault="00623A93" w:rsidP="003014E1"/>
    <w:p w14:paraId="5C576E77"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w:t>
      </w:r>
      <w:proofErr w:type="gramStart"/>
      <w:r w:rsidRPr="003014E1">
        <w:t>shall be used</w:t>
      </w:r>
      <w:proofErr w:type="gramEnd"/>
      <w:r w:rsidRPr="003014E1">
        <w:t xml:space="preserve"> only for the purpose of this procurement exercise. Any confidential STA </w:t>
      </w:r>
      <w:r w:rsidR="00605E5E" w:rsidRPr="003014E1">
        <w:t>i</w:t>
      </w:r>
      <w:r w:rsidRPr="003014E1">
        <w:t xml:space="preserve">nformation </w:t>
      </w:r>
      <w:proofErr w:type="gramStart"/>
      <w:r w:rsidRPr="003014E1">
        <w:t>shall either be returned to the STA or securely destroyed by the Bidder (at STA’s discretion) at the conclusion of the procurement exercise</w:t>
      </w:r>
      <w:proofErr w:type="gramEnd"/>
      <w:r w:rsidRPr="003014E1">
        <w:t>.</w:t>
      </w:r>
    </w:p>
    <w:p w14:paraId="2135C272" w14:textId="77777777" w:rsidR="00A50134" w:rsidRPr="003014E1" w:rsidRDefault="00A50134" w:rsidP="003014E1"/>
    <w:p w14:paraId="26714284" w14:textId="77777777" w:rsidR="00137F02" w:rsidRPr="003014E1" w:rsidRDefault="00137F02" w:rsidP="003014E1">
      <w:r w:rsidRPr="003014E1">
        <w:t xml:space="preserve">The Bidder shall ensure that </w:t>
      </w:r>
      <w:proofErr w:type="gramStart"/>
      <w:r w:rsidRPr="003014E1">
        <w:t>each and every</w:t>
      </w:r>
      <w:proofErr w:type="gramEnd"/>
      <w:r w:rsidRPr="003014E1">
        <w:t xml:space="preserve"> proposed sub-contractor, consortium member and adviser abides by the terms of these instructions.</w:t>
      </w:r>
    </w:p>
    <w:p w14:paraId="62119725" w14:textId="77777777" w:rsidR="00623A93" w:rsidRDefault="00623A93" w:rsidP="003014E1"/>
    <w:p w14:paraId="57E0546F" w14:textId="77777777" w:rsidR="00137F02" w:rsidRPr="003014E1" w:rsidRDefault="00137F02" w:rsidP="003014E1">
      <w:r w:rsidRPr="003014E1">
        <w:t xml:space="preserve">The STA shall not be committed to any course of action </w:t>
      </w:r>
      <w:proofErr w:type="gramStart"/>
      <w:r w:rsidRPr="003014E1">
        <w:t>as a result</w:t>
      </w:r>
      <w:proofErr w:type="gramEnd"/>
      <w:r w:rsidRPr="003014E1">
        <w:t xml:space="preserve"> of:</w:t>
      </w:r>
    </w:p>
    <w:p w14:paraId="5414190A" w14:textId="2166BC28" w:rsidR="00137F02" w:rsidRPr="003014E1" w:rsidRDefault="000C2B87" w:rsidP="00125DA0">
      <w:pPr>
        <w:pStyle w:val="ListParagraph"/>
        <w:numPr>
          <w:ilvl w:val="0"/>
          <w:numId w:val="13"/>
        </w:numPr>
      </w:pPr>
      <w:bookmarkStart w:id="33" w:name="_DV_M233"/>
      <w:bookmarkEnd w:id="33"/>
      <w:r>
        <w:t>I</w:t>
      </w:r>
      <w:r w:rsidR="00137F02" w:rsidRPr="003014E1">
        <w:t xml:space="preserve">ssuing this </w:t>
      </w:r>
      <w:r w:rsidR="00A50134" w:rsidRPr="003014E1">
        <w:t>ITT</w:t>
      </w:r>
      <w:r w:rsidR="00137F02" w:rsidRPr="003014E1">
        <w:t xml:space="preserve"> or any invitation to participate in this procurement exercise;</w:t>
      </w:r>
    </w:p>
    <w:p w14:paraId="221171FF" w14:textId="123170EE" w:rsidR="00137F02" w:rsidRPr="003014E1" w:rsidRDefault="000C2B87" w:rsidP="00125DA0">
      <w:pPr>
        <w:pStyle w:val="ListParagraph"/>
        <w:numPr>
          <w:ilvl w:val="0"/>
          <w:numId w:val="13"/>
        </w:numPr>
      </w:pPr>
      <w:bookmarkStart w:id="34" w:name="_DV_M234"/>
      <w:bookmarkStart w:id="35" w:name="_DV_M235"/>
      <w:bookmarkStart w:id="36" w:name="_DV_M236"/>
      <w:bookmarkStart w:id="37" w:name="_DV_M237"/>
      <w:bookmarkEnd w:id="34"/>
      <w:bookmarkEnd w:id="35"/>
      <w:bookmarkEnd w:id="36"/>
      <w:bookmarkEnd w:id="37"/>
      <w:r>
        <w:t>C</w:t>
      </w:r>
      <w:r w:rsidR="00137F02" w:rsidRPr="003014E1">
        <w:t xml:space="preserve">ommunicating with a Bidder or a Bidder’s representatives or agents in respect of this procurement exercise; or </w:t>
      </w:r>
    </w:p>
    <w:p w14:paraId="124F038E" w14:textId="036A7258" w:rsidR="00137F02" w:rsidRPr="003014E1" w:rsidRDefault="000C2B87" w:rsidP="00125DA0">
      <w:pPr>
        <w:pStyle w:val="ListParagraph"/>
        <w:numPr>
          <w:ilvl w:val="0"/>
          <w:numId w:val="13"/>
        </w:numPr>
      </w:pPr>
      <w:bookmarkStart w:id="38" w:name="_DV_M238"/>
      <w:bookmarkStart w:id="39" w:name="_DV_M239"/>
      <w:bookmarkEnd w:id="38"/>
      <w:bookmarkEnd w:id="39"/>
      <w:r>
        <w:t>A</w:t>
      </w:r>
      <w:r w:rsidR="00137F02" w:rsidRPr="003014E1">
        <w:t>ny other communication between the STA (whether directly or by its agents or representatives) and any other party.</w:t>
      </w:r>
      <w:bookmarkStart w:id="40" w:name="_DV_M242"/>
      <w:bookmarkStart w:id="41" w:name="_DV_M243"/>
      <w:bookmarkStart w:id="42" w:name="_DV_M245"/>
      <w:bookmarkStart w:id="43" w:name="_DV_M247"/>
      <w:bookmarkEnd w:id="40"/>
      <w:bookmarkEnd w:id="41"/>
      <w:bookmarkEnd w:id="42"/>
      <w:bookmarkEnd w:id="43"/>
    </w:p>
    <w:p w14:paraId="7C480FBC" w14:textId="77777777" w:rsidR="00623A93" w:rsidRDefault="00623A93" w:rsidP="003014E1"/>
    <w:p w14:paraId="7390A57E"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0F29B8E7" w14:textId="77777777" w:rsidR="00623A93" w:rsidRDefault="00623A93" w:rsidP="003014E1"/>
    <w:p w14:paraId="013EB316" w14:textId="6259A956" w:rsidR="00A50134"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24C2230F" w14:textId="77777777" w:rsidR="00BA7467" w:rsidRPr="003014E1" w:rsidRDefault="00BA7467" w:rsidP="003014E1"/>
    <w:p w14:paraId="5D690DCF" w14:textId="77777777" w:rsidR="00A50134" w:rsidRPr="003014E1" w:rsidRDefault="00A50134" w:rsidP="003014E1"/>
    <w:p w14:paraId="2243AE98" w14:textId="77777777" w:rsidR="00137F02" w:rsidRPr="00623A93" w:rsidRDefault="00792FEF" w:rsidP="003014E1">
      <w:pPr>
        <w:rPr>
          <w:b/>
          <w:sz w:val="28"/>
          <w:szCs w:val="28"/>
        </w:rPr>
      </w:pPr>
      <w:bookmarkStart w:id="44"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4"/>
    </w:p>
    <w:p w14:paraId="198DCDD8"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61549A19" w14:textId="209452E4" w:rsidR="00A50134" w:rsidRPr="003014E1" w:rsidRDefault="00A50134" w:rsidP="003014E1"/>
    <w:p w14:paraId="05A89E1B" w14:textId="77777777" w:rsidR="00137F02" w:rsidRPr="00957B49" w:rsidRDefault="00792FEF" w:rsidP="003014E1">
      <w:pPr>
        <w:rPr>
          <w:b/>
          <w:sz w:val="28"/>
          <w:szCs w:val="28"/>
        </w:rPr>
      </w:pPr>
      <w:bookmarkStart w:id="45"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5"/>
    </w:p>
    <w:p w14:paraId="30C6304D" w14:textId="08B29FAB" w:rsidR="00137F02" w:rsidRPr="003014E1" w:rsidRDefault="00137F02" w:rsidP="003014E1">
      <w:r w:rsidRPr="003014E1">
        <w:t xml:space="preserve">This contract </w:t>
      </w:r>
      <w:proofErr w:type="gramStart"/>
      <w:r w:rsidRPr="003014E1">
        <w:t>will be let</w:t>
      </w:r>
      <w:proofErr w:type="gramEnd"/>
      <w:r w:rsidRPr="003014E1">
        <w:t xml:space="preserve"> under the terms and conditions of</w:t>
      </w:r>
      <w:r w:rsidR="002B0F91">
        <w:t xml:space="preserve"> contract r</w:t>
      </w:r>
      <w:r w:rsidRPr="003014E1">
        <w:t>ef: STA-</w:t>
      </w:r>
      <w:r w:rsidR="00662D5F" w:rsidRPr="003014E1">
        <w:t>0</w:t>
      </w:r>
      <w:r w:rsidR="006D3C7A">
        <w:t>1</w:t>
      </w:r>
      <w:r w:rsidR="00012B3F">
        <w:t>8</w:t>
      </w:r>
      <w:r w:rsidR="006D3C7A">
        <w:t>0</w:t>
      </w:r>
      <w:r w:rsidR="00D14829">
        <w:t xml:space="preserve"> attached in Annex A</w:t>
      </w:r>
      <w:r w:rsidR="006C126B">
        <w:t xml:space="preserve">.  </w:t>
      </w:r>
      <w:r w:rsidRPr="003014E1">
        <w:t xml:space="preserve">The following special terms </w:t>
      </w:r>
      <w:proofErr w:type="gramStart"/>
      <w:r w:rsidRPr="003014E1">
        <w:t>will be applied</w:t>
      </w:r>
      <w:proofErr w:type="gramEnd"/>
      <w:r w:rsidRPr="003014E1">
        <w:t>:</w:t>
      </w:r>
    </w:p>
    <w:p w14:paraId="3E37C02E" w14:textId="77777777" w:rsidR="00137F02" w:rsidRPr="003014E1" w:rsidRDefault="00137F02" w:rsidP="00125DA0">
      <w:pPr>
        <w:pStyle w:val="ListParagraph"/>
        <w:numPr>
          <w:ilvl w:val="0"/>
          <w:numId w:val="14"/>
        </w:numPr>
      </w:pPr>
      <w:r w:rsidRPr="003014E1">
        <w:t xml:space="preserve">The parties acknowledge that, except for any </w:t>
      </w:r>
      <w:proofErr w:type="gramStart"/>
      <w:r w:rsidRPr="003014E1">
        <w:t>information which</w:t>
      </w:r>
      <w:proofErr w:type="gramEnd"/>
      <w:r w:rsidRPr="003014E1">
        <w:t xml:space="preserve">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7BD4861D" w14:textId="77777777" w:rsidR="00137F02" w:rsidRPr="003014E1"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14:paraId="232A0BD6" w14:textId="77777777" w:rsidR="00957B49" w:rsidRDefault="00957B49" w:rsidP="003014E1"/>
    <w:p w14:paraId="1F14C99D" w14:textId="73AB4DD2" w:rsidR="00B2677D" w:rsidRPr="003014E1" w:rsidRDefault="00137F02" w:rsidP="003014E1">
      <w:r w:rsidRPr="003014E1">
        <w:t xml:space="preserve">Bidders should set out below any concerns relating to the use of the </w:t>
      </w:r>
      <w:r w:rsidR="002B0F91">
        <w:t>contract</w:t>
      </w:r>
      <w:r w:rsidRPr="003014E1">
        <w:t xml:space="preserve"> terms and conditions or Order Special Terms for this work, noting that STA gives no undertaking to agree to any changes.</w:t>
      </w:r>
    </w:p>
    <w:p w14:paraId="7B8760B3"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44C7F801" w14:textId="77777777" w:rsidTr="00F86ACD">
        <w:tc>
          <w:tcPr>
            <w:tcW w:w="1440" w:type="dxa"/>
            <w:shd w:val="clear" w:color="auto" w:fill="99CCFF"/>
          </w:tcPr>
          <w:p w14:paraId="1395BCF9" w14:textId="77777777" w:rsidR="00137F02" w:rsidRPr="00F86ACD" w:rsidRDefault="00137F02" w:rsidP="003014E1">
            <w:pPr>
              <w:rPr>
                <w:b/>
              </w:rPr>
            </w:pPr>
            <w:r w:rsidRPr="00F86ACD">
              <w:rPr>
                <w:b/>
              </w:rPr>
              <w:t>Contract Reference</w:t>
            </w:r>
          </w:p>
        </w:tc>
        <w:tc>
          <w:tcPr>
            <w:tcW w:w="3600" w:type="dxa"/>
            <w:shd w:val="clear" w:color="auto" w:fill="99CCFF"/>
          </w:tcPr>
          <w:p w14:paraId="727F5F5E" w14:textId="77777777" w:rsidR="00137F02" w:rsidRPr="00F86ACD" w:rsidRDefault="00137F02" w:rsidP="003014E1">
            <w:pPr>
              <w:rPr>
                <w:b/>
              </w:rPr>
            </w:pPr>
            <w:r w:rsidRPr="00F86ACD">
              <w:rPr>
                <w:b/>
              </w:rPr>
              <w:t>Issue</w:t>
            </w:r>
          </w:p>
        </w:tc>
        <w:tc>
          <w:tcPr>
            <w:tcW w:w="5025" w:type="dxa"/>
            <w:shd w:val="clear" w:color="auto" w:fill="99CCFF"/>
          </w:tcPr>
          <w:p w14:paraId="1B7A7ADC" w14:textId="77777777" w:rsidR="00137F02" w:rsidRPr="00F86ACD" w:rsidRDefault="00137F02" w:rsidP="003014E1">
            <w:pPr>
              <w:rPr>
                <w:b/>
              </w:rPr>
            </w:pPr>
            <w:r w:rsidRPr="00F86ACD">
              <w:rPr>
                <w:b/>
              </w:rPr>
              <w:t>Proposed mitigation</w:t>
            </w:r>
          </w:p>
        </w:tc>
      </w:tr>
      <w:tr w:rsidR="00137F02" w:rsidRPr="003014E1" w14:paraId="5111A667" w14:textId="77777777" w:rsidTr="00F86ACD">
        <w:tc>
          <w:tcPr>
            <w:tcW w:w="1440" w:type="dxa"/>
            <w:shd w:val="clear" w:color="auto" w:fill="auto"/>
          </w:tcPr>
          <w:p w14:paraId="46820D0A" w14:textId="77777777" w:rsidR="00137F02" w:rsidRPr="003014E1" w:rsidRDefault="00137F02" w:rsidP="003014E1"/>
        </w:tc>
        <w:tc>
          <w:tcPr>
            <w:tcW w:w="3600" w:type="dxa"/>
            <w:shd w:val="clear" w:color="auto" w:fill="auto"/>
          </w:tcPr>
          <w:p w14:paraId="063B07D6" w14:textId="77777777" w:rsidR="00137F02" w:rsidRPr="003014E1" w:rsidRDefault="00137F02" w:rsidP="003014E1"/>
        </w:tc>
        <w:tc>
          <w:tcPr>
            <w:tcW w:w="5025" w:type="dxa"/>
            <w:shd w:val="clear" w:color="auto" w:fill="auto"/>
          </w:tcPr>
          <w:p w14:paraId="21A84FFF" w14:textId="77777777" w:rsidR="00137F02" w:rsidRPr="003014E1" w:rsidRDefault="00137F02" w:rsidP="003014E1"/>
        </w:tc>
      </w:tr>
    </w:tbl>
    <w:p w14:paraId="31659C16" w14:textId="410091E7" w:rsidR="00957B49" w:rsidRDefault="00957B49" w:rsidP="003014E1">
      <w:bookmarkStart w:id="46" w:name="_Toc309139689"/>
    </w:p>
    <w:p w14:paraId="53F7E129" w14:textId="77777777" w:rsidR="0083323A" w:rsidRDefault="0083323A" w:rsidP="003014E1">
      <w:pPr>
        <w:rPr>
          <w:b/>
          <w:sz w:val="28"/>
          <w:szCs w:val="28"/>
        </w:rPr>
      </w:pPr>
    </w:p>
    <w:p w14:paraId="2FAAFBA6" w14:textId="77777777" w:rsidR="0083323A" w:rsidRDefault="0083323A" w:rsidP="003014E1">
      <w:pPr>
        <w:rPr>
          <w:b/>
          <w:sz w:val="28"/>
          <w:szCs w:val="28"/>
        </w:rPr>
      </w:pPr>
    </w:p>
    <w:p w14:paraId="208E5663" w14:textId="77777777" w:rsidR="0083323A" w:rsidRDefault="0083323A" w:rsidP="003014E1">
      <w:pPr>
        <w:rPr>
          <w:b/>
          <w:sz w:val="28"/>
          <w:szCs w:val="28"/>
        </w:rPr>
      </w:pPr>
    </w:p>
    <w:p w14:paraId="063A6BF0" w14:textId="77777777" w:rsidR="0083323A" w:rsidRDefault="0083323A" w:rsidP="003014E1">
      <w:pPr>
        <w:rPr>
          <w:b/>
          <w:sz w:val="28"/>
          <w:szCs w:val="28"/>
        </w:rPr>
      </w:pPr>
    </w:p>
    <w:p w14:paraId="59D87A44" w14:textId="77777777" w:rsidR="0083323A" w:rsidRDefault="0083323A" w:rsidP="003014E1">
      <w:pPr>
        <w:rPr>
          <w:b/>
          <w:sz w:val="28"/>
          <w:szCs w:val="28"/>
        </w:rPr>
      </w:pPr>
    </w:p>
    <w:p w14:paraId="518813C5" w14:textId="77777777" w:rsidR="0083323A" w:rsidRDefault="0083323A" w:rsidP="003014E1">
      <w:pPr>
        <w:rPr>
          <w:b/>
          <w:sz w:val="28"/>
          <w:szCs w:val="28"/>
        </w:rPr>
      </w:pPr>
    </w:p>
    <w:p w14:paraId="2D90C60F" w14:textId="77777777" w:rsidR="0083323A" w:rsidRDefault="0083323A" w:rsidP="003014E1">
      <w:pPr>
        <w:rPr>
          <w:b/>
          <w:sz w:val="28"/>
          <w:szCs w:val="28"/>
        </w:rPr>
      </w:pPr>
    </w:p>
    <w:p w14:paraId="66EABFC2" w14:textId="77777777" w:rsidR="0083323A" w:rsidRDefault="0083323A" w:rsidP="003014E1">
      <w:pPr>
        <w:rPr>
          <w:b/>
          <w:sz w:val="28"/>
          <w:szCs w:val="28"/>
        </w:rPr>
      </w:pPr>
    </w:p>
    <w:p w14:paraId="2221CE50" w14:textId="3AC65D01" w:rsidR="00137F02" w:rsidRPr="00957B49" w:rsidRDefault="00792FEF" w:rsidP="003014E1">
      <w:pPr>
        <w:rPr>
          <w:b/>
          <w:sz w:val="28"/>
          <w:szCs w:val="28"/>
        </w:rPr>
      </w:pPr>
      <w:r w:rsidRPr="00957B49">
        <w:rPr>
          <w:b/>
          <w:sz w:val="28"/>
          <w:szCs w:val="28"/>
        </w:rPr>
        <w:lastRenderedPageBreak/>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6"/>
    </w:p>
    <w:p w14:paraId="05F49022" w14:textId="77777777" w:rsidR="00137F02" w:rsidRPr="003014E1" w:rsidRDefault="00137F02" w:rsidP="003014E1">
      <w:r w:rsidRPr="003014E1">
        <w:t>The proposed procurement timetable is set out below:</w:t>
      </w:r>
    </w:p>
    <w:p w14:paraId="124A1D41"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11657"/>
      </w:tblGrid>
      <w:tr w:rsidR="00137F02" w:rsidRPr="00F86ACD" w14:paraId="35C35A98" w14:textId="77777777" w:rsidTr="00F86ACD">
        <w:tc>
          <w:tcPr>
            <w:tcW w:w="905" w:type="pct"/>
            <w:shd w:val="clear" w:color="auto" w:fill="92CDDC" w:themeFill="accent5" w:themeFillTint="99"/>
          </w:tcPr>
          <w:p w14:paraId="4051033B" w14:textId="77777777" w:rsidR="00137F02" w:rsidRPr="00F86ACD" w:rsidRDefault="00137F02" w:rsidP="003014E1">
            <w:pPr>
              <w:rPr>
                <w:b/>
              </w:rPr>
            </w:pPr>
            <w:r w:rsidRPr="00F86ACD">
              <w:rPr>
                <w:b/>
              </w:rPr>
              <w:t>Date</w:t>
            </w:r>
          </w:p>
        </w:tc>
        <w:tc>
          <w:tcPr>
            <w:tcW w:w="4095" w:type="pct"/>
            <w:shd w:val="clear" w:color="auto" w:fill="92CDDC" w:themeFill="accent5" w:themeFillTint="99"/>
          </w:tcPr>
          <w:p w14:paraId="7EF5C63F" w14:textId="77777777" w:rsidR="00137F02" w:rsidRPr="00F86ACD" w:rsidRDefault="00137F02" w:rsidP="003014E1">
            <w:pPr>
              <w:rPr>
                <w:b/>
              </w:rPr>
            </w:pPr>
            <w:r w:rsidRPr="00F86ACD">
              <w:rPr>
                <w:b/>
              </w:rPr>
              <w:t>Stage</w:t>
            </w:r>
          </w:p>
        </w:tc>
      </w:tr>
      <w:tr w:rsidR="00137F02" w:rsidRPr="003014E1" w14:paraId="21A0ACC7" w14:textId="77777777" w:rsidTr="00F86ACD">
        <w:tc>
          <w:tcPr>
            <w:tcW w:w="905" w:type="pct"/>
          </w:tcPr>
          <w:p w14:paraId="22774EDD" w14:textId="68F5834D" w:rsidR="00137F02" w:rsidRPr="003014E1" w:rsidRDefault="00C34DA0" w:rsidP="002C056D">
            <w:pPr>
              <w:spacing w:before="120" w:after="120"/>
            </w:pPr>
            <w:r>
              <w:t>0</w:t>
            </w:r>
            <w:r w:rsidR="002C056D">
              <w:t>7</w:t>
            </w:r>
            <w:r w:rsidR="003018AB">
              <w:t>/</w:t>
            </w:r>
            <w:r w:rsidR="009A4948">
              <w:t>1</w:t>
            </w:r>
            <w:r>
              <w:t>2</w:t>
            </w:r>
            <w:r w:rsidR="003018AB">
              <w:t>/2017</w:t>
            </w:r>
          </w:p>
        </w:tc>
        <w:tc>
          <w:tcPr>
            <w:tcW w:w="4095" w:type="pct"/>
          </w:tcPr>
          <w:p w14:paraId="56193F5D"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53A63B21" w14:textId="77777777" w:rsidTr="00F86ACD">
        <w:tc>
          <w:tcPr>
            <w:tcW w:w="905" w:type="pct"/>
          </w:tcPr>
          <w:p w14:paraId="2C11078A" w14:textId="76259DDA" w:rsidR="00392FE1" w:rsidRPr="003014E1" w:rsidRDefault="00063C4B" w:rsidP="002C056D">
            <w:pPr>
              <w:spacing w:before="120" w:after="120"/>
            </w:pPr>
            <w:r>
              <w:t xml:space="preserve">Midday </w:t>
            </w:r>
            <w:r w:rsidR="002C056D">
              <w:t>19</w:t>
            </w:r>
            <w:r w:rsidR="009A4948">
              <w:t>/</w:t>
            </w:r>
            <w:r w:rsidR="002C056D">
              <w:t>12</w:t>
            </w:r>
            <w:r w:rsidR="003018AB">
              <w:t>/201</w:t>
            </w:r>
            <w:r w:rsidR="002C056D">
              <w:t>7</w:t>
            </w:r>
          </w:p>
        </w:tc>
        <w:tc>
          <w:tcPr>
            <w:tcW w:w="4095" w:type="pct"/>
          </w:tcPr>
          <w:p w14:paraId="245B0A48" w14:textId="77777777" w:rsidR="00392FE1" w:rsidRPr="003014E1" w:rsidRDefault="00392FE1" w:rsidP="00F86ACD">
            <w:pPr>
              <w:spacing w:before="120" w:after="120"/>
            </w:pPr>
            <w:r w:rsidRPr="003014E1">
              <w:t>Deadline for clarification questions</w:t>
            </w:r>
          </w:p>
        </w:tc>
      </w:tr>
      <w:tr w:rsidR="00137F02" w:rsidRPr="003014E1" w14:paraId="260F642E" w14:textId="77777777" w:rsidTr="00F86ACD">
        <w:tc>
          <w:tcPr>
            <w:tcW w:w="905" w:type="pct"/>
          </w:tcPr>
          <w:p w14:paraId="2B374C10" w14:textId="2A61CD66" w:rsidR="00137F02" w:rsidRPr="003014E1" w:rsidRDefault="00063C4B" w:rsidP="002C056D">
            <w:pPr>
              <w:spacing w:before="120" w:after="120"/>
            </w:pPr>
            <w:r>
              <w:t xml:space="preserve">Midday </w:t>
            </w:r>
            <w:r w:rsidR="00C34DA0">
              <w:t>0</w:t>
            </w:r>
            <w:r w:rsidR="002C056D">
              <w:t>4</w:t>
            </w:r>
            <w:r w:rsidR="006D3C7A">
              <w:t>/</w:t>
            </w:r>
            <w:r w:rsidR="00C34DA0">
              <w:t>0</w:t>
            </w:r>
            <w:r w:rsidR="002C056D">
              <w:t>1</w:t>
            </w:r>
            <w:r w:rsidR="003018AB">
              <w:t>/201</w:t>
            </w:r>
            <w:r w:rsidR="00C34DA0">
              <w:t>8</w:t>
            </w:r>
          </w:p>
        </w:tc>
        <w:tc>
          <w:tcPr>
            <w:tcW w:w="4095" w:type="pct"/>
          </w:tcPr>
          <w:p w14:paraId="036DCAF2" w14:textId="77777777" w:rsidR="00137F02" w:rsidRPr="003014E1" w:rsidRDefault="00137F02" w:rsidP="00F86ACD">
            <w:pPr>
              <w:spacing w:before="120" w:after="120"/>
            </w:pPr>
            <w:r w:rsidRPr="003014E1">
              <w:t xml:space="preserve">Deadline for </w:t>
            </w:r>
            <w:r w:rsidR="006567AA" w:rsidRPr="003014E1">
              <w:t>submission of applications</w:t>
            </w:r>
          </w:p>
        </w:tc>
      </w:tr>
      <w:tr w:rsidR="00137F02" w:rsidRPr="003014E1" w14:paraId="4AA937C0" w14:textId="77777777" w:rsidTr="00F86ACD">
        <w:tc>
          <w:tcPr>
            <w:tcW w:w="905" w:type="pct"/>
          </w:tcPr>
          <w:p w14:paraId="37831061" w14:textId="08DEF369" w:rsidR="00137F02" w:rsidRPr="003014E1" w:rsidRDefault="002C056D" w:rsidP="002C056D">
            <w:pPr>
              <w:spacing w:before="120" w:after="120"/>
            </w:pPr>
            <w:r>
              <w:t>10</w:t>
            </w:r>
            <w:r w:rsidR="006D3C7A">
              <w:t>/0</w:t>
            </w:r>
            <w:r>
              <w:t>1</w:t>
            </w:r>
            <w:r w:rsidR="003018AB">
              <w:t>/201</w:t>
            </w:r>
            <w:r w:rsidR="006D3C7A">
              <w:t>8</w:t>
            </w:r>
          </w:p>
        </w:tc>
        <w:tc>
          <w:tcPr>
            <w:tcW w:w="4095" w:type="pct"/>
          </w:tcPr>
          <w:p w14:paraId="3A1820A5" w14:textId="77777777" w:rsidR="00137F02" w:rsidRPr="003014E1" w:rsidRDefault="00137F02" w:rsidP="001E455D">
            <w:pPr>
              <w:spacing w:before="120" w:after="120"/>
            </w:pPr>
            <w:r w:rsidRPr="003014E1">
              <w:t xml:space="preserve">Notification to successful supplier </w:t>
            </w:r>
          </w:p>
        </w:tc>
      </w:tr>
    </w:tbl>
    <w:p w14:paraId="3EB4C91C" w14:textId="6C37D344" w:rsidR="006567AA" w:rsidRPr="003014E1" w:rsidRDefault="006567AA" w:rsidP="003014E1">
      <w:bookmarkStart w:id="47" w:name="_Toc309139690"/>
    </w:p>
    <w:p w14:paraId="38941941"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7"/>
    </w:p>
    <w:p w14:paraId="2499A38A" w14:textId="168FC7EE" w:rsidR="00B019E0" w:rsidRDefault="00137F02" w:rsidP="003014E1">
      <w:pPr>
        <w:rPr>
          <w:rStyle w:val="Hyperlink"/>
        </w:rPr>
      </w:pPr>
      <w:bookmarkStart w:id="48" w:name="_Ref270655914"/>
      <w:r w:rsidRPr="003014E1">
        <w:t>Clarification requests should be submitted by e-mail only to</w:t>
      </w:r>
      <w:bookmarkEnd w:id="48"/>
      <w:r w:rsidR="00DF079D">
        <w:t xml:space="preserve"> </w:t>
      </w:r>
      <w:hyperlink r:id="rId16" w:history="1">
        <w:r w:rsidR="00B404A6" w:rsidRPr="00D74B20">
          <w:rPr>
            <w:rStyle w:val="Hyperlink"/>
          </w:rPr>
          <w:t>TendersTD.STA@education.gov.uk</w:t>
        </w:r>
      </w:hyperlink>
      <w:r w:rsidR="00B404A6">
        <w:t xml:space="preserve"> </w:t>
      </w:r>
      <w:r w:rsidR="00D14829">
        <w:t xml:space="preserve"> and copied to </w:t>
      </w:r>
      <w:r w:rsidR="00C34DA0">
        <w:rPr>
          <w:rStyle w:val="Hyperlink"/>
        </w:rPr>
        <w:t>Jennifer.Conlon@education.gov.uk</w:t>
      </w:r>
    </w:p>
    <w:p w14:paraId="35239F34" w14:textId="22D26806" w:rsidR="006567AA" w:rsidRPr="003014E1" w:rsidRDefault="006567AA" w:rsidP="003014E1"/>
    <w:p w14:paraId="329F5EF7" w14:textId="77777777"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14:paraId="270AF1BD" w14:textId="77777777" w:rsidR="006567AA" w:rsidRPr="003014E1" w:rsidRDefault="006567AA" w:rsidP="003014E1"/>
    <w:p w14:paraId="69E8A87D" w14:textId="77777777" w:rsidR="00137F02" w:rsidRPr="003014E1" w:rsidRDefault="00137F02" w:rsidP="003014E1">
      <w:r w:rsidRPr="003014E1">
        <w:t xml:space="preserve">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t>
      </w:r>
      <w:proofErr w:type="gramStart"/>
      <w:r w:rsidRPr="003014E1">
        <w:t>will either</w:t>
      </w:r>
      <w:proofErr w:type="gramEnd"/>
      <w:r w:rsidRPr="003014E1">
        <w:t>:</w:t>
      </w:r>
    </w:p>
    <w:p w14:paraId="1D94B288" w14:textId="4ED48244" w:rsidR="00137F02" w:rsidRPr="003014E1" w:rsidRDefault="00801F06" w:rsidP="00125DA0">
      <w:pPr>
        <w:pStyle w:val="ListParagraph"/>
        <w:numPr>
          <w:ilvl w:val="0"/>
          <w:numId w:val="15"/>
        </w:numPr>
      </w:pPr>
      <w:r>
        <w:t>I</w:t>
      </w:r>
      <w:r w:rsidR="00137F02" w:rsidRPr="003014E1">
        <w:t>nvite the Bidder submitting the query either to declassify the query or allow the query, along with the STA’s response, to be circulated to all Bidders; or</w:t>
      </w:r>
    </w:p>
    <w:p w14:paraId="6C91CD31" w14:textId="2814D489" w:rsidR="00137F02" w:rsidRPr="003014E1" w:rsidRDefault="00801F06" w:rsidP="00125DA0">
      <w:pPr>
        <w:pStyle w:val="ListParagraph"/>
        <w:numPr>
          <w:ilvl w:val="0"/>
          <w:numId w:val="15"/>
        </w:numPr>
      </w:pPr>
      <w:r>
        <w:t>R</w:t>
      </w:r>
      <w:r w:rsidR="00137F02" w:rsidRPr="003014E1">
        <w:t>equest the Bidder, if it still considers the query to be of a commercially confidential nature, to withdraw the query.</w:t>
      </w:r>
    </w:p>
    <w:p w14:paraId="3079BD13" w14:textId="77777777" w:rsidR="006567AA" w:rsidRPr="003014E1" w:rsidRDefault="006567AA" w:rsidP="003014E1"/>
    <w:p w14:paraId="49574783" w14:textId="06A439AF"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65459B14" w14:textId="77777777" w:rsidR="0083323A" w:rsidRPr="003014E1" w:rsidRDefault="0083323A" w:rsidP="003014E1"/>
    <w:p w14:paraId="44A52C93" w14:textId="7B764AA9" w:rsidR="006567AA" w:rsidRPr="003014E1" w:rsidRDefault="006567AA" w:rsidP="003014E1"/>
    <w:p w14:paraId="0FABDF91" w14:textId="77777777" w:rsidR="00137F02" w:rsidRPr="006C126B" w:rsidRDefault="00792FEF" w:rsidP="003014E1">
      <w:pPr>
        <w:rPr>
          <w:b/>
          <w:sz w:val="28"/>
          <w:szCs w:val="28"/>
        </w:rPr>
      </w:pPr>
      <w:bookmarkStart w:id="49" w:name="_Toc309139691"/>
      <w:r w:rsidRPr="006C126B">
        <w:rPr>
          <w:b/>
          <w:sz w:val="28"/>
          <w:szCs w:val="28"/>
        </w:rPr>
        <w:lastRenderedPageBreak/>
        <w:t xml:space="preserve">3.5 </w:t>
      </w:r>
      <w:r w:rsidR="00137F02" w:rsidRPr="006C126B">
        <w:rPr>
          <w:b/>
          <w:sz w:val="28"/>
          <w:szCs w:val="28"/>
        </w:rPr>
        <w:t xml:space="preserve">Preparation </w:t>
      </w:r>
      <w:bookmarkEnd w:id="49"/>
      <w:r w:rsidR="006567AA" w:rsidRPr="006C126B">
        <w:rPr>
          <w:b/>
          <w:sz w:val="28"/>
          <w:szCs w:val="28"/>
        </w:rPr>
        <w:t>of application</w:t>
      </w:r>
    </w:p>
    <w:p w14:paraId="4FAC812F" w14:textId="77777777"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27E4DB2A" w14:textId="77777777" w:rsidR="00425728" w:rsidRPr="003014E1" w:rsidRDefault="00425728" w:rsidP="003014E1"/>
    <w:p w14:paraId="11B8B41A"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75E1F4C0" w14:textId="77777777" w:rsidR="00425728" w:rsidRPr="003014E1" w:rsidRDefault="00425728" w:rsidP="003014E1"/>
    <w:p w14:paraId="78776980" w14:textId="13B8F826" w:rsidR="00137F02" w:rsidRDefault="00137F02" w:rsidP="003014E1">
      <w:r w:rsidRPr="003014E1">
        <w:t xml:space="preserve">STA relies on Bidders' own analysis and review of information provided. Consequently, Bidders are solely responsible for obtaining the </w:t>
      </w:r>
      <w:proofErr w:type="gramStart"/>
      <w:r w:rsidRPr="003014E1">
        <w:t>information which they consider</w:t>
      </w:r>
      <w:proofErr w:type="gramEnd"/>
      <w:r w:rsidRPr="003014E1">
        <w:t xml:space="preserve">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3A148599" w14:textId="77777777" w:rsidR="00BA7467" w:rsidRPr="003014E1" w:rsidRDefault="00BA7467" w:rsidP="003014E1"/>
    <w:p w14:paraId="5038460E" w14:textId="4456C159" w:rsidR="00425728" w:rsidRPr="003014E1" w:rsidRDefault="00425728" w:rsidP="003014E1"/>
    <w:p w14:paraId="19E455EA" w14:textId="77777777" w:rsidR="00137F02" w:rsidRPr="006C126B" w:rsidRDefault="00792FEF" w:rsidP="003014E1">
      <w:pPr>
        <w:rPr>
          <w:b/>
          <w:sz w:val="28"/>
          <w:szCs w:val="28"/>
        </w:rPr>
      </w:pPr>
      <w:bookmarkStart w:id="50" w:name="_Toc309139692"/>
      <w:r w:rsidRPr="006C126B">
        <w:rPr>
          <w:b/>
          <w:sz w:val="28"/>
          <w:szCs w:val="28"/>
        </w:rPr>
        <w:t xml:space="preserve">3.6 </w:t>
      </w:r>
      <w:r w:rsidR="00137F02" w:rsidRPr="006C126B">
        <w:rPr>
          <w:b/>
          <w:sz w:val="28"/>
          <w:szCs w:val="28"/>
        </w:rPr>
        <w:t>Confidentiality</w:t>
      </w:r>
      <w:bookmarkEnd w:id="50"/>
    </w:p>
    <w:p w14:paraId="67C0A8C7" w14:textId="77777777" w:rsidR="00137F02" w:rsidRPr="003014E1" w:rsidRDefault="00137F02" w:rsidP="003014E1">
      <w:r w:rsidRPr="003014E1">
        <w:t xml:space="preserve">All information supplied by STA to </w:t>
      </w:r>
      <w:r w:rsidR="001D2429" w:rsidRPr="003014E1">
        <w:t>B</w:t>
      </w:r>
      <w:r w:rsidRPr="003014E1">
        <w:t xml:space="preserve">idders </w:t>
      </w:r>
      <w:proofErr w:type="gramStart"/>
      <w:r w:rsidRPr="003014E1">
        <w:t>must be treated</w:t>
      </w:r>
      <w:proofErr w:type="gramEnd"/>
      <w:r w:rsidRPr="003014E1">
        <w:t xml:space="preserve"> in confidence and not disclosed to third parties except insofar as this is necessary to obtain sureties for the purposes of submitting the </w:t>
      </w:r>
      <w:r w:rsidR="001D2429" w:rsidRPr="003014E1">
        <w:t>Q</w:t>
      </w:r>
      <w:r w:rsidRPr="003014E1">
        <w:t xml:space="preserve">uote. </w:t>
      </w:r>
    </w:p>
    <w:p w14:paraId="6517D207" w14:textId="77777777" w:rsidR="00425728" w:rsidRPr="003014E1" w:rsidRDefault="00425728" w:rsidP="003014E1"/>
    <w:p w14:paraId="5DE13A6C" w14:textId="77777777" w:rsidR="00137F02" w:rsidRPr="003014E1" w:rsidRDefault="00137F02" w:rsidP="003014E1">
      <w:r w:rsidRPr="003014E1">
        <w:t xml:space="preserve">All information supplied by </w:t>
      </w:r>
      <w:r w:rsidR="001D2429" w:rsidRPr="003014E1">
        <w:t>B</w:t>
      </w:r>
      <w:r w:rsidRPr="003014E1">
        <w:t xml:space="preserve">idders to STA </w:t>
      </w:r>
      <w:proofErr w:type="gramStart"/>
      <w:r w:rsidRPr="003014E1">
        <w:t>will similarly be treated</w:t>
      </w:r>
      <w:proofErr w:type="gramEnd"/>
      <w:r w:rsidRPr="003014E1">
        <w:t xml:space="preserve"> in confidence except for the disclosure of such information as may be required in accordance with the requirements of UK government policy on the disclosure of information relating to government contracts including the Freedom of Information Act.</w:t>
      </w:r>
    </w:p>
    <w:p w14:paraId="0855512C" w14:textId="63C3AB67" w:rsidR="00425728" w:rsidRPr="003014E1" w:rsidRDefault="00425728" w:rsidP="003014E1"/>
    <w:p w14:paraId="074EA870" w14:textId="75914E2B" w:rsidR="00B7253A" w:rsidRPr="004C7EF6" w:rsidRDefault="0092543A" w:rsidP="003014E1">
      <w:pPr>
        <w:rPr>
          <w:b/>
          <w:sz w:val="28"/>
          <w:szCs w:val="28"/>
        </w:rPr>
      </w:pPr>
      <w:r>
        <w:rPr>
          <w:b/>
          <w:sz w:val="28"/>
          <w:szCs w:val="28"/>
        </w:rPr>
        <w:t>3.7</w:t>
      </w:r>
      <w:r w:rsidR="00B7253A" w:rsidRPr="004C7EF6">
        <w:rPr>
          <w:b/>
          <w:sz w:val="28"/>
          <w:szCs w:val="28"/>
        </w:rPr>
        <w:t xml:space="preserve"> Daily rates and payment</w:t>
      </w:r>
    </w:p>
    <w:p w14:paraId="6FA08A74" w14:textId="13F6A880" w:rsidR="00425728" w:rsidRDefault="0092543A" w:rsidP="003014E1">
      <w:r>
        <w:t xml:space="preserve">Bidders must state their daily rate </w:t>
      </w:r>
      <w:r w:rsidR="00E93B29">
        <w:t xml:space="preserve">in </w:t>
      </w:r>
      <w:r w:rsidR="00912B37">
        <w:t>Section 5 (Bidder’s Response).</w:t>
      </w:r>
      <w:r w:rsidR="004E0F22">
        <w:t xml:space="preserve">  </w:t>
      </w:r>
      <w:r w:rsidR="0044762E">
        <w:t>Any</w:t>
      </w:r>
      <w:r w:rsidR="0044762E" w:rsidRPr="003014E1">
        <w:t xml:space="preserve"> </w:t>
      </w:r>
      <w:r w:rsidR="007534AD">
        <w:t>s</w:t>
      </w:r>
      <w:r w:rsidR="0044762E" w:rsidRPr="003014E1">
        <w:t>uccessful</w:t>
      </w:r>
      <w:r w:rsidR="00B7253A" w:rsidRPr="003014E1">
        <w:t xml:space="preserve"> </w:t>
      </w:r>
      <w:r w:rsidR="00D14829">
        <w:t>suppliers</w:t>
      </w:r>
      <w:r w:rsidR="00B7253A" w:rsidRPr="003014E1">
        <w:t xml:space="preserve"> </w:t>
      </w:r>
      <w:proofErr w:type="gramStart"/>
      <w:r w:rsidR="00B7253A" w:rsidRPr="003014E1">
        <w:t>will be paid</w:t>
      </w:r>
      <w:proofErr w:type="gramEnd"/>
      <w:r w:rsidR="00B7253A" w:rsidRPr="003014E1">
        <w:t xml:space="preserve"> on the completion of the relevant work.</w:t>
      </w:r>
      <w:r w:rsidR="00063C4B">
        <w:t xml:space="preserve">  </w:t>
      </w:r>
      <w:r w:rsidR="00063C4B" w:rsidRPr="003014E1">
        <w:t xml:space="preserve">Travel and subsistence </w:t>
      </w:r>
      <w:proofErr w:type="gramStart"/>
      <w:r w:rsidR="00063C4B" w:rsidRPr="003014E1">
        <w:t>will be paid</w:t>
      </w:r>
      <w:proofErr w:type="gramEnd"/>
      <w:r w:rsidR="00063C4B" w:rsidRPr="003014E1">
        <w:t xml:space="preserve"> in line with government guidelines. For overnight </w:t>
      </w:r>
      <w:proofErr w:type="gramStart"/>
      <w:r w:rsidR="00063C4B" w:rsidRPr="003014E1">
        <w:t>stays</w:t>
      </w:r>
      <w:proofErr w:type="gramEnd"/>
      <w:r w:rsidR="00063C4B" w:rsidRPr="003014E1">
        <w:t xml:space="preserve"> accommodation will be paid for within the limits of government policy.</w:t>
      </w:r>
    </w:p>
    <w:p w14:paraId="679932F8" w14:textId="5B4A510B" w:rsidR="00D14829" w:rsidRDefault="00D14829" w:rsidP="003014E1"/>
    <w:p w14:paraId="2B67B0BB" w14:textId="77777777" w:rsidR="00D14829" w:rsidRPr="00D14829" w:rsidRDefault="00D14829" w:rsidP="00D14829">
      <w:pPr>
        <w:spacing w:after="240"/>
        <w:jc w:val="both"/>
      </w:pPr>
      <w:r w:rsidRPr="00D14829">
        <w:t xml:space="preserve">Individuals </w:t>
      </w:r>
      <w:proofErr w:type="gramStart"/>
      <w:r w:rsidRPr="00D14829">
        <w:t>will be taxed</w:t>
      </w:r>
      <w:proofErr w:type="gramEnd"/>
      <w:r w:rsidRPr="00D14829">
        <w:t xml:space="preserve"> at source.</w:t>
      </w:r>
    </w:p>
    <w:p w14:paraId="43F3CFFF" w14:textId="77777777" w:rsidR="00D14829" w:rsidRPr="00D14829" w:rsidRDefault="00D14829" w:rsidP="00D14829">
      <w:pPr>
        <w:spacing w:after="240"/>
        <w:jc w:val="both"/>
      </w:pPr>
      <w:r w:rsidRPr="00D14829">
        <w:t xml:space="preserve">Limited companies </w:t>
      </w:r>
      <w:proofErr w:type="gramStart"/>
      <w:r w:rsidRPr="00D14829">
        <w:t>will not be taxed</w:t>
      </w:r>
      <w:proofErr w:type="gramEnd"/>
      <w:r w:rsidRPr="00D14829">
        <w:t xml:space="preserve"> at source.</w:t>
      </w:r>
    </w:p>
    <w:p w14:paraId="18E012D2" w14:textId="5FE04D64" w:rsidR="00B7253A" w:rsidRPr="003014E1" w:rsidRDefault="00B7253A" w:rsidP="003014E1"/>
    <w:p w14:paraId="673EB144" w14:textId="1D006511" w:rsidR="00137F02" w:rsidRPr="006C126B" w:rsidRDefault="0092543A" w:rsidP="003014E1">
      <w:pPr>
        <w:rPr>
          <w:b/>
          <w:sz w:val="28"/>
          <w:szCs w:val="28"/>
        </w:rPr>
      </w:pPr>
      <w:bookmarkStart w:id="51" w:name="_Toc309139695"/>
      <w:r>
        <w:rPr>
          <w:b/>
          <w:sz w:val="28"/>
          <w:szCs w:val="28"/>
        </w:rPr>
        <w:t>3.8</w:t>
      </w:r>
      <w:r w:rsidR="00792FEF" w:rsidRPr="006C126B">
        <w:rPr>
          <w:b/>
          <w:sz w:val="28"/>
          <w:szCs w:val="28"/>
        </w:rPr>
        <w:t xml:space="preserve">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14:paraId="6B2379A2" w14:textId="114B018F" w:rsidR="00137F02" w:rsidRPr="003014E1" w:rsidRDefault="00B7253A" w:rsidP="003014E1">
      <w:r w:rsidRPr="003014E1">
        <w:lastRenderedPageBreak/>
        <w:t>The application</w:t>
      </w:r>
      <w:r w:rsidR="00137F02" w:rsidRPr="003014E1">
        <w:t xml:space="preserve"> </w:t>
      </w:r>
      <w:proofErr w:type="gramStart"/>
      <w:r w:rsidR="00137F02" w:rsidRPr="003014E1">
        <w:t>must be submitted</w:t>
      </w:r>
      <w:proofErr w:type="gramEnd"/>
      <w:r w:rsidR="00137F02" w:rsidRPr="003014E1">
        <w:t xml:space="preserve">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801F06">
        <w:t>using Arial 12</w:t>
      </w:r>
      <w:r w:rsidR="00137F02" w:rsidRPr="003014E1">
        <w:t xml:space="preserve"> font and in English</w:t>
      </w:r>
      <w:r w:rsidRPr="003014E1">
        <w:t xml:space="preserve">. </w:t>
      </w:r>
      <w:r w:rsidR="00137F02" w:rsidRPr="003014E1">
        <w:t xml:space="preserve"> Word limits </w:t>
      </w:r>
      <w:proofErr w:type="gramStart"/>
      <w:r w:rsidR="00137F02" w:rsidRPr="003014E1">
        <w:t>must be adhered</w:t>
      </w:r>
      <w:proofErr w:type="gramEnd"/>
      <w:r w:rsidR="00137F02" w:rsidRPr="003014E1">
        <w:t xml:space="preserve"> to and material in excess of these limits will not be evaluated.</w:t>
      </w:r>
    </w:p>
    <w:p w14:paraId="4AFE2653" w14:textId="77777777" w:rsidR="00B7253A" w:rsidRPr="003014E1" w:rsidRDefault="00B7253A" w:rsidP="003014E1"/>
    <w:p w14:paraId="13111C57" w14:textId="4939B68C"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E6277">
        <w:t xml:space="preserve">2016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14:paraId="1278F573" w14:textId="77777777" w:rsidR="001F2CF6" w:rsidRPr="003014E1" w:rsidRDefault="001F2CF6" w:rsidP="003014E1"/>
    <w:p w14:paraId="70F9BDB7" w14:textId="52CB3316" w:rsidR="00B404A6" w:rsidRDefault="00CC0F00" w:rsidP="003014E1">
      <w:r w:rsidRPr="003014E1">
        <w:t>Applications</w:t>
      </w:r>
      <w:r w:rsidR="00137F02" w:rsidRPr="003014E1">
        <w:t xml:space="preserve"> must be received </w:t>
      </w:r>
      <w:r w:rsidR="008207D0" w:rsidRPr="003014E1">
        <w:t xml:space="preserve">by </w:t>
      </w:r>
      <w:r w:rsidR="00353356">
        <w:t xml:space="preserve">midday on </w:t>
      </w:r>
      <w:r w:rsidR="00503434">
        <w:t xml:space="preserve">03 January </w:t>
      </w:r>
      <w:r w:rsidR="004E0F22">
        <w:t>201</w:t>
      </w:r>
      <w:r w:rsidR="00503434">
        <w:t>8</w:t>
      </w:r>
      <w:r w:rsidRPr="003014E1">
        <w:t xml:space="preserve"> and </w:t>
      </w:r>
      <w:r w:rsidR="00B019E0" w:rsidRPr="003014E1">
        <w:t xml:space="preserve">should be sent to </w:t>
      </w:r>
      <w:hyperlink r:id="rId17" w:history="1">
        <w:r w:rsidR="00C34DA0" w:rsidRPr="00FC1F99">
          <w:rPr>
            <w:rStyle w:val="Hyperlink"/>
          </w:rPr>
          <w:t>TendersTD.STA@education.gov.uk</w:t>
        </w:r>
      </w:hyperlink>
      <w:r w:rsidR="00BA5769">
        <w:t xml:space="preserve"> and copied to </w:t>
      </w:r>
      <w:hyperlink r:id="rId18" w:history="1">
        <w:r w:rsidR="00BD604B" w:rsidRPr="006B5089">
          <w:rPr>
            <w:rStyle w:val="Hyperlink"/>
          </w:rPr>
          <w:t>Jennifer.Conlon@education.gov.uk</w:t>
        </w:r>
      </w:hyperlink>
    </w:p>
    <w:p w14:paraId="7DE54F51" w14:textId="77777777" w:rsidR="00CC0F00" w:rsidRPr="003014E1" w:rsidRDefault="00CC0F00" w:rsidP="003014E1"/>
    <w:p w14:paraId="6120E277" w14:textId="77777777" w:rsidR="00137F02" w:rsidRPr="003014E1" w:rsidRDefault="00CC0F00" w:rsidP="003014E1">
      <w:r w:rsidRPr="003014E1">
        <w:t>Application</w:t>
      </w:r>
      <w:r w:rsidR="00137F02" w:rsidRPr="003014E1">
        <w:t xml:space="preserve">s </w:t>
      </w:r>
      <w:proofErr w:type="gramStart"/>
      <w:r w:rsidR="00137F02" w:rsidRPr="003014E1">
        <w:t>will be accepted</w:t>
      </w:r>
      <w:proofErr w:type="gramEnd"/>
      <w:r w:rsidR="00137F02" w:rsidRPr="003014E1">
        <w:t xml:space="preserve"> at any time up to this deadline but will not be opened or evaluated until the deadline has passed. </w:t>
      </w:r>
    </w:p>
    <w:p w14:paraId="459CDBCD" w14:textId="77777777" w:rsidR="006C126B" w:rsidRDefault="006C126B" w:rsidP="003014E1"/>
    <w:p w14:paraId="2DA928E2" w14:textId="75268EA0" w:rsidR="00137F02"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633A872F" w14:textId="77777777" w:rsidR="00503434" w:rsidRPr="003014E1" w:rsidRDefault="00503434" w:rsidP="003014E1"/>
    <w:p w14:paraId="5E8D06A4" w14:textId="208EE512" w:rsidR="00137F02" w:rsidRPr="006C126B" w:rsidRDefault="0092543A" w:rsidP="003014E1">
      <w:pPr>
        <w:rPr>
          <w:b/>
          <w:sz w:val="28"/>
          <w:szCs w:val="28"/>
        </w:rPr>
      </w:pPr>
      <w:bookmarkStart w:id="52" w:name="_Toc309139696"/>
      <w:r>
        <w:rPr>
          <w:b/>
          <w:sz w:val="28"/>
          <w:szCs w:val="28"/>
        </w:rPr>
        <w:t>3.9</w:t>
      </w:r>
      <w:r w:rsidR="00792FEF" w:rsidRPr="006C126B">
        <w:rPr>
          <w:b/>
          <w:sz w:val="28"/>
          <w:szCs w:val="28"/>
        </w:rPr>
        <w:t xml:space="preserve">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14:paraId="6344A95A" w14:textId="77777777" w:rsidR="00137F02" w:rsidRPr="003014E1" w:rsidRDefault="00137F02" w:rsidP="003014E1">
      <w:r w:rsidRPr="003014E1">
        <w:t>The STA reserves the right to reject or disqualify a Bidder where:</w:t>
      </w:r>
    </w:p>
    <w:p w14:paraId="5C21D17D"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62932267" w14:textId="32AB5C82" w:rsidR="005D7287" w:rsidRDefault="00137F02" w:rsidP="003014E1">
      <w:pPr>
        <w:pStyle w:val="ListParagraph"/>
        <w:numPr>
          <w:ilvl w:val="0"/>
          <w:numId w:val="16"/>
        </w:numPr>
      </w:pPr>
      <w:proofErr w:type="gramStart"/>
      <w:r w:rsidRPr="003014E1">
        <w:t>there</w:t>
      </w:r>
      <w:proofErr w:type="gramEnd"/>
      <w:r w:rsidRPr="003014E1">
        <w:t xml:space="preserve"> is a change in identity, control, financial standing or other factor relating to the Bidder that impacts on the selection and/or evaluation process.</w:t>
      </w:r>
      <w:bookmarkStart w:id="53" w:name="_Toc309139697"/>
    </w:p>
    <w:p w14:paraId="419BB8B0" w14:textId="77777777" w:rsidR="005D7287" w:rsidRDefault="005D7287" w:rsidP="003014E1"/>
    <w:p w14:paraId="0E0907AA" w14:textId="2DFE1BFB" w:rsidR="00137F02" w:rsidRPr="00B74522" w:rsidRDefault="0092543A" w:rsidP="003014E1">
      <w:pPr>
        <w:rPr>
          <w:b/>
          <w:sz w:val="28"/>
          <w:szCs w:val="28"/>
        </w:rPr>
      </w:pPr>
      <w:r>
        <w:rPr>
          <w:b/>
          <w:sz w:val="28"/>
          <w:szCs w:val="28"/>
        </w:rPr>
        <w:t>3.</w:t>
      </w:r>
      <w:r w:rsidR="007D3C4D">
        <w:rPr>
          <w:b/>
          <w:sz w:val="28"/>
          <w:szCs w:val="28"/>
        </w:rPr>
        <w:t>1</w:t>
      </w:r>
      <w:r>
        <w:rPr>
          <w:b/>
          <w:sz w:val="28"/>
          <w:szCs w:val="28"/>
        </w:rPr>
        <w:t>0</w:t>
      </w:r>
      <w:r w:rsidR="00792FEF" w:rsidRPr="00B74522">
        <w:rPr>
          <w:b/>
          <w:sz w:val="28"/>
          <w:szCs w:val="28"/>
        </w:rPr>
        <w:t xml:space="preserve"> </w:t>
      </w:r>
      <w:r w:rsidR="00137F02" w:rsidRPr="00B74522">
        <w:rPr>
          <w:b/>
          <w:sz w:val="28"/>
          <w:szCs w:val="28"/>
        </w:rPr>
        <w:t>Debriefing</w:t>
      </w:r>
      <w:bookmarkEnd w:id="53"/>
    </w:p>
    <w:p w14:paraId="0B77C26D"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7004C11C" w14:textId="1C7DF6D9" w:rsidR="00425728" w:rsidRPr="003014E1" w:rsidRDefault="00425728" w:rsidP="003014E1"/>
    <w:p w14:paraId="57142232" w14:textId="77777777" w:rsidR="00503434" w:rsidRDefault="00503434" w:rsidP="003014E1">
      <w:pPr>
        <w:rPr>
          <w:b/>
          <w:sz w:val="32"/>
          <w:szCs w:val="32"/>
        </w:rPr>
      </w:pPr>
      <w:bookmarkStart w:id="54" w:name="_Toc309139698"/>
    </w:p>
    <w:p w14:paraId="71DEF683" w14:textId="77777777" w:rsidR="00503434" w:rsidRDefault="00503434" w:rsidP="003014E1">
      <w:pPr>
        <w:rPr>
          <w:b/>
          <w:sz w:val="32"/>
          <w:szCs w:val="32"/>
        </w:rPr>
      </w:pPr>
    </w:p>
    <w:p w14:paraId="3716F98F" w14:textId="77777777" w:rsidR="00503434" w:rsidRDefault="00503434" w:rsidP="003014E1">
      <w:pPr>
        <w:rPr>
          <w:b/>
          <w:sz w:val="32"/>
          <w:szCs w:val="32"/>
        </w:rPr>
      </w:pPr>
    </w:p>
    <w:p w14:paraId="479F0B5B" w14:textId="77777777" w:rsidR="00503434" w:rsidRDefault="00503434" w:rsidP="003014E1">
      <w:pPr>
        <w:rPr>
          <w:b/>
          <w:sz w:val="32"/>
          <w:szCs w:val="32"/>
        </w:rPr>
      </w:pPr>
    </w:p>
    <w:p w14:paraId="51991FD4" w14:textId="26470D38" w:rsidR="00B74522" w:rsidRDefault="00B74522" w:rsidP="003014E1">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w:t>
      </w:r>
      <w:r w:rsidR="00BD604B">
        <w:rPr>
          <w:b/>
          <w:sz w:val="32"/>
          <w:szCs w:val="32"/>
        </w:rPr>
        <w:t>valuation</w:t>
      </w:r>
      <w:r w:rsidR="00137F02" w:rsidRPr="00B74522">
        <w:rPr>
          <w:b/>
          <w:sz w:val="32"/>
          <w:szCs w:val="32"/>
        </w:rPr>
        <w:t xml:space="preserve"> </w:t>
      </w:r>
      <w:bookmarkStart w:id="55" w:name="_Toc309139699"/>
      <w:bookmarkEnd w:id="54"/>
      <w:r w:rsidR="00BD604B">
        <w:rPr>
          <w:b/>
          <w:sz w:val="32"/>
          <w:szCs w:val="32"/>
        </w:rPr>
        <w:t>Methodology</w:t>
      </w:r>
    </w:p>
    <w:bookmarkEnd w:id="55"/>
    <w:p w14:paraId="6275ADC6" w14:textId="77777777" w:rsidR="00C109DD" w:rsidRDefault="00C109DD" w:rsidP="00C109DD"/>
    <w:p w14:paraId="593D8998" w14:textId="0198C15A" w:rsidR="00AF2E4B" w:rsidRPr="003014E1" w:rsidRDefault="005337B2" w:rsidP="003014E1">
      <w:r w:rsidRPr="003014E1">
        <w:t xml:space="preserve">Applications </w:t>
      </w:r>
      <w:proofErr w:type="gramStart"/>
      <w:r w:rsidRPr="003014E1">
        <w:t>will be reviewed individually against the stated criteria</w:t>
      </w:r>
      <w:r>
        <w:t xml:space="preserve"> and</w:t>
      </w:r>
      <w:r w:rsidR="00137F02" w:rsidRPr="003014E1">
        <w:t xml:space="preserve"> evaluated in order to determine the most advantageous solution for STA in line with the </w:t>
      </w:r>
      <w:r w:rsidR="002B0F91">
        <w:t>contract</w:t>
      </w:r>
      <w:r w:rsidR="00137F02" w:rsidRPr="003014E1">
        <w:t xml:space="preserve"> ordering process</w:t>
      </w:r>
      <w:proofErr w:type="gramEnd"/>
      <w:r w:rsidR="00137F02" w:rsidRPr="003014E1">
        <w:t>.</w:t>
      </w:r>
    </w:p>
    <w:p w14:paraId="5F7686EC" w14:textId="39A047D7" w:rsidR="00B74522" w:rsidRPr="003014E1" w:rsidRDefault="00B74522" w:rsidP="003014E1"/>
    <w:p w14:paraId="6122EA98" w14:textId="7CAA7AC8" w:rsidR="00137F02" w:rsidRPr="00B74522" w:rsidRDefault="00792FEF" w:rsidP="003014E1">
      <w:pPr>
        <w:rPr>
          <w:b/>
          <w:sz w:val="28"/>
          <w:szCs w:val="28"/>
        </w:rPr>
      </w:pPr>
      <w:bookmarkStart w:id="56" w:name="_Toc309139700"/>
      <w:r w:rsidRPr="00B74522">
        <w:rPr>
          <w:b/>
          <w:sz w:val="28"/>
          <w:szCs w:val="28"/>
        </w:rPr>
        <w:t>4.</w:t>
      </w:r>
      <w:r w:rsidR="00711E35">
        <w:rPr>
          <w:b/>
          <w:sz w:val="28"/>
          <w:szCs w:val="28"/>
        </w:rPr>
        <w:t>1</w:t>
      </w:r>
      <w:r w:rsidRPr="00B74522">
        <w:rPr>
          <w:b/>
          <w:sz w:val="28"/>
          <w:szCs w:val="28"/>
        </w:rPr>
        <w:t xml:space="preserve"> </w:t>
      </w:r>
      <w:r w:rsidR="00137F02" w:rsidRPr="00B74522">
        <w:rPr>
          <w:b/>
          <w:sz w:val="28"/>
          <w:szCs w:val="28"/>
        </w:rPr>
        <w:t>Evaluation process</w:t>
      </w:r>
      <w:bookmarkEnd w:id="56"/>
    </w:p>
    <w:p w14:paraId="138EA16A" w14:textId="77777777" w:rsidR="00B74522" w:rsidRDefault="00CC0F00" w:rsidP="003014E1">
      <w:r w:rsidRPr="003014E1">
        <w:t>Application</w:t>
      </w:r>
      <w:r w:rsidR="00137F02" w:rsidRPr="003014E1">
        <w:t xml:space="preserve">s </w:t>
      </w:r>
      <w:proofErr w:type="gramStart"/>
      <w:r w:rsidR="00137F02" w:rsidRPr="003014E1">
        <w:t>will be formally logged</w:t>
      </w:r>
      <w:proofErr w:type="gramEnd"/>
      <w:r w:rsidR="00137F02" w:rsidRPr="003014E1">
        <w:t xml:space="preserve"> upon receipt. Any </w:t>
      </w:r>
      <w:r w:rsidRPr="003014E1">
        <w:t>application</w:t>
      </w:r>
      <w:r w:rsidR="00137F02" w:rsidRPr="003014E1">
        <w:t xml:space="preserve"> that </w:t>
      </w:r>
      <w:proofErr w:type="gramStart"/>
      <w:r w:rsidR="00137F02" w:rsidRPr="003014E1">
        <w:t>is received</w:t>
      </w:r>
      <w:proofErr w:type="gramEnd"/>
      <w:r w:rsidR="00137F02" w:rsidRPr="003014E1">
        <w:t xml:space="preserve"> after the deadline </w:t>
      </w:r>
      <w:r w:rsidR="008C4143" w:rsidRPr="003014E1">
        <w:t>may</w:t>
      </w:r>
      <w:r w:rsidR="00137F02" w:rsidRPr="003014E1">
        <w:t xml:space="preserve"> be rejected.</w:t>
      </w:r>
    </w:p>
    <w:p w14:paraId="61D30AF7" w14:textId="77777777" w:rsidR="00B74522" w:rsidRDefault="00B74522" w:rsidP="003014E1"/>
    <w:p w14:paraId="78588D0E" w14:textId="0F71714E" w:rsidR="00CC0F00" w:rsidRDefault="00137F02" w:rsidP="003014E1">
      <w:r w:rsidRPr="003014E1">
        <w:t xml:space="preserve">Following the deadline, a compliance check </w:t>
      </w:r>
      <w:proofErr w:type="gramStart"/>
      <w:r w:rsidRPr="003014E1">
        <w:t>will then be conducted</w:t>
      </w:r>
      <w:proofErr w:type="gramEnd"/>
      <w:r w:rsidRPr="003014E1">
        <w:t xml:space="preserve">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0E1478C2" w14:textId="7023D715" w:rsidR="00725E41" w:rsidRDefault="00725E41"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14:paraId="6CCF54F6" w14:textId="77777777" w:rsidTr="00582B2D">
        <w:trPr>
          <w:trHeight w:val="805"/>
        </w:trPr>
        <w:tc>
          <w:tcPr>
            <w:tcW w:w="10031" w:type="dxa"/>
            <w:tcBorders>
              <w:left w:val="single" w:sz="12" w:space="0" w:color="auto"/>
              <w:bottom w:val="single" w:sz="12" w:space="0" w:color="auto"/>
              <w:right w:val="single" w:sz="12" w:space="0" w:color="auto"/>
            </w:tcBorders>
            <w:shd w:val="clear" w:color="auto" w:fill="auto"/>
          </w:tcPr>
          <w:p w14:paraId="3AEFF4FA" w14:textId="606CEC72" w:rsidR="00582B2D" w:rsidRDefault="00582B2D" w:rsidP="003014E1">
            <w:pPr>
              <w:rPr>
                <w:b/>
              </w:rPr>
            </w:pPr>
            <w:r w:rsidRPr="00B74522">
              <w:rPr>
                <w:b/>
              </w:rPr>
              <w:t xml:space="preserve">Evaluation </w:t>
            </w:r>
            <w:r w:rsidR="00683B38">
              <w:rPr>
                <w:b/>
              </w:rPr>
              <w:t>Model</w:t>
            </w:r>
            <w:r w:rsidR="006C3A4D">
              <w:rPr>
                <w:b/>
              </w:rPr>
              <w:t>:</w:t>
            </w:r>
          </w:p>
          <w:p w14:paraId="2AD0646E" w14:textId="77777777" w:rsidR="006C3A4D" w:rsidRDefault="006C3A4D" w:rsidP="006C3A4D"/>
          <w:p w14:paraId="7019BA01" w14:textId="0D7B2897" w:rsidR="00683B38" w:rsidRPr="00683B38" w:rsidRDefault="00683B38" w:rsidP="00683B38">
            <w:r w:rsidRPr="00683B38">
              <w:t xml:space="preserve">This section describes the criteria against which bids </w:t>
            </w:r>
            <w:proofErr w:type="gramStart"/>
            <w:r w:rsidRPr="00683B38">
              <w:t>will be scored</w:t>
            </w:r>
            <w:proofErr w:type="gramEnd"/>
            <w:r w:rsidRPr="00683B38">
              <w:t>, relating the specification of required services, together with the scoring mechanism and associated weightings for each section or question.</w:t>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p>
          <w:p w14:paraId="12B241B4" w14:textId="35D17F34" w:rsidR="00683B38" w:rsidRPr="00B74522" w:rsidRDefault="00683B38" w:rsidP="00683B38">
            <w:pPr>
              <w:rPr>
                <w:b/>
              </w:rPr>
            </w:pPr>
            <w:r w:rsidRPr="00683B38">
              <w:t xml:space="preserve">This matrix </w:t>
            </w:r>
            <w:proofErr w:type="gramStart"/>
            <w:r w:rsidRPr="00683B38">
              <w:t>will be used</w:t>
            </w:r>
            <w:proofErr w:type="gramEnd"/>
            <w:r w:rsidRPr="00683B38">
              <w:t xml:space="preserve"> as a guide only to ensure a consistent approach is taken when scoring the bids. Evaluators will have the scope to use their own judgement and discretion when awarding scores under each evaluation criteria heading and they should make appropriate notes to validate all scores awarded. Unless otherwise stated against the criteria in this document the scoring guidelines below shall apply. In </w:t>
            </w:r>
            <w:proofErr w:type="gramStart"/>
            <w:r w:rsidRPr="00683B38">
              <w:t>general</w:t>
            </w:r>
            <w:proofErr w:type="gramEnd"/>
            <w:r w:rsidRPr="00683B38">
              <w:t xml:space="preserve"> terms higher scores will be awarded when the evidence provided demonstrates good quality information in support of proposals for specific requirements and provides high confidence in reliable delivery of the required services. Lower scores </w:t>
            </w:r>
            <w:proofErr w:type="gramStart"/>
            <w:r w:rsidRPr="00683B38">
              <w:t>will be given</w:t>
            </w:r>
            <w:proofErr w:type="gramEnd"/>
            <w:r w:rsidRPr="00683B38">
              <w:t xml:space="preserve"> when the evidence provided does not demonstrate and/or provide confidence in reliable delivery of the requirement as specified.</w:t>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p>
          <w:p w14:paraId="2295EDC5" w14:textId="330BD50C" w:rsidR="00582B2D" w:rsidRPr="003014E1" w:rsidRDefault="00582B2D" w:rsidP="003014E1"/>
        </w:tc>
      </w:tr>
    </w:tbl>
    <w:p w14:paraId="68FB5C9F" w14:textId="77777777" w:rsidR="00582B2D" w:rsidRPr="003014E1" w:rsidRDefault="00582B2D"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15594" w:rsidRPr="003014E1" w14:paraId="1F3FEFF6" w14:textId="77777777" w:rsidTr="00AF2E4B">
        <w:trPr>
          <w:trHeight w:val="285"/>
        </w:trPr>
        <w:tc>
          <w:tcPr>
            <w:tcW w:w="970" w:type="dxa"/>
            <w:tcBorders>
              <w:left w:val="single" w:sz="12" w:space="0" w:color="auto"/>
            </w:tcBorders>
            <w:shd w:val="clear" w:color="auto" w:fill="auto"/>
          </w:tcPr>
          <w:p w14:paraId="0E1D3853" w14:textId="77777777" w:rsidR="00215594" w:rsidRPr="00B74522" w:rsidRDefault="00215594" w:rsidP="003014E1">
            <w:pPr>
              <w:rPr>
                <w:b/>
              </w:rPr>
            </w:pPr>
            <w:r w:rsidRPr="00B74522">
              <w:rPr>
                <w:b/>
              </w:rPr>
              <w:lastRenderedPageBreak/>
              <w:t>Score</w:t>
            </w:r>
          </w:p>
        </w:tc>
        <w:tc>
          <w:tcPr>
            <w:tcW w:w="9061" w:type="dxa"/>
            <w:tcBorders>
              <w:right w:val="single" w:sz="12" w:space="0" w:color="auto"/>
            </w:tcBorders>
            <w:shd w:val="clear" w:color="auto" w:fill="auto"/>
          </w:tcPr>
          <w:p w14:paraId="12068599" w14:textId="77777777" w:rsidR="00215594" w:rsidRPr="00B74522" w:rsidRDefault="00215594" w:rsidP="003014E1">
            <w:pPr>
              <w:rPr>
                <w:b/>
              </w:rPr>
            </w:pPr>
            <w:r w:rsidRPr="00B74522">
              <w:rPr>
                <w:b/>
              </w:rPr>
              <w:t>Guidance</w:t>
            </w:r>
          </w:p>
        </w:tc>
      </w:tr>
      <w:tr w:rsidR="00215594" w:rsidRPr="003014E1" w14:paraId="418CE84A" w14:textId="77777777" w:rsidTr="00AF2E4B">
        <w:trPr>
          <w:trHeight w:val="285"/>
        </w:trPr>
        <w:tc>
          <w:tcPr>
            <w:tcW w:w="970" w:type="dxa"/>
            <w:tcBorders>
              <w:left w:val="single" w:sz="12" w:space="0" w:color="auto"/>
            </w:tcBorders>
            <w:shd w:val="clear" w:color="auto" w:fill="auto"/>
            <w:vAlign w:val="center"/>
          </w:tcPr>
          <w:p w14:paraId="72E57EBD" w14:textId="77777777" w:rsidR="00215594" w:rsidRPr="003014E1" w:rsidRDefault="00215594" w:rsidP="00F86ACD">
            <w:pPr>
              <w:spacing w:before="120" w:after="120"/>
            </w:pPr>
            <w:r w:rsidRPr="003014E1">
              <w:t>0</w:t>
            </w:r>
          </w:p>
        </w:tc>
        <w:tc>
          <w:tcPr>
            <w:tcW w:w="9061" w:type="dxa"/>
            <w:tcBorders>
              <w:right w:val="single" w:sz="12" w:space="0" w:color="auto"/>
            </w:tcBorders>
            <w:shd w:val="clear" w:color="auto" w:fill="auto"/>
          </w:tcPr>
          <w:p w14:paraId="693C18B6" w14:textId="711E0F0C" w:rsidR="00215594" w:rsidRPr="003014E1" w:rsidRDefault="00683B38" w:rsidP="00683B38">
            <w:pPr>
              <w:spacing w:before="120" w:after="120"/>
            </w:pPr>
            <w:r w:rsidRPr="00683B38">
              <w:t>A score of 0 will result if no response is given and/or if the response is not acceptable and/or does not cover the required criteria.</w:t>
            </w:r>
            <w:r w:rsidRPr="00683B38">
              <w:tab/>
            </w:r>
            <w:r w:rsidRPr="00683B38">
              <w:tab/>
            </w:r>
            <w:r w:rsidRPr="00683B38">
              <w:tab/>
            </w:r>
            <w:r w:rsidRPr="00683B38">
              <w:tab/>
            </w:r>
            <w:r w:rsidRPr="00683B38">
              <w:tab/>
            </w:r>
            <w:r w:rsidRPr="00683B38">
              <w:tab/>
            </w:r>
            <w:r w:rsidRPr="00683B38">
              <w:tab/>
            </w:r>
            <w:r w:rsidRPr="00683B38">
              <w:tab/>
            </w:r>
          </w:p>
        </w:tc>
      </w:tr>
      <w:tr w:rsidR="00215594" w:rsidRPr="003014E1" w14:paraId="70902796" w14:textId="77777777" w:rsidTr="00AF2E4B">
        <w:trPr>
          <w:trHeight w:val="285"/>
        </w:trPr>
        <w:tc>
          <w:tcPr>
            <w:tcW w:w="970" w:type="dxa"/>
            <w:tcBorders>
              <w:left w:val="single" w:sz="12" w:space="0" w:color="auto"/>
            </w:tcBorders>
            <w:shd w:val="clear" w:color="auto" w:fill="auto"/>
            <w:vAlign w:val="center"/>
          </w:tcPr>
          <w:p w14:paraId="55B8477B" w14:textId="125A2994" w:rsidR="00215594" w:rsidRPr="003014E1" w:rsidRDefault="00AD7EA7" w:rsidP="006B4AD6">
            <w:pPr>
              <w:spacing w:before="120" w:after="120"/>
            </w:pPr>
            <w:r>
              <w:t>1/2</w:t>
            </w:r>
          </w:p>
        </w:tc>
        <w:tc>
          <w:tcPr>
            <w:tcW w:w="9061" w:type="dxa"/>
            <w:tcBorders>
              <w:right w:val="single" w:sz="12" w:space="0" w:color="auto"/>
            </w:tcBorders>
            <w:shd w:val="clear" w:color="auto" w:fill="auto"/>
          </w:tcPr>
          <w:p w14:paraId="199B2968" w14:textId="444609ED" w:rsidR="00215594" w:rsidRPr="003014E1" w:rsidRDefault="00AD7EA7" w:rsidP="00AD7EA7">
            <w:pPr>
              <w:spacing w:before="120" w:after="120"/>
            </w:pPr>
            <w:r>
              <w:t>A</w:t>
            </w:r>
            <w:r w:rsidRPr="00683B38">
              <w:t xml:space="preserve"> score in this range will reflect that the bidder has not have provided evidence to suggest how they will address a number of or elements of the requirements.  Tenders </w:t>
            </w:r>
            <w:proofErr w:type="gramStart"/>
            <w:r w:rsidRPr="00683B38">
              <w:t>will in parts be</w:t>
            </w:r>
            <w:proofErr w:type="gramEnd"/>
            <w:r w:rsidRPr="00683B38">
              <w:t xml:space="preserve"> sketchy with little or no detail given on how they will meet project requirements.  Evidence provided </w:t>
            </w:r>
            <w:proofErr w:type="gramStart"/>
            <w:r w:rsidRPr="00683B38">
              <w:t>is considered</w:t>
            </w:r>
            <w:proofErr w:type="gramEnd"/>
            <w:r w:rsidRPr="00683B38">
              <w:t xml:space="preserve"> weak or inappropriate and it is unclear on how this relates to desired outcomes.</w:t>
            </w:r>
            <w:r w:rsidRPr="00683B38">
              <w:tab/>
            </w:r>
            <w:r w:rsidR="006B4AD6">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p>
        </w:tc>
      </w:tr>
      <w:tr w:rsidR="00215594" w:rsidRPr="003014E1" w14:paraId="2C313651" w14:textId="77777777" w:rsidTr="00AF2E4B">
        <w:trPr>
          <w:trHeight w:val="285"/>
        </w:trPr>
        <w:tc>
          <w:tcPr>
            <w:tcW w:w="970" w:type="dxa"/>
            <w:tcBorders>
              <w:left w:val="single" w:sz="12" w:space="0" w:color="auto"/>
            </w:tcBorders>
            <w:shd w:val="clear" w:color="auto" w:fill="auto"/>
            <w:vAlign w:val="center"/>
          </w:tcPr>
          <w:p w14:paraId="42422AA2" w14:textId="57A9FC71" w:rsidR="00215594" w:rsidRPr="003014E1" w:rsidRDefault="00AD7EA7" w:rsidP="00F86ACD">
            <w:pPr>
              <w:spacing w:before="120" w:after="120"/>
            </w:pPr>
            <w:r>
              <w:t>3</w:t>
            </w:r>
          </w:p>
        </w:tc>
        <w:tc>
          <w:tcPr>
            <w:tcW w:w="9061" w:type="dxa"/>
            <w:tcBorders>
              <w:right w:val="single" w:sz="12" w:space="0" w:color="auto"/>
            </w:tcBorders>
            <w:shd w:val="clear" w:color="auto" w:fill="auto"/>
          </w:tcPr>
          <w:p w14:paraId="7F6A4DA2" w14:textId="49068B95" w:rsidR="00215594" w:rsidRPr="003014E1" w:rsidRDefault="00AD7EA7" w:rsidP="00AD7EA7">
            <w:pPr>
              <w:spacing w:before="120" w:after="120"/>
            </w:pPr>
            <w:r w:rsidRPr="00683B38">
              <w:t xml:space="preserve">A score of 3 will reflect that bidders have addressed the majority of the requirements as stated in the specification but will lack some clarity or detail in how the proposed solutions </w:t>
            </w:r>
            <w:proofErr w:type="gramStart"/>
            <w:r w:rsidRPr="00683B38">
              <w:t>will be achieved</w:t>
            </w:r>
            <w:proofErr w:type="gramEnd"/>
            <w:r w:rsidRPr="00683B38">
              <w:t xml:space="preserve">.  Evidence provided, while giving generic or general statements, </w:t>
            </w:r>
            <w:proofErr w:type="gramStart"/>
            <w:r w:rsidRPr="00683B38">
              <w:t>is not specifically directed</w:t>
            </w:r>
            <w:proofErr w:type="gramEnd"/>
            <w:r w:rsidRPr="00683B38">
              <w:t xml:space="preserve"> toward the aims/objectives of this project.  Any significant omission of key information will point towards a score of 3 at most.</w:t>
            </w:r>
            <w:r w:rsidRPr="00683B38">
              <w:tab/>
            </w:r>
            <w:r w:rsidR="0007403F">
              <w:tab/>
            </w:r>
            <w:r w:rsidR="0007403F">
              <w:tab/>
            </w:r>
            <w:r w:rsidR="0007403F">
              <w:tab/>
            </w:r>
            <w:r w:rsidR="0007403F">
              <w:tab/>
            </w:r>
            <w:r w:rsidR="0007403F">
              <w:tab/>
            </w:r>
            <w:r w:rsidR="0007403F">
              <w:tab/>
            </w:r>
            <w:r w:rsidR="0007403F">
              <w:tab/>
            </w:r>
            <w:r w:rsidR="0007403F">
              <w:tab/>
            </w:r>
            <w:r w:rsidR="0007403F">
              <w:tab/>
            </w:r>
            <w:r w:rsidR="00683B38" w:rsidRPr="00683B38">
              <w:tab/>
            </w:r>
            <w:r w:rsidR="00683B38" w:rsidRPr="00683B38">
              <w:tab/>
            </w:r>
          </w:p>
        </w:tc>
      </w:tr>
      <w:tr w:rsidR="00215594" w:rsidRPr="003014E1" w14:paraId="623E1B67" w14:textId="77777777" w:rsidTr="00AF2E4B">
        <w:trPr>
          <w:trHeight w:val="285"/>
        </w:trPr>
        <w:tc>
          <w:tcPr>
            <w:tcW w:w="970" w:type="dxa"/>
            <w:tcBorders>
              <w:left w:val="single" w:sz="12" w:space="0" w:color="auto"/>
            </w:tcBorders>
            <w:shd w:val="clear" w:color="auto" w:fill="auto"/>
            <w:vAlign w:val="center"/>
          </w:tcPr>
          <w:p w14:paraId="76FD7BA4" w14:textId="393D2AEA" w:rsidR="00215594" w:rsidRPr="003014E1" w:rsidRDefault="00AD7EA7" w:rsidP="00F86ACD">
            <w:pPr>
              <w:spacing w:before="120" w:after="120"/>
            </w:pPr>
            <w:r>
              <w:t>4</w:t>
            </w:r>
          </w:p>
        </w:tc>
        <w:tc>
          <w:tcPr>
            <w:tcW w:w="9061" w:type="dxa"/>
            <w:tcBorders>
              <w:right w:val="single" w:sz="12" w:space="0" w:color="auto"/>
            </w:tcBorders>
            <w:shd w:val="clear" w:color="auto" w:fill="auto"/>
          </w:tcPr>
          <w:p w14:paraId="757D47F3" w14:textId="5143A4C1" w:rsidR="00215594" w:rsidRPr="003014E1" w:rsidRDefault="00AD7EA7" w:rsidP="00AD7EA7">
            <w:pPr>
              <w:spacing w:before="120" w:after="120"/>
            </w:pPr>
            <w:r w:rsidRPr="00683B38">
              <w:t xml:space="preserve">A score of 4 will reflect that bidders have addressed, in some detail, all or the great majority of requirements as stated in the specification.  Evidence </w:t>
            </w:r>
            <w:proofErr w:type="gramStart"/>
            <w:r w:rsidRPr="00683B38">
              <w:t>will have been provided</w:t>
            </w:r>
            <w:proofErr w:type="gramEnd"/>
            <w:r w:rsidRPr="00683B38">
              <w:t xml:space="preserve"> to show not only what will be achieved but will give some detail on how this will be achieved.  Bidders have made clear how their proposals relate directly to the aims of the project and provide specific, rather than general, evidence of the way proposed solutions will deliver the desired outcomes.</w:t>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p>
        </w:tc>
      </w:tr>
      <w:tr w:rsidR="00215594" w:rsidRPr="003014E1" w14:paraId="2616C255" w14:textId="77777777" w:rsidTr="00AF2E4B">
        <w:trPr>
          <w:trHeight w:val="285"/>
        </w:trPr>
        <w:tc>
          <w:tcPr>
            <w:tcW w:w="970" w:type="dxa"/>
            <w:tcBorders>
              <w:left w:val="single" w:sz="12" w:space="0" w:color="auto"/>
              <w:bottom w:val="single" w:sz="12" w:space="0" w:color="auto"/>
            </w:tcBorders>
            <w:shd w:val="clear" w:color="auto" w:fill="auto"/>
            <w:vAlign w:val="center"/>
          </w:tcPr>
          <w:p w14:paraId="03AE2E71" w14:textId="75F34327" w:rsidR="00215594" w:rsidRPr="003014E1" w:rsidRDefault="00AD7EA7" w:rsidP="00F86ACD">
            <w:pPr>
              <w:spacing w:before="120" w:after="120"/>
            </w:pPr>
            <w:r>
              <w:t>5</w:t>
            </w:r>
          </w:p>
        </w:tc>
        <w:tc>
          <w:tcPr>
            <w:tcW w:w="9061" w:type="dxa"/>
            <w:tcBorders>
              <w:bottom w:val="single" w:sz="12" w:space="0" w:color="auto"/>
              <w:right w:val="single" w:sz="12" w:space="0" w:color="auto"/>
            </w:tcBorders>
            <w:shd w:val="clear" w:color="auto" w:fill="auto"/>
          </w:tcPr>
          <w:p w14:paraId="4C38475E" w14:textId="0A78B147" w:rsidR="00215594" w:rsidRPr="003014E1" w:rsidRDefault="00AD7EA7" w:rsidP="0007403F">
            <w:pPr>
              <w:spacing w:before="120" w:after="120"/>
            </w:pPr>
            <w:r w:rsidRPr="00AD7EA7">
              <w:t xml:space="preserve">A score of 5 will reflect that bidders demonstrate a deep understanding of the project, as well as addressing all, or the vast majority, of requirements as stated in the specification.  All solutions offered are linked directly to project requirements, show how they will be delivered and provide clear evidence of the impact that they </w:t>
            </w:r>
            <w:r w:rsidRPr="00AD7EA7">
              <w:lastRenderedPageBreak/>
              <w:t xml:space="preserve">will have on the requirements, and on other areas/stakeholders.  Proposals contain novel or creative ideas which are realistic and which would enhance the service provision.  To achieve a score of 5, bids would exceed normal expectations and </w:t>
            </w:r>
            <w:proofErr w:type="gramStart"/>
            <w:r w:rsidRPr="00AD7EA7">
              <w:t>should clearly be seen</w:t>
            </w:r>
            <w:proofErr w:type="gramEnd"/>
            <w:r w:rsidRPr="00AD7EA7">
              <w:t xml:space="preserve"> as offering value added solutions.</w:t>
            </w:r>
            <w:r w:rsidRPr="00AD7EA7">
              <w:tab/>
            </w:r>
            <w:r w:rsidRPr="00AD7EA7">
              <w:tab/>
            </w:r>
            <w:r w:rsidRPr="00AD7EA7">
              <w:tab/>
            </w:r>
            <w:r w:rsidRPr="00AD7EA7">
              <w:tab/>
            </w:r>
            <w:r w:rsidRPr="00AD7EA7">
              <w:tab/>
            </w:r>
            <w:r w:rsidRPr="00AD7EA7">
              <w:tab/>
            </w:r>
            <w:r w:rsidRPr="00AD7EA7">
              <w:tab/>
            </w:r>
            <w:r w:rsidRPr="00AD7EA7">
              <w:tab/>
            </w:r>
            <w:r w:rsidRPr="00AD7EA7">
              <w:tab/>
            </w:r>
            <w:r w:rsidRPr="00AD7EA7">
              <w:tab/>
            </w:r>
            <w:r w:rsidRPr="00AD7EA7">
              <w:tab/>
            </w:r>
            <w:r w:rsidRPr="00AD7EA7">
              <w:tab/>
            </w:r>
            <w:r w:rsidRPr="00AD7EA7">
              <w:tab/>
            </w:r>
            <w:r w:rsidRPr="00AD7EA7">
              <w:tab/>
            </w:r>
            <w:r w:rsidRPr="00AD7EA7">
              <w:tab/>
            </w:r>
            <w:r w:rsidRPr="00AD7EA7">
              <w:tab/>
            </w:r>
            <w:r w:rsidRPr="00AD7EA7">
              <w:tab/>
            </w:r>
          </w:p>
        </w:tc>
      </w:tr>
    </w:tbl>
    <w:p w14:paraId="6542C2E4" w14:textId="77777777" w:rsidR="00801F06" w:rsidRDefault="00801F06">
      <w:pPr>
        <w:rPr>
          <w:b/>
          <w:sz w:val="28"/>
          <w:szCs w:val="28"/>
        </w:rPr>
      </w:pPr>
      <w:bookmarkStart w:id="57" w:name="_Toc309139701"/>
    </w:p>
    <w:p w14:paraId="7DD13468" w14:textId="143D2637" w:rsidR="00137F0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7"/>
    </w:p>
    <w:p w14:paraId="08EFB8CB" w14:textId="77777777" w:rsidR="00786785" w:rsidRPr="00B74522" w:rsidRDefault="00786785" w:rsidP="003014E1">
      <w:pPr>
        <w:rPr>
          <w:b/>
          <w:sz w:val="28"/>
          <w:szCs w:val="28"/>
        </w:rPr>
      </w:pPr>
    </w:p>
    <w:p w14:paraId="4BA9FE40" w14:textId="41038A30" w:rsidR="00C109DD" w:rsidRDefault="00C109DD" w:rsidP="00C109DD">
      <w:bookmarkStart w:id="58" w:name="_Toc270073007"/>
      <w:bookmarkStart w:id="59" w:name="_Ref271010389"/>
      <w:bookmarkStart w:id="60" w:name="_Toc309139702"/>
      <w:r>
        <w:t>Tend</w:t>
      </w:r>
      <w:r w:rsidR="00190E59">
        <w:t>er evaluation will</w:t>
      </w:r>
      <w:r>
        <w:t xml:space="preserve"> comprise three stages:</w:t>
      </w:r>
    </w:p>
    <w:p w14:paraId="36BCD7F6" w14:textId="31D55D80" w:rsidR="0025216D" w:rsidRDefault="0025216D" w:rsidP="005337B2">
      <w:pPr>
        <w:pStyle w:val="ListParagraph"/>
        <w:numPr>
          <w:ilvl w:val="0"/>
          <w:numId w:val="34"/>
        </w:numPr>
      </w:pPr>
      <w:r>
        <w:t xml:space="preserve">Mandatory Questions – Pass/Fail. Only those </w:t>
      </w:r>
      <w:r w:rsidR="0083323A">
        <w:t xml:space="preserve">tenders that </w:t>
      </w:r>
      <w:r w:rsidR="00786785">
        <w:t xml:space="preserve">pass the </w:t>
      </w:r>
      <w:r w:rsidR="0083323A">
        <w:t>Mandatory</w:t>
      </w:r>
      <w:r w:rsidR="00786785">
        <w:t xml:space="preserve"> section will proceed to the next stages of evaluation.</w:t>
      </w:r>
    </w:p>
    <w:p w14:paraId="5A495DC2" w14:textId="1459BC8C" w:rsidR="00786785" w:rsidRDefault="00786785" w:rsidP="00786785"/>
    <w:p w14:paraId="314C66EB" w14:textId="5B851A78" w:rsidR="00C109DD" w:rsidRDefault="00C109DD" w:rsidP="005337B2">
      <w:pPr>
        <w:pStyle w:val="ListParagraph"/>
        <w:numPr>
          <w:ilvl w:val="0"/>
          <w:numId w:val="34"/>
        </w:numPr>
      </w:pPr>
      <w:r>
        <w:t>Technical evaluation – scoring of the un-priced technical responses required in the Tender by an independent evaluation panel using the scores per criterion set out in that section and with the technical criteria weighted according to the table below:</w:t>
      </w:r>
    </w:p>
    <w:p w14:paraId="0050AD95" w14:textId="77777777" w:rsidR="00E5399B" w:rsidRDefault="00E5399B" w:rsidP="00E5399B"/>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700"/>
      </w:tblGrid>
      <w:tr w:rsidR="00E5399B" w:rsidRPr="004824AD" w14:paraId="524E0890" w14:textId="77777777" w:rsidTr="00BF2DBE">
        <w:trPr>
          <w:trHeight w:val="394"/>
        </w:trPr>
        <w:tc>
          <w:tcPr>
            <w:tcW w:w="6480" w:type="dxa"/>
            <w:shd w:val="clear" w:color="auto" w:fill="92CDDC" w:themeFill="accent5" w:themeFillTint="99"/>
            <w:vAlign w:val="center"/>
          </w:tcPr>
          <w:p w14:paraId="21FC059D" w14:textId="77777777" w:rsidR="00E5399B" w:rsidRPr="00190E59" w:rsidRDefault="00E5399B" w:rsidP="00BF2DBE">
            <w:pPr>
              <w:tabs>
                <w:tab w:val="left" w:pos="0"/>
              </w:tabs>
              <w:rPr>
                <w:rFonts w:cs="Arial"/>
                <w:b/>
              </w:rPr>
            </w:pPr>
            <w:r w:rsidRPr="00190E59">
              <w:rPr>
                <w:rFonts w:cs="Arial"/>
                <w:b/>
              </w:rPr>
              <w:t xml:space="preserve">Technical Criterion </w:t>
            </w:r>
          </w:p>
        </w:tc>
        <w:tc>
          <w:tcPr>
            <w:tcW w:w="2700" w:type="dxa"/>
            <w:shd w:val="clear" w:color="auto" w:fill="92CDDC" w:themeFill="accent5" w:themeFillTint="99"/>
            <w:vAlign w:val="center"/>
          </w:tcPr>
          <w:p w14:paraId="5C701121" w14:textId="77777777" w:rsidR="00E5399B" w:rsidRPr="00190E59" w:rsidRDefault="00E5399B" w:rsidP="00BF2DBE">
            <w:pPr>
              <w:tabs>
                <w:tab w:val="left" w:pos="0"/>
              </w:tabs>
              <w:jc w:val="center"/>
              <w:rPr>
                <w:rFonts w:cs="Arial"/>
                <w:b/>
              </w:rPr>
            </w:pPr>
            <w:r w:rsidRPr="00190E59">
              <w:rPr>
                <w:rFonts w:cs="Arial"/>
                <w:b/>
              </w:rPr>
              <w:t>Weighting</w:t>
            </w:r>
          </w:p>
        </w:tc>
      </w:tr>
      <w:tr w:rsidR="00E5399B" w:rsidRPr="00641D8B" w14:paraId="176E8253" w14:textId="77777777" w:rsidTr="00BF2DBE">
        <w:trPr>
          <w:trHeight w:val="276"/>
        </w:trPr>
        <w:tc>
          <w:tcPr>
            <w:tcW w:w="6480" w:type="dxa"/>
            <w:shd w:val="clear" w:color="auto" w:fill="auto"/>
            <w:vAlign w:val="center"/>
          </w:tcPr>
          <w:p w14:paraId="16AB5388" w14:textId="3CAF7770" w:rsidR="00E5399B" w:rsidRPr="00ED407C" w:rsidRDefault="00ED407C" w:rsidP="00ED407C">
            <w:pPr>
              <w:tabs>
                <w:tab w:val="left" w:pos="0"/>
              </w:tabs>
              <w:spacing w:before="120" w:after="120" w:line="280" w:lineRule="atLeast"/>
              <w:rPr>
                <w:rFonts w:cs="Arial"/>
                <w:bCs/>
              </w:rPr>
            </w:pPr>
            <w:r>
              <w:rPr>
                <w:rFonts w:cs="Arial"/>
              </w:rPr>
              <w:t>Experience</w:t>
            </w:r>
          </w:p>
        </w:tc>
        <w:tc>
          <w:tcPr>
            <w:tcW w:w="2700" w:type="dxa"/>
            <w:shd w:val="clear" w:color="auto" w:fill="auto"/>
            <w:vAlign w:val="center"/>
          </w:tcPr>
          <w:p w14:paraId="45B04C5E" w14:textId="420C2933" w:rsidR="00E5399B" w:rsidRPr="00190E59" w:rsidRDefault="00814134" w:rsidP="00814134">
            <w:pPr>
              <w:tabs>
                <w:tab w:val="left" w:pos="0"/>
              </w:tabs>
              <w:jc w:val="center"/>
              <w:rPr>
                <w:rFonts w:cs="Arial"/>
              </w:rPr>
            </w:pPr>
            <w:r>
              <w:rPr>
                <w:rFonts w:cs="Arial"/>
              </w:rPr>
              <w:t>50</w:t>
            </w:r>
            <w:r w:rsidR="00E5399B" w:rsidRPr="00190E59">
              <w:rPr>
                <w:rFonts w:cs="Arial"/>
              </w:rPr>
              <w:t>%</w:t>
            </w:r>
          </w:p>
        </w:tc>
      </w:tr>
      <w:tr w:rsidR="00E5399B" w:rsidRPr="00641D8B" w14:paraId="3CC63563" w14:textId="77777777" w:rsidTr="00BF2DBE">
        <w:trPr>
          <w:trHeight w:val="163"/>
        </w:trPr>
        <w:tc>
          <w:tcPr>
            <w:tcW w:w="6480" w:type="dxa"/>
            <w:shd w:val="clear" w:color="auto" w:fill="auto"/>
            <w:vAlign w:val="center"/>
          </w:tcPr>
          <w:p w14:paraId="24364F6A" w14:textId="77777777" w:rsidR="00ED407C" w:rsidRPr="00ED407C" w:rsidRDefault="00ED407C" w:rsidP="00ED407C">
            <w:pPr>
              <w:rPr>
                <w:rFonts w:cs="Arial"/>
                <w:lang w:eastAsia="en-GB"/>
              </w:rPr>
            </w:pPr>
            <w:r w:rsidRPr="00ED407C">
              <w:rPr>
                <w:rFonts w:cs="Arial"/>
              </w:rPr>
              <w:t>K</w:t>
            </w:r>
            <w:r w:rsidRPr="00ED407C">
              <w:rPr>
                <w:rFonts w:cs="Arial"/>
                <w:lang w:eastAsia="en-GB"/>
              </w:rPr>
              <w:t xml:space="preserve">nowledge of theory and techniques </w:t>
            </w:r>
          </w:p>
          <w:p w14:paraId="058A6B45" w14:textId="290AF3C3" w:rsidR="00E5399B" w:rsidRPr="00ED407C" w:rsidRDefault="00E5399B" w:rsidP="00ED407C">
            <w:pPr>
              <w:rPr>
                <w:rFonts w:cs="Arial"/>
                <w:bCs/>
              </w:rPr>
            </w:pPr>
          </w:p>
        </w:tc>
        <w:tc>
          <w:tcPr>
            <w:tcW w:w="2700" w:type="dxa"/>
            <w:shd w:val="clear" w:color="auto" w:fill="auto"/>
            <w:vAlign w:val="center"/>
          </w:tcPr>
          <w:p w14:paraId="2A41E3A0" w14:textId="56736AEB" w:rsidR="00E5399B" w:rsidRPr="00190E59" w:rsidRDefault="00814134" w:rsidP="00814134">
            <w:pPr>
              <w:tabs>
                <w:tab w:val="left" w:pos="0"/>
              </w:tabs>
              <w:jc w:val="center"/>
              <w:rPr>
                <w:rFonts w:cs="Arial"/>
              </w:rPr>
            </w:pPr>
            <w:r>
              <w:rPr>
                <w:rFonts w:cs="Arial"/>
              </w:rPr>
              <w:t>35</w:t>
            </w:r>
            <w:r w:rsidR="00E5399B" w:rsidRPr="00190E59">
              <w:rPr>
                <w:rFonts w:cs="Arial"/>
              </w:rPr>
              <w:t>%</w:t>
            </w:r>
          </w:p>
        </w:tc>
      </w:tr>
      <w:tr w:rsidR="00E5399B" w:rsidRPr="00641D8B" w14:paraId="18587008" w14:textId="77777777" w:rsidTr="00BF2DBE">
        <w:trPr>
          <w:trHeight w:val="186"/>
        </w:trPr>
        <w:tc>
          <w:tcPr>
            <w:tcW w:w="6480" w:type="dxa"/>
            <w:shd w:val="clear" w:color="auto" w:fill="auto"/>
            <w:vAlign w:val="center"/>
          </w:tcPr>
          <w:p w14:paraId="1AFADCA7" w14:textId="034FA3F2" w:rsidR="00E5399B" w:rsidRPr="00ED407C" w:rsidRDefault="00ED407C" w:rsidP="00ED407C">
            <w:pPr>
              <w:tabs>
                <w:tab w:val="left" w:pos="0"/>
              </w:tabs>
              <w:spacing w:before="120" w:after="120"/>
              <w:rPr>
                <w:rFonts w:cs="Arial"/>
                <w:bCs/>
              </w:rPr>
            </w:pPr>
            <w:r>
              <w:rPr>
                <w:rFonts w:cs="Arial"/>
                <w:bCs/>
              </w:rPr>
              <w:t>U</w:t>
            </w:r>
            <w:r w:rsidR="00814134" w:rsidRPr="00ED407C">
              <w:rPr>
                <w:rFonts w:cs="Arial"/>
              </w:rPr>
              <w:t>nderstanding of early years and primary accountability context.</w:t>
            </w:r>
            <w:r w:rsidRPr="00ED407C">
              <w:rPr>
                <w:rFonts w:cs="Arial"/>
              </w:rPr>
              <w:t xml:space="preserve"> </w:t>
            </w:r>
          </w:p>
        </w:tc>
        <w:tc>
          <w:tcPr>
            <w:tcW w:w="2700" w:type="dxa"/>
            <w:shd w:val="clear" w:color="auto" w:fill="auto"/>
            <w:vAlign w:val="center"/>
          </w:tcPr>
          <w:p w14:paraId="24EFA34C" w14:textId="1B0BB380" w:rsidR="00E5399B" w:rsidRPr="00190E59" w:rsidRDefault="00E5399B" w:rsidP="00BF2DBE">
            <w:pPr>
              <w:tabs>
                <w:tab w:val="left" w:pos="0"/>
              </w:tabs>
              <w:jc w:val="center"/>
              <w:rPr>
                <w:rFonts w:cs="Arial"/>
              </w:rPr>
            </w:pPr>
            <w:r w:rsidRPr="00190E59">
              <w:rPr>
                <w:rFonts w:cs="Arial"/>
              </w:rPr>
              <w:t>15%</w:t>
            </w:r>
          </w:p>
        </w:tc>
      </w:tr>
    </w:tbl>
    <w:p w14:paraId="075546DE" w14:textId="77777777" w:rsidR="005337B2" w:rsidRDefault="005337B2" w:rsidP="00E5399B">
      <w:pPr>
        <w:ind w:left="360"/>
      </w:pPr>
    </w:p>
    <w:p w14:paraId="30EC89C7" w14:textId="38597909" w:rsidR="00C109DD" w:rsidRDefault="00C109DD" w:rsidP="005337B2">
      <w:pPr>
        <w:pStyle w:val="ListParagraph"/>
        <w:numPr>
          <w:ilvl w:val="0"/>
          <w:numId w:val="34"/>
        </w:numPr>
      </w:pPr>
      <w:r>
        <w:t>Commercial evaluation – assessment of the price for the services as set out in the pricing schedule</w:t>
      </w:r>
    </w:p>
    <w:p w14:paraId="683BF45C" w14:textId="77777777" w:rsidR="005337B2" w:rsidRDefault="005337B2" w:rsidP="00C109DD"/>
    <w:p w14:paraId="10503E87" w14:textId="663A5E2E" w:rsidR="00C109DD" w:rsidRDefault="00C109DD" w:rsidP="00C109DD">
      <w:r>
        <w:t xml:space="preserve">The technical and commercial evaluation scores </w:t>
      </w:r>
      <w:proofErr w:type="gramStart"/>
      <w:r>
        <w:t>will then be combined</w:t>
      </w:r>
      <w:proofErr w:type="gramEnd"/>
      <w:r>
        <w:t xml:space="preserve"> using the following methodology:</w:t>
      </w:r>
    </w:p>
    <w:p w14:paraId="717B7CE8" w14:textId="5F1A4B9B" w:rsidR="00C109DD" w:rsidRDefault="00C109DD" w:rsidP="005337B2">
      <w:pPr>
        <w:pStyle w:val="ListParagraph"/>
        <w:numPr>
          <w:ilvl w:val="0"/>
          <w:numId w:val="35"/>
        </w:numPr>
      </w:pPr>
      <w:r>
        <w:t>Technical Score = 100 x (Tenderer's technical score / Best technical score)</w:t>
      </w:r>
    </w:p>
    <w:p w14:paraId="2973D581" w14:textId="0ED35F84" w:rsidR="00C109DD" w:rsidRDefault="00C109DD" w:rsidP="005337B2">
      <w:pPr>
        <w:pStyle w:val="ListParagraph"/>
        <w:numPr>
          <w:ilvl w:val="0"/>
          <w:numId w:val="35"/>
        </w:numPr>
      </w:pPr>
      <w:r>
        <w:t>Price Score = 100 x (Lowest price / Tenderer's price)</w:t>
      </w:r>
    </w:p>
    <w:p w14:paraId="5BD28E0D" w14:textId="5E03F523" w:rsidR="00C109DD" w:rsidRDefault="00C109DD" w:rsidP="005337B2">
      <w:pPr>
        <w:pStyle w:val="ListParagraph"/>
        <w:numPr>
          <w:ilvl w:val="0"/>
          <w:numId w:val="35"/>
        </w:numPr>
      </w:pPr>
      <w:r>
        <w:lastRenderedPageBreak/>
        <w:t>Combined Score = (70% x Technical Score) + (30% x Price Score)</w:t>
      </w:r>
    </w:p>
    <w:p w14:paraId="79538930" w14:textId="564DB3B6" w:rsidR="00C109DD" w:rsidRDefault="00814134" w:rsidP="005337B2">
      <w:pPr>
        <w:pStyle w:val="ListParagraph"/>
        <w:numPr>
          <w:ilvl w:val="0"/>
          <w:numId w:val="35"/>
        </w:numPr>
      </w:pPr>
      <w:r>
        <w:t xml:space="preserve">The award </w:t>
      </w:r>
      <w:proofErr w:type="gramStart"/>
      <w:r>
        <w:t>will be made</w:t>
      </w:r>
      <w:proofErr w:type="gramEnd"/>
      <w:r>
        <w:t xml:space="preserve"> to the top three tenders based on combined score.</w:t>
      </w:r>
    </w:p>
    <w:p w14:paraId="7E5AA3C7" w14:textId="77777777" w:rsidR="0084724F" w:rsidRDefault="0084724F" w:rsidP="003014E1"/>
    <w:p w14:paraId="7EE85CBF" w14:textId="77777777" w:rsidR="0007403F" w:rsidRDefault="0007403F">
      <w:pPr>
        <w:rPr>
          <w:b/>
          <w:sz w:val="32"/>
          <w:szCs w:val="32"/>
        </w:rPr>
      </w:pPr>
      <w:r>
        <w:rPr>
          <w:b/>
          <w:sz w:val="32"/>
          <w:szCs w:val="32"/>
        </w:rPr>
        <w:br w:type="page"/>
      </w:r>
    </w:p>
    <w:p w14:paraId="134F4862" w14:textId="267202F6"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63989D82" w14:textId="0A5D6F9B" w:rsidR="00AF2E4B" w:rsidRDefault="00AF2E4B" w:rsidP="003014E1">
      <w:bookmarkStart w:id="61" w:name="_Toc309139703"/>
      <w:bookmarkEnd w:id="58"/>
      <w:bookmarkEnd w:id="59"/>
      <w:bookmarkEnd w:id="60"/>
    </w:p>
    <w:p w14:paraId="3D8F438F" w14:textId="13A0243B" w:rsidR="00F16DCB" w:rsidRDefault="00814134" w:rsidP="003014E1">
      <w:r>
        <w:rPr>
          <w:b/>
          <w:sz w:val="28"/>
          <w:szCs w:val="28"/>
        </w:rPr>
        <w:t xml:space="preserve">5.1 </w:t>
      </w:r>
      <w:r w:rsidR="0083323A">
        <w:rPr>
          <w:b/>
          <w:sz w:val="28"/>
          <w:szCs w:val="28"/>
        </w:rPr>
        <w:t>Mandatory</w:t>
      </w:r>
      <w:r>
        <w:rPr>
          <w:b/>
          <w:sz w:val="28"/>
          <w:szCs w:val="28"/>
        </w:rPr>
        <w:t xml:space="preserve"> Questions</w:t>
      </w:r>
    </w:p>
    <w:p w14:paraId="54612A8C" w14:textId="7170DC43" w:rsidR="00F16DCB" w:rsidRDefault="00F16DCB" w:rsidP="00F16DCB"/>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574"/>
        <w:gridCol w:w="4409"/>
        <w:gridCol w:w="5615"/>
      </w:tblGrid>
      <w:tr w:rsidR="00814134" w:rsidRPr="00786785" w14:paraId="428E8390" w14:textId="77777777" w:rsidTr="0083323A">
        <w:trPr>
          <w:trHeight w:val="189"/>
        </w:trPr>
        <w:tc>
          <w:tcPr>
            <w:tcW w:w="4928" w:type="dxa"/>
            <w:gridSpan w:val="2"/>
            <w:tcBorders>
              <w:left w:val="single" w:sz="12" w:space="0" w:color="auto"/>
            </w:tcBorders>
            <w:shd w:val="clear" w:color="auto" w:fill="D9D9D9"/>
          </w:tcPr>
          <w:p w14:paraId="3CF71D2C" w14:textId="77777777" w:rsidR="00814134" w:rsidRPr="00786785" w:rsidRDefault="00814134" w:rsidP="0083323A">
            <w:pPr>
              <w:rPr>
                <w:rFonts w:cs="Arial"/>
                <w:b/>
                <w:bCs/>
                <w:lang w:eastAsia="en-GB"/>
              </w:rPr>
            </w:pPr>
            <w:r w:rsidRPr="00786785">
              <w:rPr>
                <w:rFonts w:cs="Arial"/>
                <w:b/>
                <w:bCs/>
                <w:lang w:eastAsia="en-GB"/>
              </w:rPr>
              <w:t>Evaluation Section 1: Mandatory Requirements</w:t>
            </w:r>
          </w:p>
        </w:tc>
        <w:tc>
          <w:tcPr>
            <w:tcW w:w="5552" w:type="dxa"/>
            <w:tcBorders>
              <w:right w:val="single" w:sz="12" w:space="0" w:color="auto"/>
            </w:tcBorders>
            <w:shd w:val="clear" w:color="auto" w:fill="D9D9D9"/>
          </w:tcPr>
          <w:p w14:paraId="6F26E790" w14:textId="77777777" w:rsidR="00814134" w:rsidRPr="00786785" w:rsidRDefault="00814134" w:rsidP="0083323A">
            <w:pPr>
              <w:rPr>
                <w:rFonts w:cs="Arial"/>
                <w:b/>
                <w:bCs/>
                <w:lang w:eastAsia="en-GB"/>
              </w:rPr>
            </w:pPr>
            <w:r w:rsidRPr="00786785">
              <w:rPr>
                <w:rFonts w:cs="Arial"/>
                <w:b/>
                <w:bCs/>
                <w:lang w:eastAsia="en-GB"/>
              </w:rPr>
              <w:t>Section Weighting: Pass/Fail</w:t>
            </w:r>
          </w:p>
        </w:tc>
      </w:tr>
      <w:tr w:rsidR="00814134" w:rsidRPr="00786785" w14:paraId="60C02E04" w14:textId="77777777" w:rsidTr="0083323A">
        <w:tblPrEx>
          <w:shd w:val="clear" w:color="auto" w:fill="auto"/>
        </w:tblPrEx>
        <w:trPr>
          <w:trHeight w:val="165"/>
        </w:trPr>
        <w:tc>
          <w:tcPr>
            <w:tcW w:w="568" w:type="dxa"/>
            <w:tcBorders>
              <w:left w:val="single" w:sz="12" w:space="0" w:color="auto"/>
              <w:bottom w:val="single" w:sz="4" w:space="0" w:color="auto"/>
            </w:tcBorders>
            <w:shd w:val="clear" w:color="auto" w:fill="D9D9D9"/>
          </w:tcPr>
          <w:p w14:paraId="7059F5B7" w14:textId="77777777" w:rsidR="00814134" w:rsidRPr="00786785" w:rsidRDefault="00814134" w:rsidP="0083323A">
            <w:pPr>
              <w:ind w:right="-249"/>
              <w:rPr>
                <w:rFonts w:cs="Arial"/>
                <w:b/>
                <w:lang w:eastAsia="en-GB"/>
              </w:rPr>
            </w:pPr>
            <w:r w:rsidRPr="00786785">
              <w:rPr>
                <w:rFonts w:cs="Arial"/>
                <w:b/>
                <w:lang w:eastAsia="en-GB"/>
              </w:rPr>
              <w:t>Ref</w:t>
            </w:r>
          </w:p>
        </w:tc>
        <w:tc>
          <w:tcPr>
            <w:tcW w:w="9912" w:type="dxa"/>
            <w:gridSpan w:val="2"/>
            <w:tcBorders>
              <w:bottom w:val="single" w:sz="4" w:space="0" w:color="auto"/>
              <w:right w:val="single" w:sz="12" w:space="0" w:color="auto"/>
            </w:tcBorders>
            <w:shd w:val="clear" w:color="auto" w:fill="D9D9D9"/>
          </w:tcPr>
          <w:p w14:paraId="4634557B" w14:textId="77777777" w:rsidR="00814134" w:rsidRPr="00786785" w:rsidRDefault="00814134" w:rsidP="0083323A">
            <w:pPr>
              <w:jc w:val="center"/>
              <w:rPr>
                <w:rFonts w:cs="Arial"/>
                <w:b/>
                <w:lang w:eastAsia="en-GB"/>
              </w:rPr>
            </w:pPr>
            <w:r w:rsidRPr="00786785">
              <w:rPr>
                <w:rFonts w:cs="Arial"/>
                <w:b/>
                <w:lang w:eastAsia="en-GB"/>
              </w:rPr>
              <w:t>Question(s)</w:t>
            </w:r>
          </w:p>
        </w:tc>
      </w:tr>
      <w:tr w:rsidR="00814134" w:rsidRPr="00786785" w14:paraId="73CEFFBF" w14:textId="77777777" w:rsidTr="0083323A">
        <w:tblPrEx>
          <w:shd w:val="clear" w:color="auto" w:fill="auto"/>
        </w:tblPrEx>
        <w:trPr>
          <w:trHeight w:val="243"/>
        </w:trPr>
        <w:tc>
          <w:tcPr>
            <w:tcW w:w="568" w:type="dxa"/>
            <w:tcBorders>
              <w:left w:val="single" w:sz="12" w:space="0" w:color="auto"/>
            </w:tcBorders>
            <w:shd w:val="clear" w:color="auto" w:fill="auto"/>
          </w:tcPr>
          <w:p w14:paraId="47B24398" w14:textId="77777777" w:rsidR="00814134" w:rsidRPr="00786785" w:rsidRDefault="00814134" w:rsidP="0083323A">
            <w:pPr>
              <w:ind w:right="-249"/>
              <w:rPr>
                <w:rFonts w:cs="Arial"/>
                <w:lang w:eastAsia="en-GB"/>
              </w:rPr>
            </w:pPr>
            <w:r w:rsidRPr="00786785">
              <w:rPr>
                <w:rFonts w:cs="Arial"/>
                <w:lang w:eastAsia="en-GB"/>
              </w:rPr>
              <w:t>1.1</w:t>
            </w:r>
          </w:p>
        </w:tc>
        <w:tc>
          <w:tcPr>
            <w:tcW w:w="9912" w:type="dxa"/>
            <w:gridSpan w:val="2"/>
            <w:tcBorders>
              <w:right w:val="single" w:sz="12" w:space="0" w:color="auto"/>
            </w:tcBorders>
            <w:shd w:val="clear" w:color="auto" w:fill="auto"/>
          </w:tcPr>
          <w:p w14:paraId="1CD7E687" w14:textId="77777777" w:rsidR="00814134" w:rsidRPr="00ED407C" w:rsidRDefault="00814134" w:rsidP="0083323A">
            <w:pPr>
              <w:spacing w:after="120"/>
              <w:rPr>
                <w:rFonts w:cs="Arial"/>
                <w:lang w:eastAsia="en-GB"/>
              </w:rPr>
            </w:pPr>
            <w:r w:rsidRPr="00786785">
              <w:rPr>
                <w:rFonts w:cs="Arial"/>
                <w:lang w:eastAsia="en-GB"/>
              </w:rPr>
              <w:t>I can confirm I am able to meet the deadlines as outlined in the requirement for  the project</w:t>
            </w:r>
          </w:p>
          <w:p w14:paraId="21B38763" w14:textId="77777777" w:rsidR="00814134" w:rsidRPr="00ED407C" w:rsidRDefault="00814134" w:rsidP="0083323A">
            <w:pPr>
              <w:spacing w:after="120"/>
              <w:rPr>
                <w:rFonts w:cs="Arial"/>
                <w:lang w:eastAsia="en-GB"/>
              </w:rPr>
            </w:pPr>
            <w:r w:rsidRPr="00ED407C">
              <w:rPr>
                <w:rFonts w:cs="Arial"/>
                <w:lang w:eastAsia="en-GB"/>
              </w:rPr>
              <w:t>Yes/No please state</w:t>
            </w:r>
          </w:p>
          <w:p w14:paraId="44CC7C72" w14:textId="59199E98" w:rsidR="00814134" w:rsidRPr="00786785" w:rsidRDefault="00814134" w:rsidP="00286834">
            <w:pPr>
              <w:spacing w:after="120"/>
              <w:rPr>
                <w:rFonts w:cs="Arial"/>
                <w:lang w:eastAsia="en-GB"/>
              </w:rPr>
            </w:pPr>
            <w:r w:rsidRPr="00ED407C">
              <w:rPr>
                <w:rFonts w:cs="Arial"/>
                <w:b/>
                <w:lang w:eastAsia="en-GB"/>
              </w:rPr>
              <w:t xml:space="preserve">                                                                                                                                              Pass/Fail</w:t>
            </w:r>
          </w:p>
        </w:tc>
      </w:tr>
      <w:tr w:rsidR="00814134" w:rsidRPr="00786785" w14:paraId="5A3C9AF9" w14:textId="77777777" w:rsidTr="0083323A">
        <w:tblPrEx>
          <w:shd w:val="clear" w:color="auto" w:fill="auto"/>
        </w:tblPrEx>
        <w:trPr>
          <w:trHeight w:val="359"/>
        </w:trPr>
        <w:tc>
          <w:tcPr>
            <w:tcW w:w="568" w:type="dxa"/>
            <w:tcBorders>
              <w:left w:val="single" w:sz="12" w:space="0" w:color="auto"/>
            </w:tcBorders>
            <w:shd w:val="clear" w:color="auto" w:fill="auto"/>
          </w:tcPr>
          <w:p w14:paraId="67363686" w14:textId="77777777" w:rsidR="00814134" w:rsidRPr="00786785" w:rsidRDefault="00814134" w:rsidP="0083323A">
            <w:pPr>
              <w:ind w:right="-249"/>
              <w:rPr>
                <w:rFonts w:cs="Arial"/>
                <w:lang w:eastAsia="en-GB"/>
              </w:rPr>
            </w:pPr>
            <w:r w:rsidRPr="00786785">
              <w:rPr>
                <w:rFonts w:cs="Arial"/>
                <w:lang w:eastAsia="en-GB"/>
              </w:rPr>
              <w:t>1.2</w:t>
            </w:r>
          </w:p>
        </w:tc>
        <w:tc>
          <w:tcPr>
            <w:tcW w:w="9912" w:type="dxa"/>
            <w:gridSpan w:val="2"/>
            <w:tcBorders>
              <w:right w:val="single" w:sz="12" w:space="0" w:color="auto"/>
            </w:tcBorders>
            <w:shd w:val="clear" w:color="auto" w:fill="auto"/>
          </w:tcPr>
          <w:p w14:paraId="25D6A180" w14:textId="139D23C7" w:rsidR="00814134" w:rsidRPr="00ED407C" w:rsidRDefault="00814134" w:rsidP="0083323A">
            <w:pPr>
              <w:spacing w:after="120"/>
              <w:rPr>
                <w:rFonts w:cs="Arial"/>
                <w:lang w:eastAsia="en-GB"/>
              </w:rPr>
            </w:pPr>
            <w:r w:rsidRPr="00786785">
              <w:rPr>
                <w:rFonts w:cs="Arial"/>
                <w:lang w:eastAsia="en-GB"/>
              </w:rPr>
              <w:t xml:space="preserve">I </w:t>
            </w:r>
            <w:r w:rsidR="0083323A" w:rsidRPr="00786785">
              <w:rPr>
                <w:rFonts w:cs="Arial"/>
                <w:lang w:eastAsia="en-GB"/>
              </w:rPr>
              <w:t>confirm I</w:t>
            </w:r>
            <w:r w:rsidRPr="00786785">
              <w:rPr>
                <w:rFonts w:cs="Arial"/>
                <w:lang w:eastAsia="en-GB"/>
              </w:rPr>
              <w:t xml:space="preserve"> have not been involved with any suppliers that are submitting bids for the Reception Baseline procurement</w:t>
            </w:r>
            <w:r w:rsidRPr="00ED407C">
              <w:rPr>
                <w:rFonts w:cs="Arial"/>
                <w:lang w:eastAsia="en-GB"/>
              </w:rPr>
              <w:t>.</w:t>
            </w:r>
          </w:p>
          <w:p w14:paraId="35FE77C7" w14:textId="77777777" w:rsidR="00814134" w:rsidRPr="00ED407C" w:rsidRDefault="00814134" w:rsidP="0083323A">
            <w:pPr>
              <w:spacing w:after="120"/>
              <w:rPr>
                <w:rFonts w:cs="Arial"/>
                <w:lang w:eastAsia="en-GB"/>
              </w:rPr>
            </w:pPr>
            <w:r w:rsidRPr="00ED407C">
              <w:rPr>
                <w:rFonts w:cs="Arial"/>
                <w:lang w:eastAsia="en-GB"/>
              </w:rPr>
              <w:t>Yes/No please state</w:t>
            </w:r>
          </w:p>
          <w:p w14:paraId="7E45E3AF" w14:textId="77777777" w:rsidR="00814134" w:rsidRPr="00786785" w:rsidRDefault="00814134" w:rsidP="0083323A">
            <w:pPr>
              <w:spacing w:after="120"/>
              <w:rPr>
                <w:rFonts w:cs="Arial"/>
                <w:lang w:eastAsia="en-GB"/>
              </w:rPr>
            </w:pPr>
            <w:r w:rsidRPr="00ED407C">
              <w:rPr>
                <w:rFonts w:cs="Arial"/>
                <w:b/>
                <w:lang w:eastAsia="en-GB"/>
              </w:rPr>
              <w:t xml:space="preserve">                                                                                                                                              Pass/Fail</w:t>
            </w:r>
          </w:p>
        </w:tc>
      </w:tr>
      <w:tr w:rsidR="00814134" w:rsidRPr="00786785" w14:paraId="3C74F8A0" w14:textId="77777777" w:rsidTr="0083323A">
        <w:tblPrEx>
          <w:shd w:val="clear" w:color="auto" w:fill="auto"/>
        </w:tblPrEx>
        <w:trPr>
          <w:trHeight w:val="359"/>
        </w:trPr>
        <w:tc>
          <w:tcPr>
            <w:tcW w:w="568" w:type="dxa"/>
            <w:tcBorders>
              <w:left w:val="single" w:sz="12" w:space="0" w:color="auto"/>
            </w:tcBorders>
            <w:shd w:val="clear" w:color="auto" w:fill="auto"/>
          </w:tcPr>
          <w:p w14:paraId="62121999" w14:textId="77777777" w:rsidR="00814134" w:rsidRPr="00ED407C" w:rsidRDefault="00814134" w:rsidP="0083323A">
            <w:pPr>
              <w:ind w:right="-249"/>
              <w:rPr>
                <w:rFonts w:cs="Arial"/>
                <w:lang w:eastAsia="en-GB"/>
              </w:rPr>
            </w:pPr>
            <w:r w:rsidRPr="00ED407C">
              <w:rPr>
                <w:rFonts w:cs="Arial"/>
                <w:lang w:eastAsia="en-GB"/>
              </w:rPr>
              <w:t>1.3</w:t>
            </w:r>
          </w:p>
        </w:tc>
        <w:tc>
          <w:tcPr>
            <w:tcW w:w="9912" w:type="dxa"/>
            <w:gridSpan w:val="2"/>
            <w:tcBorders>
              <w:right w:val="single" w:sz="12" w:space="0" w:color="auto"/>
            </w:tcBorders>
            <w:shd w:val="clear" w:color="auto" w:fill="auto"/>
          </w:tcPr>
          <w:p w14:paraId="6B6CE5EF" w14:textId="77777777" w:rsidR="00814134" w:rsidRPr="00ED407C" w:rsidRDefault="00814134" w:rsidP="0083323A">
            <w:pPr>
              <w:spacing w:after="120"/>
              <w:rPr>
                <w:rFonts w:cs="Arial"/>
                <w:lang w:eastAsia="en-GB"/>
              </w:rPr>
            </w:pPr>
            <w:r w:rsidRPr="00ED407C">
              <w:rPr>
                <w:rFonts w:cs="Arial"/>
                <w:lang w:eastAsia="en-GB"/>
              </w:rPr>
              <w:t xml:space="preserve">I confirm acceptance of the terms and conditions of the contract. </w:t>
            </w:r>
          </w:p>
          <w:p w14:paraId="4BBDFC7B" w14:textId="77777777" w:rsidR="00814134" w:rsidRPr="00ED407C" w:rsidRDefault="00814134" w:rsidP="0083323A">
            <w:pPr>
              <w:spacing w:after="120"/>
              <w:rPr>
                <w:rFonts w:cs="Arial"/>
                <w:lang w:eastAsia="en-GB"/>
              </w:rPr>
            </w:pPr>
            <w:r w:rsidRPr="00ED407C">
              <w:rPr>
                <w:rFonts w:cs="Arial"/>
                <w:lang w:eastAsia="en-GB"/>
              </w:rPr>
              <w:t>Yes/No please state</w:t>
            </w:r>
          </w:p>
          <w:p w14:paraId="5B649355" w14:textId="7299074C" w:rsidR="00814134" w:rsidRPr="00ED407C" w:rsidRDefault="00814134" w:rsidP="00ED407C">
            <w:pPr>
              <w:spacing w:after="120"/>
              <w:rPr>
                <w:rFonts w:cs="Arial"/>
                <w:lang w:eastAsia="en-GB"/>
              </w:rPr>
            </w:pPr>
            <w:r w:rsidRPr="00ED407C">
              <w:rPr>
                <w:rFonts w:cs="Arial"/>
                <w:b/>
                <w:lang w:eastAsia="en-GB"/>
              </w:rPr>
              <w:t xml:space="preserve">                                                                                                                                              Pass/Fail</w:t>
            </w:r>
          </w:p>
        </w:tc>
      </w:tr>
    </w:tbl>
    <w:p w14:paraId="656AB1A5" w14:textId="4A6E720B" w:rsidR="00F92DC6" w:rsidRDefault="00F92DC6" w:rsidP="003014E1"/>
    <w:p w14:paraId="210E6BFA" w14:textId="77777777" w:rsidR="008319F2" w:rsidRDefault="008319F2" w:rsidP="003D3285">
      <w:pPr>
        <w:rPr>
          <w:b/>
          <w:sz w:val="28"/>
          <w:szCs w:val="28"/>
        </w:rPr>
      </w:pPr>
    </w:p>
    <w:p w14:paraId="40612104" w14:textId="77777777" w:rsidR="0083323A" w:rsidRDefault="0083323A" w:rsidP="003D3285">
      <w:pPr>
        <w:rPr>
          <w:b/>
          <w:sz w:val="28"/>
          <w:szCs w:val="28"/>
        </w:rPr>
      </w:pPr>
    </w:p>
    <w:p w14:paraId="3876E237" w14:textId="77777777" w:rsidR="0007403F" w:rsidRDefault="0007403F">
      <w:pPr>
        <w:rPr>
          <w:b/>
          <w:sz w:val="28"/>
          <w:szCs w:val="28"/>
        </w:rPr>
      </w:pPr>
      <w:r>
        <w:rPr>
          <w:b/>
          <w:sz w:val="28"/>
          <w:szCs w:val="28"/>
        </w:rPr>
        <w:br w:type="page"/>
      </w:r>
    </w:p>
    <w:p w14:paraId="412BF9E9" w14:textId="2C4399FA" w:rsidR="004650A2" w:rsidRDefault="008319F2" w:rsidP="003D3285">
      <w:r>
        <w:rPr>
          <w:b/>
          <w:sz w:val="28"/>
          <w:szCs w:val="28"/>
        </w:rPr>
        <w:lastRenderedPageBreak/>
        <w:t>5.2 Technical Evaluation</w:t>
      </w:r>
    </w:p>
    <w:p w14:paraId="7AFAFE9B" w14:textId="77777777" w:rsidR="004650A2" w:rsidRDefault="004650A2" w:rsidP="003D3285"/>
    <w:p w14:paraId="695A80A1" w14:textId="5AF3F7AD" w:rsidR="003D3285" w:rsidRDefault="00FE2898" w:rsidP="003D3285">
      <w:r>
        <w:t>A</w:t>
      </w:r>
      <w:r w:rsidR="007D65A9">
        <w:t xml:space="preserve">pplications </w:t>
      </w:r>
      <w:proofErr w:type="gramStart"/>
      <w:r w:rsidR="007D65A9">
        <w:t>w</w:t>
      </w:r>
      <w:r w:rsidR="003D3285" w:rsidRPr="003014E1">
        <w:t>ill be evaluated</w:t>
      </w:r>
      <w:proofErr w:type="gramEnd"/>
      <w:r w:rsidR="003D3285" w:rsidRPr="003014E1">
        <w:t xml:space="preserve"> solely on the responses and associated evidence provided by the B</w:t>
      </w:r>
      <w:r w:rsidR="004650A2">
        <w:t>idder in this section</w:t>
      </w:r>
      <w:r w:rsidR="003D3285">
        <w:t xml:space="preserve"> of the ITT</w:t>
      </w:r>
      <w:r w:rsidR="003D3285" w:rsidRPr="003014E1">
        <w:t>.</w:t>
      </w:r>
      <w:r w:rsidR="00F92DC6">
        <w:t xml:space="preserve">  The weighting </w:t>
      </w:r>
      <w:proofErr w:type="gramStart"/>
      <w:r w:rsidR="00F92DC6">
        <w:t>being applied</w:t>
      </w:r>
      <w:proofErr w:type="gramEnd"/>
      <w:r w:rsidR="00F92DC6">
        <w:t xml:space="preserve"> to each question is provided next to each question. </w:t>
      </w:r>
    </w:p>
    <w:p w14:paraId="1D796663" w14:textId="77777777" w:rsidR="00E26772" w:rsidRDefault="00E26772" w:rsidP="00E26772"/>
    <w:p w14:paraId="014BEAFD" w14:textId="58FCADE8" w:rsidR="007D65A9" w:rsidRDefault="00EB180C" w:rsidP="003D3285">
      <w:r w:rsidRPr="00EB180C">
        <w:t xml:space="preserve">Please note that all questions in this section are mandatory </w:t>
      </w:r>
      <w:r>
        <w:t xml:space="preserve">and </w:t>
      </w:r>
      <w:r w:rsidR="007D65A9">
        <w:t xml:space="preserve">will be scored according to the following </w:t>
      </w:r>
      <w:r w:rsidR="00C63067">
        <w:t>6-point</w:t>
      </w:r>
      <w:r w:rsidR="007D65A9">
        <w:t xml:space="preserve"> scale:</w:t>
      </w:r>
    </w:p>
    <w:p w14:paraId="211DBFBB" w14:textId="78497079" w:rsidR="00B2308D" w:rsidRDefault="00B2308D" w:rsidP="00B2308D"/>
    <w:p w14:paraId="3B8449F4" w14:textId="77777777" w:rsidR="00E26772" w:rsidRDefault="00E26772" w:rsidP="00E26772">
      <w:r>
        <w:t xml:space="preserve">Please provide an answer for each question explicitly. References to answers in other questions/sections may not be considered, and could result in a lower score </w:t>
      </w:r>
      <w:proofErr w:type="gramStart"/>
      <w:r>
        <w:t>being applied</w:t>
      </w:r>
      <w:proofErr w:type="gramEnd"/>
      <w:r>
        <w:t>.</w:t>
      </w:r>
    </w:p>
    <w:p w14:paraId="2B46ADBD" w14:textId="77777777" w:rsidR="00E26772" w:rsidRDefault="00E26772" w:rsidP="00E26772"/>
    <w:p w14:paraId="5D15E031" w14:textId="504417A3" w:rsidR="00E26772" w:rsidRDefault="00E26772" w:rsidP="00E26772">
      <w:r>
        <w:t>Evaluators cannot take into account previous knowledge of your delivery unless it is included in the bid, therefore please be explicit about outcomes you have delivered and provide clear evidence and examples of your skills and experience.</w:t>
      </w:r>
    </w:p>
    <w:p w14:paraId="6ED9FB22" w14:textId="77777777" w:rsidR="00E26772" w:rsidRPr="003014E1" w:rsidRDefault="00E26772"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3"/>
      </w:tblGrid>
      <w:tr w:rsidR="00B2308D" w:rsidRPr="003014E1" w14:paraId="470D2057" w14:textId="77777777" w:rsidTr="006C61D0">
        <w:trPr>
          <w:trHeight w:val="886"/>
        </w:trPr>
        <w:tc>
          <w:tcPr>
            <w:tcW w:w="5000" w:type="pct"/>
            <w:tcBorders>
              <w:left w:val="single" w:sz="12" w:space="0" w:color="auto"/>
            </w:tcBorders>
            <w:shd w:val="clear" w:color="auto" w:fill="B8CCE4" w:themeFill="accent1" w:themeFillTint="66"/>
          </w:tcPr>
          <w:p w14:paraId="54D80B98" w14:textId="05085DA8" w:rsidR="008319F2" w:rsidRPr="008319F2" w:rsidRDefault="00286834" w:rsidP="008319F2">
            <w:pPr>
              <w:rPr>
                <w:rFonts w:cs="Arial"/>
                <w:b/>
              </w:rPr>
            </w:pPr>
            <w:r>
              <w:rPr>
                <w:b/>
              </w:rPr>
              <w:t>5.2.1</w:t>
            </w:r>
            <w:proofErr w:type="gramStart"/>
            <w:r w:rsidR="00C63067" w:rsidRPr="008319F2">
              <w:rPr>
                <w:b/>
              </w:rPr>
              <w:t>.  In</w:t>
            </w:r>
            <w:proofErr w:type="gramEnd"/>
            <w:r w:rsidR="00C63067" w:rsidRPr="008319F2">
              <w:rPr>
                <w:b/>
              </w:rPr>
              <w:t xml:space="preserve"> no more than 75</w:t>
            </w:r>
            <w:r w:rsidR="00EF3FD4" w:rsidRPr="008319F2">
              <w:rPr>
                <w:b/>
              </w:rPr>
              <w:t xml:space="preserve">0 words, </w:t>
            </w:r>
            <w:r w:rsidR="008319F2" w:rsidRPr="008319F2">
              <w:rPr>
                <w:b/>
              </w:rPr>
              <w:t>p</w:t>
            </w:r>
            <w:r w:rsidR="008319F2" w:rsidRPr="008319F2">
              <w:rPr>
                <w:rFonts w:cs="Arial"/>
                <w:b/>
              </w:rPr>
              <w:t>lease give details of your expertise of working with children of appropriate age.</w:t>
            </w:r>
          </w:p>
          <w:p w14:paraId="7F41AF31" w14:textId="74F1D5B3" w:rsidR="008319F2" w:rsidRDefault="008319F2" w:rsidP="008319F2">
            <w:pPr>
              <w:rPr>
                <w:rFonts w:cs="Arial"/>
                <w:sz w:val="20"/>
                <w:szCs w:val="20"/>
              </w:rPr>
            </w:pPr>
          </w:p>
          <w:p w14:paraId="7CA03919" w14:textId="06615732" w:rsidR="008319F2" w:rsidRDefault="008319F2" w:rsidP="008319F2">
            <w:pPr>
              <w:rPr>
                <w:rFonts w:cs="Arial"/>
                <w:sz w:val="20"/>
                <w:szCs w:val="20"/>
              </w:rPr>
            </w:pPr>
          </w:p>
          <w:p w14:paraId="5F5AC299" w14:textId="20D43E83" w:rsidR="008319F2" w:rsidRDefault="008319F2" w:rsidP="008319F2">
            <w:pPr>
              <w:rPr>
                <w:rFonts w:cs="Arial"/>
                <w:sz w:val="20"/>
                <w:szCs w:val="20"/>
              </w:rPr>
            </w:pPr>
            <w:r>
              <w:rPr>
                <w:rFonts w:cs="Arial"/>
                <w:sz w:val="20"/>
                <w:szCs w:val="20"/>
              </w:rPr>
              <w:t xml:space="preserve">Key </w:t>
            </w:r>
            <w:r w:rsidR="00ED407C">
              <w:rPr>
                <w:rFonts w:cs="Arial"/>
                <w:sz w:val="20"/>
                <w:szCs w:val="20"/>
              </w:rPr>
              <w:t>areas</w:t>
            </w:r>
            <w:r>
              <w:rPr>
                <w:rFonts w:cs="Arial"/>
                <w:sz w:val="20"/>
                <w:szCs w:val="20"/>
              </w:rPr>
              <w:t xml:space="preserve"> to be covered:</w:t>
            </w:r>
          </w:p>
          <w:p w14:paraId="1B03A176" w14:textId="77777777" w:rsidR="008319F2" w:rsidRDefault="008319F2" w:rsidP="008319F2">
            <w:pPr>
              <w:rPr>
                <w:rFonts w:cs="Arial"/>
                <w:sz w:val="20"/>
                <w:szCs w:val="20"/>
              </w:rPr>
            </w:pPr>
          </w:p>
          <w:p w14:paraId="75DAE83E" w14:textId="77777777" w:rsidR="008319F2" w:rsidRPr="008319F2" w:rsidRDefault="008319F2" w:rsidP="008319F2">
            <w:pPr>
              <w:numPr>
                <w:ilvl w:val="0"/>
                <w:numId w:val="38"/>
              </w:numPr>
              <w:spacing w:before="60" w:after="60"/>
              <w:rPr>
                <w:rFonts w:eastAsia="Calibri" w:cs="Arial"/>
                <w:sz w:val="20"/>
                <w:szCs w:val="20"/>
              </w:rPr>
            </w:pPr>
            <w:r w:rsidRPr="008319F2">
              <w:rPr>
                <w:rFonts w:eastAsia="Calibri" w:cs="Arial"/>
                <w:sz w:val="20"/>
                <w:szCs w:val="20"/>
              </w:rPr>
              <w:t xml:space="preserve">Demonstrates significant experience of working with children in the </w:t>
            </w:r>
            <w:proofErr w:type="gramStart"/>
            <w:r w:rsidRPr="008319F2">
              <w:rPr>
                <w:rFonts w:eastAsia="Calibri" w:cs="Arial"/>
                <w:sz w:val="20"/>
                <w:szCs w:val="20"/>
              </w:rPr>
              <w:t>classroom which</w:t>
            </w:r>
            <w:proofErr w:type="gramEnd"/>
            <w:r w:rsidRPr="008319F2">
              <w:rPr>
                <w:rFonts w:eastAsia="Calibri" w:cs="Arial"/>
                <w:sz w:val="20"/>
                <w:szCs w:val="20"/>
              </w:rPr>
              <w:t xml:space="preserve"> may be supplemented with a role as a senior manager within a school or advisor, for example in a local authority. </w:t>
            </w:r>
          </w:p>
          <w:p w14:paraId="10164D9E" w14:textId="15594DD6" w:rsidR="00B2308D" w:rsidRPr="00EF3FD4" w:rsidRDefault="00B2308D" w:rsidP="003014E1">
            <w:pPr>
              <w:rPr>
                <w:b/>
              </w:rPr>
            </w:pPr>
          </w:p>
          <w:p w14:paraId="0382AC00" w14:textId="31ABA029" w:rsidR="00B2308D" w:rsidRPr="00EF3FD4" w:rsidRDefault="00B2308D" w:rsidP="008319F2">
            <w:pPr>
              <w:rPr>
                <w:i/>
              </w:rPr>
            </w:pPr>
            <w:r w:rsidRPr="0088307A">
              <w:rPr>
                <w:i/>
              </w:rPr>
              <w:t xml:space="preserve">Question weight: </w:t>
            </w:r>
            <w:r w:rsidR="008319F2">
              <w:rPr>
                <w:i/>
              </w:rPr>
              <w:t>50</w:t>
            </w:r>
            <w:r w:rsidRPr="0088307A">
              <w:rPr>
                <w:i/>
              </w:rPr>
              <w:t>%</w:t>
            </w:r>
          </w:p>
        </w:tc>
      </w:tr>
      <w:tr w:rsidR="00B2308D" w:rsidRPr="003014E1" w14:paraId="3E509A88" w14:textId="77777777" w:rsidTr="006C61D0">
        <w:trPr>
          <w:trHeight w:val="886"/>
        </w:trPr>
        <w:tc>
          <w:tcPr>
            <w:tcW w:w="5000" w:type="pct"/>
            <w:tcBorders>
              <w:left w:val="single" w:sz="12" w:space="0" w:color="auto"/>
              <w:bottom w:val="single" w:sz="4" w:space="0" w:color="auto"/>
            </w:tcBorders>
            <w:shd w:val="clear" w:color="auto" w:fill="auto"/>
          </w:tcPr>
          <w:p w14:paraId="5D9E871D" w14:textId="5D8C0A83" w:rsidR="00B2308D" w:rsidRPr="00B2308D" w:rsidRDefault="00B2308D" w:rsidP="003014E1">
            <w:pPr>
              <w:rPr>
                <w:b/>
              </w:rPr>
            </w:pPr>
            <w:r w:rsidRPr="00B2308D">
              <w:rPr>
                <w:b/>
              </w:rPr>
              <w:t>Bidder</w:t>
            </w:r>
            <w:r w:rsidR="00BF76F4">
              <w:rPr>
                <w:b/>
              </w:rPr>
              <w:t>’</w:t>
            </w:r>
            <w:r w:rsidRPr="00B2308D">
              <w:rPr>
                <w:b/>
              </w:rPr>
              <w:t>s Response:</w:t>
            </w:r>
          </w:p>
          <w:p w14:paraId="25B257C0" w14:textId="77777777" w:rsidR="00B2308D" w:rsidRDefault="00B2308D" w:rsidP="003014E1"/>
          <w:p w14:paraId="21230BEC" w14:textId="41F70706" w:rsidR="00ED407C" w:rsidRDefault="00ED407C" w:rsidP="003014E1"/>
          <w:p w14:paraId="549C78E3" w14:textId="3792104A" w:rsidR="00ED407C" w:rsidRDefault="00ED407C" w:rsidP="003014E1"/>
          <w:p w14:paraId="7987BAF3" w14:textId="77777777" w:rsidR="00286834" w:rsidRDefault="00286834" w:rsidP="003014E1"/>
          <w:p w14:paraId="4A914B44" w14:textId="77777777" w:rsidR="00B2308D" w:rsidRDefault="00B2308D" w:rsidP="003014E1"/>
          <w:p w14:paraId="21727072" w14:textId="2276252E" w:rsidR="0088307A" w:rsidRPr="003014E1" w:rsidRDefault="0088307A" w:rsidP="00725E41">
            <w:r w:rsidRPr="0088307A">
              <w:rPr>
                <w:i/>
              </w:rPr>
              <w:t xml:space="preserve">Word count = </w:t>
            </w:r>
          </w:p>
        </w:tc>
      </w:tr>
      <w:tr w:rsidR="00B2308D" w:rsidRPr="003014E1" w14:paraId="01C11BF1" w14:textId="77777777" w:rsidTr="006C61D0">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61B6A0C0" w14:textId="5181B61D" w:rsidR="00ED407C" w:rsidRDefault="00286834" w:rsidP="00ED407C">
            <w:pPr>
              <w:rPr>
                <w:rFonts w:cs="Arial"/>
                <w:b/>
                <w:lang w:eastAsia="en-GB"/>
              </w:rPr>
            </w:pPr>
            <w:r>
              <w:rPr>
                <w:b/>
              </w:rPr>
              <w:t>5.2.2</w:t>
            </w:r>
            <w:proofErr w:type="gramStart"/>
            <w:r w:rsidR="00B2308D" w:rsidRPr="006C61D0">
              <w:rPr>
                <w:b/>
              </w:rPr>
              <w:t xml:space="preserve">.  </w:t>
            </w:r>
            <w:r w:rsidR="0089746D" w:rsidRPr="0089746D">
              <w:rPr>
                <w:b/>
              </w:rPr>
              <w:t>In</w:t>
            </w:r>
            <w:proofErr w:type="gramEnd"/>
            <w:r w:rsidR="0089746D" w:rsidRPr="0089746D">
              <w:rPr>
                <w:b/>
              </w:rPr>
              <w:t xml:space="preserve"> no </w:t>
            </w:r>
            <w:r w:rsidR="0089746D" w:rsidRPr="00ED407C">
              <w:rPr>
                <w:b/>
              </w:rPr>
              <w:t xml:space="preserve">more than 500 words, please </w:t>
            </w:r>
            <w:r w:rsidR="00ED407C" w:rsidRPr="00ED407C">
              <w:rPr>
                <w:rFonts w:cs="Arial"/>
                <w:b/>
                <w:lang w:eastAsia="en-GB"/>
              </w:rPr>
              <w:t>provide details of your knowledge of theory and techniques of assessing children of appropriate age.</w:t>
            </w:r>
          </w:p>
          <w:p w14:paraId="2C9AC6C4" w14:textId="0224A980" w:rsidR="00ED407C" w:rsidRDefault="00ED407C" w:rsidP="00ED407C">
            <w:pPr>
              <w:rPr>
                <w:rFonts w:cs="Arial"/>
                <w:b/>
                <w:lang w:eastAsia="en-GB"/>
              </w:rPr>
            </w:pPr>
          </w:p>
          <w:p w14:paraId="6073C375" w14:textId="77777777" w:rsidR="00ED407C" w:rsidRDefault="00ED407C" w:rsidP="00ED407C">
            <w:pPr>
              <w:rPr>
                <w:rFonts w:cs="Arial"/>
                <w:sz w:val="20"/>
                <w:szCs w:val="20"/>
              </w:rPr>
            </w:pPr>
            <w:r>
              <w:rPr>
                <w:rFonts w:cs="Arial"/>
                <w:sz w:val="20"/>
                <w:szCs w:val="20"/>
              </w:rPr>
              <w:lastRenderedPageBreak/>
              <w:t>Key areas to be covered:</w:t>
            </w:r>
          </w:p>
          <w:p w14:paraId="53873CEF" w14:textId="195E8DE1" w:rsidR="00ED407C" w:rsidRDefault="00ED407C" w:rsidP="00ED407C">
            <w:pPr>
              <w:rPr>
                <w:rFonts w:cs="Arial"/>
                <w:b/>
                <w:lang w:eastAsia="en-GB"/>
              </w:rPr>
            </w:pPr>
          </w:p>
          <w:p w14:paraId="03597572" w14:textId="77777777" w:rsidR="00ED407C" w:rsidRPr="00ED407C" w:rsidRDefault="00ED407C" w:rsidP="00ED407C">
            <w:pPr>
              <w:pStyle w:val="ListParagraph"/>
              <w:numPr>
                <w:ilvl w:val="0"/>
                <w:numId w:val="38"/>
              </w:numPr>
              <w:contextualSpacing w:val="0"/>
              <w:rPr>
                <w:rFonts w:eastAsia="Calibri" w:cs="Arial"/>
                <w:sz w:val="20"/>
                <w:szCs w:val="20"/>
              </w:rPr>
            </w:pPr>
            <w:r w:rsidRPr="00ED407C">
              <w:rPr>
                <w:rFonts w:eastAsia="Calibri" w:cs="Arial"/>
                <w:sz w:val="20"/>
                <w:szCs w:val="20"/>
              </w:rPr>
              <w:t xml:space="preserve">Demonstrates an understanding of the range of appropriate methods for assessing children in reception developed through practice, research or study - preferably with an understanding of the theoretical underpinning of the approach. </w:t>
            </w:r>
            <w:r w:rsidRPr="00ED407C">
              <w:rPr>
                <w:rFonts w:eastAsia="Calibri" w:cs="Arial"/>
                <w:sz w:val="20"/>
                <w:szCs w:val="20"/>
              </w:rPr>
              <w:br/>
            </w:r>
          </w:p>
          <w:p w14:paraId="30F6A913" w14:textId="7265C0E3" w:rsidR="00826894" w:rsidRPr="006C61D0" w:rsidRDefault="0077638D" w:rsidP="00ED407C">
            <w:pPr>
              <w:rPr>
                <w:i/>
              </w:rPr>
            </w:pPr>
            <w:r>
              <w:rPr>
                <w:i/>
              </w:rPr>
              <w:t>Question Weight</w:t>
            </w:r>
            <w:r w:rsidR="007B2D0A">
              <w:rPr>
                <w:i/>
              </w:rPr>
              <w:t xml:space="preserve">ing = </w:t>
            </w:r>
            <w:r w:rsidR="00ED407C">
              <w:rPr>
                <w:i/>
              </w:rPr>
              <w:t>35</w:t>
            </w:r>
            <w:r w:rsidR="00B2308D" w:rsidRPr="0088307A">
              <w:rPr>
                <w:i/>
              </w:rPr>
              <w:t>%</w:t>
            </w:r>
          </w:p>
        </w:tc>
      </w:tr>
      <w:tr w:rsidR="00B2308D" w:rsidRPr="003014E1" w14:paraId="5CD0A389"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251E0A11" w14:textId="014DE2B7" w:rsidR="00725E41" w:rsidRDefault="00B2308D" w:rsidP="003014E1">
            <w:r w:rsidRPr="00B2308D">
              <w:rPr>
                <w:b/>
              </w:rPr>
              <w:lastRenderedPageBreak/>
              <w:t>Bidder</w:t>
            </w:r>
            <w:r w:rsidR="00BF76F4">
              <w:rPr>
                <w:b/>
              </w:rPr>
              <w:t>’</w:t>
            </w:r>
            <w:r w:rsidRPr="00B2308D">
              <w:rPr>
                <w:b/>
              </w:rPr>
              <w:t>s Response</w:t>
            </w:r>
            <w:r w:rsidR="0089746D">
              <w:rPr>
                <w:b/>
              </w:rPr>
              <w:t xml:space="preserve"> </w:t>
            </w:r>
          </w:p>
          <w:p w14:paraId="7D8702F2" w14:textId="20AFD5C5" w:rsidR="00725E41" w:rsidRDefault="00725E41" w:rsidP="003014E1"/>
          <w:p w14:paraId="14A8BC10" w14:textId="3AEC2A38" w:rsidR="00725E41" w:rsidRDefault="00725E41" w:rsidP="003014E1"/>
          <w:p w14:paraId="54081786" w14:textId="77777777" w:rsidR="00725E41" w:rsidRDefault="00725E41" w:rsidP="003014E1"/>
          <w:p w14:paraId="37CF59D2" w14:textId="77777777" w:rsidR="00B2308D" w:rsidRDefault="00B2308D" w:rsidP="003014E1"/>
          <w:p w14:paraId="0CBD38A8" w14:textId="77777777" w:rsidR="0088307A" w:rsidRDefault="0088307A" w:rsidP="003014E1">
            <w:pPr>
              <w:rPr>
                <w:i/>
              </w:rPr>
            </w:pPr>
            <w:r w:rsidRPr="0088307A">
              <w:rPr>
                <w:i/>
              </w:rPr>
              <w:t xml:space="preserve">Word count = </w:t>
            </w:r>
          </w:p>
          <w:p w14:paraId="28B5AD93" w14:textId="02A4F0F9" w:rsidR="00C6528B" w:rsidRPr="006C61D0" w:rsidRDefault="00C6528B" w:rsidP="003014E1">
            <w:pPr>
              <w:rPr>
                <w:i/>
              </w:rPr>
            </w:pPr>
          </w:p>
        </w:tc>
      </w:tr>
      <w:tr w:rsidR="00D42E71" w:rsidRPr="003014E1" w14:paraId="545B1A7E" w14:textId="77777777" w:rsidTr="00D32672">
        <w:trPr>
          <w:trHeight w:val="886"/>
        </w:trPr>
        <w:tc>
          <w:tcPr>
            <w:tcW w:w="5000" w:type="pct"/>
            <w:tcBorders>
              <w:left w:val="single" w:sz="12" w:space="0" w:color="auto"/>
            </w:tcBorders>
            <w:shd w:val="clear" w:color="auto" w:fill="B8CCE4" w:themeFill="accent1" w:themeFillTint="66"/>
          </w:tcPr>
          <w:p w14:paraId="07FCE396" w14:textId="4C947B18" w:rsidR="00725E41" w:rsidRDefault="00286834" w:rsidP="00ED407C">
            <w:r>
              <w:rPr>
                <w:b/>
              </w:rPr>
              <w:t>5.2.3</w:t>
            </w:r>
            <w:r w:rsidR="00503434">
              <w:rPr>
                <w:b/>
              </w:rPr>
              <w:t>. In</w:t>
            </w:r>
            <w:r w:rsidR="00490CD1">
              <w:rPr>
                <w:b/>
              </w:rPr>
              <w:t xml:space="preserve"> no more than 500 </w:t>
            </w:r>
            <w:proofErr w:type="gramStart"/>
            <w:r w:rsidR="00490CD1">
              <w:rPr>
                <w:b/>
              </w:rPr>
              <w:t>words,</w:t>
            </w:r>
            <w:proofErr w:type="gramEnd"/>
            <w:r w:rsidR="00490CD1">
              <w:rPr>
                <w:b/>
              </w:rPr>
              <w:t xml:space="preserve"> p</w:t>
            </w:r>
            <w:r w:rsidR="00490CD1" w:rsidRPr="00490CD1">
              <w:rPr>
                <w:b/>
              </w:rPr>
              <w:t xml:space="preserve">lease </w:t>
            </w:r>
            <w:r w:rsidR="00725E41" w:rsidRPr="00725E41">
              <w:t>provide details of your understanding of early years and primary accountability context.</w:t>
            </w:r>
          </w:p>
          <w:p w14:paraId="1299ABC1" w14:textId="66082109" w:rsidR="00725E41" w:rsidRDefault="00725E41" w:rsidP="00ED407C"/>
          <w:p w14:paraId="12E6C952" w14:textId="77777777" w:rsidR="00725E41" w:rsidRDefault="00725E41" w:rsidP="00725E41">
            <w:pPr>
              <w:rPr>
                <w:rFonts w:cs="Arial"/>
                <w:sz w:val="20"/>
                <w:szCs w:val="20"/>
              </w:rPr>
            </w:pPr>
            <w:r>
              <w:rPr>
                <w:rFonts w:cs="Arial"/>
                <w:sz w:val="20"/>
                <w:szCs w:val="20"/>
              </w:rPr>
              <w:t>Key areas to be covered:</w:t>
            </w:r>
          </w:p>
          <w:p w14:paraId="60E853C6" w14:textId="014554DE" w:rsidR="00725E41" w:rsidRDefault="00725E41" w:rsidP="00ED407C"/>
          <w:p w14:paraId="63719DB9" w14:textId="77777777" w:rsidR="00725E41" w:rsidRPr="00725E41" w:rsidRDefault="00725E41" w:rsidP="00725E41">
            <w:pPr>
              <w:numPr>
                <w:ilvl w:val="0"/>
                <w:numId w:val="38"/>
              </w:numPr>
              <w:rPr>
                <w:rFonts w:eastAsia="Calibri" w:cs="Arial"/>
                <w:sz w:val="20"/>
                <w:szCs w:val="20"/>
              </w:rPr>
            </w:pPr>
            <w:r w:rsidRPr="00725E41">
              <w:rPr>
                <w:rFonts w:eastAsia="Calibri" w:cs="Arial"/>
                <w:sz w:val="20"/>
                <w:szCs w:val="20"/>
              </w:rPr>
              <w:t xml:space="preserve">Demonstrates an understanding of the impact of accountability on school behaviours through working in or with schools or as an inspector. </w:t>
            </w:r>
          </w:p>
          <w:p w14:paraId="11ECA39F" w14:textId="77777777" w:rsidR="006A2D7C" w:rsidRDefault="006A2D7C" w:rsidP="00D32672">
            <w:pPr>
              <w:rPr>
                <w:i/>
              </w:rPr>
            </w:pPr>
          </w:p>
          <w:p w14:paraId="755837A1" w14:textId="6CD64986" w:rsidR="00D42E71" w:rsidRPr="00EF3FD4" w:rsidRDefault="00D42E71" w:rsidP="00D32672">
            <w:pPr>
              <w:rPr>
                <w:i/>
              </w:rPr>
            </w:pPr>
            <w:r w:rsidRPr="0088307A">
              <w:rPr>
                <w:i/>
              </w:rPr>
              <w:t xml:space="preserve">Question weight: </w:t>
            </w:r>
            <w:r w:rsidR="007B2D0A">
              <w:rPr>
                <w:i/>
              </w:rPr>
              <w:t>15</w:t>
            </w:r>
            <w:r w:rsidRPr="0088307A">
              <w:rPr>
                <w:i/>
              </w:rPr>
              <w:t>%</w:t>
            </w:r>
          </w:p>
        </w:tc>
      </w:tr>
      <w:tr w:rsidR="00D42E71" w:rsidRPr="003014E1" w14:paraId="4998AE27"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70A645A0" w14:textId="77777777" w:rsidR="00490CD1" w:rsidRPr="00B2308D" w:rsidRDefault="00490CD1" w:rsidP="00490CD1">
            <w:pPr>
              <w:rPr>
                <w:b/>
              </w:rPr>
            </w:pPr>
            <w:r w:rsidRPr="00B2308D">
              <w:rPr>
                <w:b/>
              </w:rPr>
              <w:t>Bidder</w:t>
            </w:r>
            <w:r>
              <w:rPr>
                <w:b/>
              </w:rPr>
              <w:t>’</w:t>
            </w:r>
            <w:r w:rsidRPr="00B2308D">
              <w:rPr>
                <w:b/>
              </w:rPr>
              <w:t>s Response:</w:t>
            </w:r>
          </w:p>
          <w:p w14:paraId="35C9EDF5" w14:textId="77777777" w:rsidR="00490CD1" w:rsidRDefault="00490CD1" w:rsidP="00490CD1"/>
          <w:p w14:paraId="1EBA99F6" w14:textId="77777777" w:rsidR="00490CD1" w:rsidRDefault="00490CD1" w:rsidP="00490CD1"/>
          <w:p w14:paraId="5B4F67CB" w14:textId="63659C69" w:rsidR="00490CD1" w:rsidRDefault="00490CD1" w:rsidP="00490CD1"/>
          <w:p w14:paraId="4C2E5C0F" w14:textId="77777777" w:rsidR="00725E41" w:rsidRDefault="00725E41" w:rsidP="00490CD1"/>
          <w:p w14:paraId="104DCB0A" w14:textId="77777777" w:rsidR="00490CD1" w:rsidRDefault="00490CD1" w:rsidP="00490CD1"/>
          <w:p w14:paraId="10DF37E0" w14:textId="1372EE84" w:rsidR="00490CD1" w:rsidRDefault="00490CD1" w:rsidP="00490CD1">
            <w:pPr>
              <w:rPr>
                <w:b/>
              </w:rPr>
            </w:pPr>
            <w:r w:rsidRPr="0088307A">
              <w:rPr>
                <w:i/>
              </w:rPr>
              <w:t>Word count =</w:t>
            </w:r>
          </w:p>
          <w:p w14:paraId="35D1B850" w14:textId="4D27F498" w:rsidR="00490CD1" w:rsidRPr="00B2308D" w:rsidRDefault="00490CD1" w:rsidP="00490CD1">
            <w:pPr>
              <w:rPr>
                <w:b/>
              </w:rPr>
            </w:pPr>
          </w:p>
        </w:tc>
      </w:tr>
    </w:tbl>
    <w:p w14:paraId="39886160" w14:textId="77777777" w:rsidR="00C33E66" w:rsidRPr="003014E1" w:rsidRDefault="00C33E66" w:rsidP="003014E1"/>
    <w:p w14:paraId="400C6496" w14:textId="4724908B" w:rsidR="00AF2E4B" w:rsidRDefault="00AF2E4B" w:rsidP="003014E1">
      <w:r w:rsidRPr="003014E1">
        <w:t xml:space="preserve">The technical quality threshold is </w:t>
      </w:r>
      <w:r w:rsidR="00161EF4">
        <w:t>5</w:t>
      </w:r>
      <w:r w:rsidRPr="003014E1">
        <w:t>0%</w:t>
      </w:r>
      <w:r w:rsidR="006A0C65" w:rsidRPr="003014E1">
        <w:t>.</w:t>
      </w:r>
      <w:r w:rsidRPr="003014E1">
        <w:t xml:space="preserve">  </w:t>
      </w:r>
    </w:p>
    <w:p w14:paraId="60C9EDD9" w14:textId="77777777" w:rsidR="00161EF4" w:rsidRDefault="00161EF4" w:rsidP="003014E1"/>
    <w:p w14:paraId="1544E081" w14:textId="32F94239" w:rsidR="00286834" w:rsidRDefault="00286834" w:rsidP="003014E1"/>
    <w:p w14:paraId="1F6E4513" w14:textId="77777777" w:rsidR="00286834" w:rsidRDefault="00286834" w:rsidP="003014E1"/>
    <w:p w14:paraId="3F8D9E70" w14:textId="710F7C7C" w:rsidR="00215594" w:rsidRDefault="00BA7467" w:rsidP="003014E1">
      <w:bookmarkStart w:id="62" w:name="_Toc270073015"/>
      <w:bookmarkStart w:id="63" w:name="_Ref271010909"/>
      <w:bookmarkStart w:id="64" w:name="_Toc309139711"/>
      <w:bookmarkEnd w:id="61"/>
      <w:r>
        <w:rPr>
          <w:b/>
          <w:sz w:val="28"/>
          <w:szCs w:val="28"/>
        </w:rPr>
        <w:lastRenderedPageBreak/>
        <w:t>5.3</w:t>
      </w:r>
      <w:r w:rsidR="00F92DC6">
        <w:rPr>
          <w:b/>
          <w:sz w:val="28"/>
          <w:szCs w:val="28"/>
        </w:rPr>
        <w:t xml:space="preserve">: Pricing </w:t>
      </w:r>
      <w:r w:rsidR="00F16DCB">
        <w:rPr>
          <w:b/>
          <w:sz w:val="28"/>
          <w:szCs w:val="28"/>
        </w:rPr>
        <w:t>Further Information</w:t>
      </w:r>
    </w:p>
    <w:p w14:paraId="0392AD64" w14:textId="33022D9D" w:rsidR="00F92DC6" w:rsidRDefault="00F92DC6" w:rsidP="004C6BAD"/>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694"/>
        <w:gridCol w:w="5373"/>
        <w:gridCol w:w="4531"/>
      </w:tblGrid>
      <w:tr w:rsidR="00D14829" w:rsidRPr="00D14829" w14:paraId="50E4FB3E" w14:textId="77777777" w:rsidTr="00D14829">
        <w:trPr>
          <w:trHeight w:val="189"/>
        </w:trPr>
        <w:tc>
          <w:tcPr>
            <w:tcW w:w="6067" w:type="dxa"/>
            <w:gridSpan w:val="2"/>
            <w:tcBorders>
              <w:top w:val="single" w:sz="12" w:space="0" w:color="auto"/>
              <w:left w:val="single" w:sz="12" w:space="0" w:color="auto"/>
            </w:tcBorders>
            <w:shd w:val="clear" w:color="auto" w:fill="D9D9D9"/>
          </w:tcPr>
          <w:p w14:paraId="469B96BE" w14:textId="77777777" w:rsidR="00D14829" w:rsidRPr="00286834" w:rsidRDefault="00D14829" w:rsidP="0083323A">
            <w:pPr>
              <w:rPr>
                <w:rFonts w:cs="Arial"/>
                <w:b/>
                <w:bCs/>
                <w:lang w:eastAsia="en-GB"/>
              </w:rPr>
            </w:pPr>
            <w:r w:rsidRPr="00286834">
              <w:rPr>
                <w:rFonts w:cs="Arial"/>
                <w:b/>
                <w:bCs/>
                <w:lang w:eastAsia="en-GB"/>
              </w:rPr>
              <w:t>Evaluation Section 4: Item price</w:t>
            </w:r>
          </w:p>
        </w:tc>
        <w:tc>
          <w:tcPr>
            <w:tcW w:w="4531" w:type="dxa"/>
            <w:tcBorders>
              <w:top w:val="single" w:sz="12" w:space="0" w:color="auto"/>
              <w:right w:val="single" w:sz="12" w:space="0" w:color="auto"/>
            </w:tcBorders>
            <w:shd w:val="clear" w:color="auto" w:fill="D9D9D9"/>
          </w:tcPr>
          <w:p w14:paraId="59F2C10D" w14:textId="77777777" w:rsidR="00D14829" w:rsidRPr="00D14829" w:rsidRDefault="00D14829" w:rsidP="00D14829">
            <w:pPr>
              <w:rPr>
                <w:rFonts w:cs="Arial"/>
                <w:b/>
                <w:bCs/>
                <w:lang w:eastAsia="en-GB"/>
              </w:rPr>
            </w:pPr>
            <w:r w:rsidRPr="00D14829">
              <w:rPr>
                <w:rFonts w:cs="Arial"/>
                <w:b/>
                <w:bCs/>
                <w:lang w:eastAsia="en-GB"/>
              </w:rPr>
              <w:t>Section Weighting: 30%</w:t>
            </w:r>
          </w:p>
        </w:tc>
      </w:tr>
      <w:tr w:rsidR="00D14829" w:rsidRPr="00D14829" w14:paraId="0D283B58" w14:textId="77777777" w:rsidTr="00286834">
        <w:tblPrEx>
          <w:shd w:val="clear" w:color="auto" w:fill="auto"/>
        </w:tblPrEx>
        <w:trPr>
          <w:trHeight w:val="165"/>
        </w:trPr>
        <w:tc>
          <w:tcPr>
            <w:tcW w:w="694" w:type="dxa"/>
            <w:tcBorders>
              <w:left w:val="single" w:sz="12" w:space="0" w:color="auto"/>
              <w:bottom w:val="single" w:sz="4" w:space="0" w:color="auto"/>
            </w:tcBorders>
            <w:shd w:val="clear" w:color="auto" w:fill="D9D9D9"/>
          </w:tcPr>
          <w:p w14:paraId="7B876C76" w14:textId="77777777" w:rsidR="00D14829" w:rsidRPr="00D14829" w:rsidRDefault="00D14829" w:rsidP="00D14829">
            <w:pPr>
              <w:ind w:right="-249"/>
              <w:rPr>
                <w:rFonts w:cs="Arial"/>
                <w:b/>
                <w:lang w:eastAsia="en-GB"/>
              </w:rPr>
            </w:pPr>
            <w:r w:rsidRPr="00D14829">
              <w:rPr>
                <w:rFonts w:cs="Arial"/>
                <w:b/>
                <w:lang w:eastAsia="en-GB"/>
              </w:rPr>
              <w:t>Ref</w:t>
            </w:r>
          </w:p>
        </w:tc>
        <w:tc>
          <w:tcPr>
            <w:tcW w:w="9904" w:type="dxa"/>
            <w:gridSpan w:val="2"/>
            <w:tcBorders>
              <w:bottom w:val="single" w:sz="4" w:space="0" w:color="auto"/>
              <w:right w:val="single" w:sz="12" w:space="0" w:color="auto"/>
            </w:tcBorders>
            <w:shd w:val="clear" w:color="auto" w:fill="D9D9D9"/>
          </w:tcPr>
          <w:p w14:paraId="1558DD23" w14:textId="77777777" w:rsidR="00D14829" w:rsidRPr="00D14829" w:rsidRDefault="00D14829" w:rsidP="00D14829">
            <w:pPr>
              <w:jc w:val="center"/>
              <w:rPr>
                <w:rFonts w:cs="Arial"/>
                <w:b/>
                <w:lang w:eastAsia="en-GB"/>
              </w:rPr>
            </w:pPr>
            <w:r w:rsidRPr="00D14829">
              <w:rPr>
                <w:rFonts w:cs="Arial"/>
                <w:b/>
                <w:lang w:eastAsia="en-GB"/>
              </w:rPr>
              <w:t xml:space="preserve">Question </w:t>
            </w:r>
          </w:p>
        </w:tc>
      </w:tr>
      <w:tr w:rsidR="00D14829" w:rsidRPr="00D14829" w14:paraId="22304BF7" w14:textId="77777777" w:rsidTr="00286834">
        <w:tblPrEx>
          <w:shd w:val="clear" w:color="auto" w:fill="auto"/>
        </w:tblPrEx>
        <w:trPr>
          <w:trHeight w:val="165"/>
        </w:trPr>
        <w:tc>
          <w:tcPr>
            <w:tcW w:w="694" w:type="dxa"/>
            <w:tcBorders>
              <w:left w:val="single" w:sz="4" w:space="0" w:color="auto"/>
              <w:bottom w:val="single" w:sz="4" w:space="0" w:color="auto"/>
              <w:right w:val="single" w:sz="4" w:space="0" w:color="auto"/>
            </w:tcBorders>
            <w:shd w:val="clear" w:color="auto" w:fill="auto"/>
          </w:tcPr>
          <w:p w14:paraId="5B795836" w14:textId="584DBC5C" w:rsidR="00D14829" w:rsidRPr="00D14829" w:rsidRDefault="00286834" w:rsidP="00D14829">
            <w:pPr>
              <w:ind w:right="-249"/>
              <w:rPr>
                <w:rFonts w:cs="Arial"/>
                <w:lang w:eastAsia="en-GB"/>
              </w:rPr>
            </w:pPr>
            <w:r>
              <w:rPr>
                <w:rFonts w:cs="Arial"/>
                <w:lang w:eastAsia="en-GB"/>
              </w:rPr>
              <w:t>5.</w:t>
            </w:r>
            <w:r w:rsidR="00D14829" w:rsidRPr="00286834">
              <w:rPr>
                <w:rFonts w:cs="Arial"/>
                <w:lang w:eastAsia="en-GB"/>
              </w:rPr>
              <w:t>3</w:t>
            </w:r>
            <w:r w:rsidR="00D14829" w:rsidRPr="00D14829">
              <w:rPr>
                <w:rFonts w:cs="Arial"/>
                <w:lang w:eastAsia="en-GB"/>
              </w:rPr>
              <w:t>.1</w:t>
            </w:r>
          </w:p>
        </w:tc>
        <w:tc>
          <w:tcPr>
            <w:tcW w:w="9904" w:type="dxa"/>
            <w:gridSpan w:val="2"/>
            <w:tcBorders>
              <w:left w:val="single" w:sz="4" w:space="0" w:color="auto"/>
              <w:bottom w:val="single" w:sz="4" w:space="0" w:color="auto"/>
              <w:right w:val="single" w:sz="4" w:space="0" w:color="auto"/>
            </w:tcBorders>
            <w:shd w:val="clear" w:color="auto" w:fill="auto"/>
          </w:tcPr>
          <w:p w14:paraId="16D4C659" w14:textId="77777777" w:rsidR="00D14829" w:rsidRPr="00286834" w:rsidRDefault="00D14829" w:rsidP="00D14829">
            <w:pPr>
              <w:rPr>
                <w:rFonts w:cs="Arial"/>
                <w:lang w:eastAsia="en-GB"/>
              </w:rPr>
            </w:pPr>
            <w:r w:rsidRPr="00D14829">
              <w:rPr>
                <w:rFonts w:cs="Arial"/>
                <w:lang w:eastAsia="en-GB"/>
              </w:rPr>
              <w:t>Please confirm your daily rate excluding VAT.</w:t>
            </w:r>
          </w:p>
          <w:p w14:paraId="2FF62C88" w14:textId="77777777" w:rsidR="00D14829" w:rsidRPr="00286834" w:rsidRDefault="00D14829" w:rsidP="00D14829">
            <w:pPr>
              <w:rPr>
                <w:rFonts w:cs="Arial"/>
                <w:lang w:eastAsia="en-GB"/>
              </w:rPr>
            </w:pPr>
          </w:p>
          <w:p w14:paraId="593A0720" w14:textId="68340D7C" w:rsidR="00D14829" w:rsidRPr="00D14829" w:rsidRDefault="00D14829" w:rsidP="00D14829">
            <w:pPr>
              <w:rPr>
                <w:rFonts w:cs="Arial"/>
                <w:lang w:eastAsia="en-GB"/>
              </w:rPr>
            </w:pPr>
          </w:p>
        </w:tc>
      </w:tr>
    </w:tbl>
    <w:p w14:paraId="2DDCF958" w14:textId="715E36BE" w:rsidR="00D14829" w:rsidRDefault="00D14829" w:rsidP="004C6BAD"/>
    <w:p w14:paraId="311B4162" w14:textId="77777777" w:rsidR="0083323A" w:rsidRDefault="0083323A" w:rsidP="004C6BAD">
      <w:pPr>
        <w:rPr>
          <w:sz w:val="28"/>
          <w:szCs w:val="28"/>
        </w:rPr>
      </w:pPr>
    </w:p>
    <w:p w14:paraId="2FA585E8" w14:textId="77777777" w:rsidR="0083323A" w:rsidRDefault="0083323A" w:rsidP="004C6BAD">
      <w:pPr>
        <w:rPr>
          <w:sz w:val="28"/>
          <w:szCs w:val="28"/>
        </w:rPr>
      </w:pPr>
    </w:p>
    <w:p w14:paraId="452B5E23" w14:textId="77777777" w:rsidR="0083323A" w:rsidRDefault="0083323A" w:rsidP="004C6BAD">
      <w:pPr>
        <w:rPr>
          <w:sz w:val="28"/>
          <w:szCs w:val="28"/>
        </w:rPr>
      </w:pPr>
    </w:p>
    <w:p w14:paraId="0013B2A1" w14:textId="77777777" w:rsidR="0083323A" w:rsidRDefault="0083323A" w:rsidP="004C6BAD">
      <w:pPr>
        <w:rPr>
          <w:sz w:val="28"/>
          <w:szCs w:val="28"/>
        </w:rPr>
      </w:pPr>
    </w:p>
    <w:p w14:paraId="46670731" w14:textId="4F11FC95" w:rsidR="00286834" w:rsidRDefault="00286834" w:rsidP="004C6BAD">
      <w:pPr>
        <w:rPr>
          <w:b/>
          <w:sz w:val="28"/>
          <w:szCs w:val="28"/>
        </w:rPr>
      </w:pPr>
      <w:r w:rsidRPr="00286834">
        <w:rPr>
          <w:sz w:val="28"/>
          <w:szCs w:val="28"/>
        </w:rPr>
        <w:t xml:space="preserve">5.4 </w:t>
      </w:r>
      <w:r w:rsidRPr="00286834">
        <w:rPr>
          <w:b/>
          <w:sz w:val="28"/>
          <w:szCs w:val="28"/>
        </w:rPr>
        <w:t>Further Information</w:t>
      </w:r>
    </w:p>
    <w:p w14:paraId="1B2F30D2" w14:textId="7E0EC2F4" w:rsidR="00286834" w:rsidRDefault="00286834" w:rsidP="004C6BAD">
      <w:pPr>
        <w:rPr>
          <w:b/>
          <w:sz w:val="28"/>
          <w:szCs w:val="28"/>
        </w:rPr>
      </w:pPr>
    </w:p>
    <w:p w14:paraId="1759F424" w14:textId="0AC2A6F5" w:rsidR="00286834" w:rsidRPr="00286834" w:rsidRDefault="00286834" w:rsidP="004C6BAD">
      <w:r w:rsidRPr="00286834">
        <w:t xml:space="preserve">This information </w:t>
      </w:r>
      <w:proofErr w:type="gramStart"/>
      <w:r w:rsidRPr="00286834">
        <w:t>is not scored</w:t>
      </w:r>
      <w:proofErr w:type="gramEnd"/>
    </w:p>
    <w:p w14:paraId="3AA143FA" w14:textId="7D8A0144" w:rsidR="00286834" w:rsidRDefault="00286834" w:rsidP="004C6BAD">
      <w:pPr>
        <w:rPr>
          <w:b/>
          <w:sz w:val="28"/>
          <w:szCs w:val="28"/>
        </w:rPr>
      </w:pPr>
    </w:p>
    <w:p w14:paraId="325F7A6D" w14:textId="40A80071" w:rsidR="00286834" w:rsidRDefault="00286834" w:rsidP="004C6BAD">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286834" w:rsidRPr="003014E1" w14:paraId="614E0AD3" w14:textId="77777777" w:rsidTr="0083323A">
        <w:tc>
          <w:tcPr>
            <w:tcW w:w="2085" w:type="pct"/>
            <w:shd w:val="clear" w:color="auto" w:fill="B8CCE4" w:themeFill="accent1" w:themeFillTint="66"/>
          </w:tcPr>
          <w:p w14:paraId="0627742F" w14:textId="77777777" w:rsidR="00286834" w:rsidRPr="008B2E0E" w:rsidRDefault="00286834" w:rsidP="0083323A">
            <w:pPr>
              <w:rPr>
                <w:b/>
              </w:rPr>
            </w:pPr>
            <w:proofErr w:type="gramStart"/>
            <w:r w:rsidRPr="004C6BAD">
              <w:rPr>
                <w:b/>
              </w:rPr>
              <w:t>Are you classed</w:t>
            </w:r>
            <w:proofErr w:type="gramEnd"/>
            <w:r w:rsidRPr="004C6BAD">
              <w:rPr>
                <w:b/>
              </w:rPr>
              <w:t xml:space="preserve"> as a Small Medium Enterprise (SME)?</w:t>
            </w:r>
          </w:p>
        </w:tc>
        <w:tc>
          <w:tcPr>
            <w:tcW w:w="2915" w:type="pct"/>
            <w:shd w:val="clear" w:color="auto" w:fill="auto"/>
          </w:tcPr>
          <w:p w14:paraId="32A0E3C0" w14:textId="77777777" w:rsidR="00286834" w:rsidRPr="003014E1" w:rsidRDefault="00286834" w:rsidP="0083323A">
            <w:r>
              <w:t>Yes / No</w:t>
            </w:r>
            <w:r w:rsidRPr="003014E1">
              <w:t xml:space="preserve"> </w:t>
            </w:r>
          </w:p>
        </w:tc>
      </w:tr>
      <w:tr w:rsidR="00286834" w:rsidRPr="003014E1" w14:paraId="338CD47C" w14:textId="77777777" w:rsidTr="0083323A">
        <w:tc>
          <w:tcPr>
            <w:tcW w:w="2085" w:type="pct"/>
            <w:shd w:val="clear" w:color="auto" w:fill="B8CCE4" w:themeFill="accent1" w:themeFillTint="66"/>
          </w:tcPr>
          <w:p w14:paraId="31E76C0B" w14:textId="77777777" w:rsidR="00286834" w:rsidRPr="008B2E0E" w:rsidRDefault="00286834" w:rsidP="0083323A">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1628BAA4" w14:textId="77777777" w:rsidR="00286834" w:rsidRPr="003014E1" w:rsidRDefault="00286834" w:rsidP="0083323A"/>
        </w:tc>
      </w:tr>
      <w:tr w:rsidR="00286834" w:rsidRPr="003014E1" w14:paraId="26DB4C82" w14:textId="77777777" w:rsidTr="0083323A">
        <w:tc>
          <w:tcPr>
            <w:tcW w:w="2085" w:type="pct"/>
            <w:shd w:val="clear" w:color="auto" w:fill="B8CCE4" w:themeFill="accent1" w:themeFillTint="66"/>
          </w:tcPr>
          <w:p w14:paraId="3CC067A6" w14:textId="77777777" w:rsidR="00286834" w:rsidRPr="008B2E0E" w:rsidRDefault="00286834" w:rsidP="0083323A">
            <w:pPr>
              <w:rPr>
                <w:b/>
              </w:rPr>
            </w:pPr>
            <w:r>
              <w:rPr>
                <w:b/>
              </w:rPr>
              <w:t>Please i</w:t>
            </w:r>
            <w:r w:rsidRPr="00EA4FCD">
              <w:rPr>
                <w:b/>
              </w:rPr>
              <w:t>ndicate periods of known unavailability for the duration of the contract.</w:t>
            </w:r>
          </w:p>
        </w:tc>
        <w:tc>
          <w:tcPr>
            <w:tcW w:w="2915" w:type="pct"/>
            <w:shd w:val="clear" w:color="auto" w:fill="auto"/>
          </w:tcPr>
          <w:p w14:paraId="3C551389" w14:textId="77777777" w:rsidR="00286834" w:rsidRPr="003014E1" w:rsidRDefault="00286834" w:rsidP="0083323A"/>
        </w:tc>
      </w:tr>
    </w:tbl>
    <w:p w14:paraId="0825BC61" w14:textId="6C58997F" w:rsidR="00286834" w:rsidRDefault="00286834" w:rsidP="004C6BAD">
      <w:pPr>
        <w:rPr>
          <w:b/>
          <w:sz w:val="28"/>
          <w:szCs w:val="28"/>
        </w:rPr>
      </w:pPr>
    </w:p>
    <w:p w14:paraId="1E057B19" w14:textId="1B1B39A5" w:rsidR="00286834" w:rsidRDefault="00286834" w:rsidP="004C6BAD">
      <w:pPr>
        <w:rPr>
          <w:b/>
          <w:sz w:val="28"/>
          <w:szCs w:val="28"/>
        </w:rPr>
      </w:pPr>
    </w:p>
    <w:p w14:paraId="7E7F343F" w14:textId="01CCA928" w:rsidR="0083323A" w:rsidRDefault="0083323A" w:rsidP="004C6BAD">
      <w:pPr>
        <w:rPr>
          <w:b/>
          <w:sz w:val="28"/>
          <w:szCs w:val="28"/>
        </w:rPr>
      </w:pPr>
    </w:p>
    <w:p w14:paraId="238218F5" w14:textId="0D3DE673" w:rsidR="0083323A" w:rsidRDefault="0083323A" w:rsidP="004C6BAD">
      <w:pPr>
        <w:rPr>
          <w:b/>
          <w:sz w:val="28"/>
          <w:szCs w:val="28"/>
        </w:rPr>
      </w:pPr>
    </w:p>
    <w:p w14:paraId="1ABE814D" w14:textId="75F39F3C" w:rsidR="0083323A" w:rsidRDefault="0083323A" w:rsidP="004C6BAD">
      <w:pPr>
        <w:rPr>
          <w:b/>
          <w:sz w:val="28"/>
          <w:szCs w:val="28"/>
        </w:rPr>
      </w:pPr>
    </w:p>
    <w:p w14:paraId="631331CE" w14:textId="77777777" w:rsidR="00137F02" w:rsidRPr="005C5436" w:rsidRDefault="00137F02" w:rsidP="003014E1">
      <w:pPr>
        <w:rPr>
          <w:b/>
          <w:sz w:val="28"/>
          <w:szCs w:val="28"/>
        </w:rPr>
      </w:pPr>
      <w:r w:rsidRPr="005C5436">
        <w:rPr>
          <w:b/>
          <w:sz w:val="28"/>
          <w:szCs w:val="28"/>
        </w:rPr>
        <w:lastRenderedPageBreak/>
        <w:t>Declaration</w:t>
      </w:r>
      <w:bookmarkEnd w:id="62"/>
      <w:r w:rsidRPr="005C5436">
        <w:rPr>
          <w:b/>
          <w:sz w:val="28"/>
          <w:szCs w:val="28"/>
        </w:rPr>
        <w:t xml:space="preserve"> by </w:t>
      </w:r>
      <w:bookmarkEnd w:id="63"/>
      <w:bookmarkEnd w:id="64"/>
      <w:r w:rsidR="001D2429" w:rsidRPr="005C5436">
        <w:rPr>
          <w:b/>
          <w:sz w:val="28"/>
          <w:szCs w:val="28"/>
        </w:rPr>
        <w:t>B</w:t>
      </w:r>
      <w:r w:rsidRPr="005C5436">
        <w:rPr>
          <w:b/>
          <w:sz w:val="28"/>
          <w:szCs w:val="28"/>
        </w:rPr>
        <w:t>idder</w:t>
      </w:r>
    </w:p>
    <w:p w14:paraId="726AA4C4" w14:textId="77777777" w:rsidR="005C5436" w:rsidRDefault="005C5436" w:rsidP="003014E1"/>
    <w:p w14:paraId="003FF9DA"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3160E368" w14:textId="77777777" w:rsidR="00137F02" w:rsidRPr="003014E1" w:rsidRDefault="00137F02" w:rsidP="003014E1"/>
    <w:p w14:paraId="6D00E3FF" w14:textId="77777777" w:rsidR="00137F02" w:rsidRPr="003014E1" w:rsidRDefault="00137F02" w:rsidP="003014E1">
      <w:r w:rsidRPr="003014E1">
        <w:t>I furthermore warrant that:</w:t>
      </w:r>
      <w:r w:rsidRPr="003014E1">
        <w:br/>
      </w:r>
    </w:p>
    <w:p w14:paraId="5637A658"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2FF56FC9"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75CE487C"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05BFAE6B"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2592EB9B" w14:textId="77777777" w:rsidR="00137F02" w:rsidRPr="003014E1" w:rsidRDefault="00E07BC3" w:rsidP="00E07BC3">
      <w:pPr>
        <w:pStyle w:val="ListParagraph"/>
        <w:numPr>
          <w:ilvl w:val="0"/>
          <w:numId w:val="21"/>
        </w:numPr>
      </w:pPr>
      <w:r>
        <w:t>T</w:t>
      </w:r>
      <w:r w:rsidR="00137F02" w:rsidRPr="003014E1">
        <w:t>here has been no canvassing of STA staff; and</w:t>
      </w:r>
    </w:p>
    <w:p w14:paraId="10655DA5" w14:textId="77777777"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1BC64F98"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6DEA27D1" w14:textId="77777777" w:rsidTr="00EA4FCD">
        <w:tc>
          <w:tcPr>
            <w:tcW w:w="3348" w:type="dxa"/>
            <w:shd w:val="clear" w:color="auto" w:fill="B8CCE4" w:themeFill="accent1" w:themeFillTint="66"/>
          </w:tcPr>
          <w:p w14:paraId="21E84D17" w14:textId="77777777" w:rsidR="00137F02" w:rsidRPr="003014E1" w:rsidRDefault="00137F02" w:rsidP="003014E1">
            <w:r w:rsidRPr="003014E1">
              <w:t>Signed</w:t>
            </w:r>
            <w:r w:rsidR="00EA4FCD">
              <w:t>:</w:t>
            </w:r>
          </w:p>
        </w:tc>
        <w:tc>
          <w:tcPr>
            <w:tcW w:w="6120" w:type="dxa"/>
            <w:shd w:val="clear" w:color="auto" w:fill="auto"/>
          </w:tcPr>
          <w:p w14:paraId="67E24125" w14:textId="77777777" w:rsidR="00137F02" w:rsidRPr="003014E1" w:rsidRDefault="00137F02" w:rsidP="003014E1"/>
        </w:tc>
      </w:tr>
      <w:tr w:rsidR="00137F02" w:rsidRPr="003014E1" w14:paraId="033B5C78" w14:textId="77777777" w:rsidTr="00EA4FCD">
        <w:tc>
          <w:tcPr>
            <w:tcW w:w="3348" w:type="dxa"/>
            <w:shd w:val="clear" w:color="auto" w:fill="B8CCE4" w:themeFill="accent1" w:themeFillTint="66"/>
          </w:tcPr>
          <w:p w14:paraId="4B067509" w14:textId="77777777" w:rsidR="00137F02" w:rsidRPr="003014E1" w:rsidRDefault="00137F02" w:rsidP="003014E1">
            <w:r w:rsidRPr="003014E1">
              <w:t>Name</w:t>
            </w:r>
            <w:r w:rsidR="00EA4FCD">
              <w:t>:</w:t>
            </w:r>
          </w:p>
        </w:tc>
        <w:tc>
          <w:tcPr>
            <w:tcW w:w="6120" w:type="dxa"/>
            <w:shd w:val="clear" w:color="auto" w:fill="auto"/>
          </w:tcPr>
          <w:p w14:paraId="51C4BAB4" w14:textId="77777777" w:rsidR="00137F02" w:rsidRPr="003014E1" w:rsidRDefault="00137F02" w:rsidP="003014E1"/>
        </w:tc>
      </w:tr>
      <w:tr w:rsidR="00137F02" w:rsidRPr="003014E1" w14:paraId="7F2CBD07" w14:textId="77777777" w:rsidTr="00EA4FCD">
        <w:tc>
          <w:tcPr>
            <w:tcW w:w="3348" w:type="dxa"/>
            <w:shd w:val="clear" w:color="auto" w:fill="B8CCE4" w:themeFill="accent1" w:themeFillTint="66"/>
          </w:tcPr>
          <w:p w14:paraId="1757093D" w14:textId="77777777" w:rsidR="00137F02" w:rsidRPr="003014E1" w:rsidRDefault="00137F02" w:rsidP="003014E1">
            <w:r w:rsidRPr="003014E1">
              <w:t>Date</w:t>
            </w:r>
            <w:r w:rsidR="00EA4FCD">
              <w:t>:</w:t>
            </w:r>
          </w:p>
        </w:tc>
        <w:tc>
          <w:tcPr>
            <w:tcW w:w="6120" w:type="dxa"/>
            <w:shd w:val="clear" w:color="auto" w:fill="auto"/>
          </w:tcPr>
          <w:p w14:paraId="010A31FF" w14:textId="77777777" w:rsidR="00137F02" w:rsidRPr="003014E1" w:rsidRDefault="00137F02" w:rsidP="003014E1"/>
        </w:tc>
      </w:tr>
      <w:tr w:rsidR="00137F02" w:rsidRPr="003014E1" w14:paraId="104CC338" w14:textId="77777777" w:rsidTr="00EA4FCD">
        <w:tc>
          <w:tcPr>
            <w:tcW w:w="3348" w:type="dxa"/>
            <w:shd w:val="clear" w:color="auto" w:fill="B8CCE4" w:themeFill="accent1" w:themeFillTint="66"/>
          </w:tcPr>
          <w:p w14:paraId="725CBAFD" w14:textId="77777777" w:rsidR="00137F02" w:rsidRPr="003014E1" w:rsidRDefault="00137F02" w:rsidP="003014E1">
            <w:r w:rsidRPr="003014E1">
              <w:t>Role</w:t>
            </w:r>
            <w:r w:rsidR="00EA4FCD">
              <w:t>:</w:t>
            </w:r>
          </w:p>
        </w:tc>
        <w:tc>
          <w:tcPr>
            <w:tcW w:w="6120" w:type="dxa"/>
            <w:shd w:val="clear" w:color="auto" w:fill="auto"/>
          </w:tcPr>
          <w:p w14:paraId="6A7E749E" w14:textId="77777777" w:rsidR="00137F02" w:rsidRPr="003014E1" w:rsidRDefault="00137F02" w:rsidP="003014E1"/>
        </w:tc>
      </w:tr>
      <w:tr w:rsidR="00137F02" w:rsidRPr="003014E1" w14:paraId="2C1F7CC1" w14:textId="77777777" w:rsidTr="00EA4FCD">
        <w:tc>
          <w:tcPr>
            <w:tcW w:w="3348" w:type="dxa"/>
            <w:shd w:val="clear" w:color="auto" w:fill="B8CCE4" w:themeFill="accent1" w:themeFillTint="66"/>
          </w:tcPr>
          <w:p w14:paraId="6BE9EB72" w14:textId="77777777"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14:paraId="07FA65C9" w14:textId="77777777" w:rsidR="00137F02" w:rsidRPr="003014E1" w:rsidRDefault="00137F02" w:rsidP="003014E1"/>
        </w:tc>
      </w:tr>
    </w:tbl>
    <w:p w14:paraId="501C5B94" w14:textId="77777777" w:rsidR="00D14829" w:rsidRDefault="00D14829" w:rsidP="003014E1">
      <w:pPr>
        <w:rPr>
          <w:b/>
          <w:sz w:val="32"/>
          <w:szCs w:val="32"/>
        </w:rPr>
      </w:pPr>
    </w:p>
    <w:p w14:paraId="33C19130" w14:textId="77777777" w:rsidR="00286834" w:rsidRDefault="00286834" w:rsidP="003014E1">
      <w:pPr>
        <w:rPr>
          <w:b/>
          <w:sz w:val="32"/>
          <w:szCs w:val="32"/>
        </w:rPr>
      </w:pPr>
    </w:p>
    <w:p w14:paraId="29AB49CD" w14:textId="77777777" w:rsidR="00286834" w:rsidRDefault="00286834" w:rsidP="003014E1">
      <w:pPr>
        <w:rPr>
          <w:b/>
          <w:sz w:val="32"/>
          <w:szCs w:val="32"/>
        </w:rPr>
      </w:pPr>
    </w:p>
    <w:p w14:paraId="32AD65B2" w14:textId="77777777" w:rsidR="00286834" w:rsidRDefault="00286834" w:rsidP="003014E1">
      <w:pPr>
        <w:rPr>
          <w:b/>
          <w:sz w:val="32"/>
          <w:szCs w:val="32"/>
        </w:rPr>
      </w:pPr>
    </w:p>
    <w:p w14:paraId="3142B592" w14:textId="77777777" w:rsidR="00286834" w:rsidRDefault="00286834" w:rsidP="003014E1">
      <w:pPr>
        <w:rPr>
          <w:b/>
          <w:sz w:val="32"/>
          <w:szCs w:val="32"/>
        </w:rPr>
      </w:pPr>
    </w:p>
    <w:p w14:paraId="4A59829E" w14:textId="77777777" w:rsidR="00286834" w:rsidRDefault="00286834" w:rsidP="003014E1">
      <w:pPr>
        <w:rPr>
          <w:b/>
          <w:sz w:val="32"/>
          <w:szCs w:val="32"/>
        </w:rPr>
      </w:pPr>
    </w:p>
    <w:p w14:paraId="3C91FF60" w14:textId="77777777" w:rsidR="00286834" w:rsidRDefault="00286834" w:rsidP="003014E1">
      <w:pPr>
        <w:rPr>
          <w:b/>
          <w:sz w:val="32"/>
          <w:szCs w:val="32"/>
        </w:rPr>
      </w:pPr>
    </w:p>
    <w:p w14:paraId="61EF97CC" w14:textId="77777777" w:rsidR="00286834" w:rsidRDefault="00286834" w:rsidP="003014E1">
      <w:pPr>
        <w:rPr>
          <w:b/>
          <w:sz w:val="32"/>
          <w:szCs w:val="32"/>
        </w:rPr>
      </w:pPr>
    </w:p>
    <w:p w14:paraId="06BF3D4C" w14:textId="11AF2133" w:rsidR="008F1411" w:rsidRDefault="008F1411" w:rsidP="003014E1">
      <w:pPr>
        <w:rPr>
          <w:b/>
          <w:sz w:val="32"/>
          <w:szCs w:val="32"/>
        </w:rPr>
      </w:pPr>
      <w:r>
        <w:rPr>
          <w:b/>
          <w:sz w:val="32"/>
          <w:szCs w:val="32"/>
        </w:rPr>
        <w:lastRenderedPageBreak/>
        <w:t>Annex A</w:t>
      </w:r>
      <w:r w:rsidRPr="00433248">
        <w:rPr>
          <w:b/>
          <w:sz w:val="32"/>
          <w:szCs w:val="32"/>
        </w:rPr>
        <w:t xml:space="preserve">: </w:t>
      </w:r>
      <w:r w:rsidR="005B2309">
        <w:rPr>
          <w:b/>
          <w:sz w:val="32"/>
          <w:szCs w:val="32"/>
        </w:rPr>
        <w:t>Contract</w:t>
      </w:r>
    </w:p>
    <w:p w14:paraId="06995768" w14:textId="365280B5" w:rsidR="00772865" w:rsidRDefault="00772865" w:rsidP="003014E1">
      <w:pPr>
        <w:rPr>
          <w:b/>
          <w:sz w:val="32"/>
          <w:szCs w:val="32"/>
        </w:rPr>
      </w:pPr>
    </w:p>
    <w:p w14:paraId="162078EC" w14:textId="77777777" w:rsidR="00772865" w:rsidRDefault="00772865" w:rsidP="003014E1"/>
    <w:bookmarkStart w:id="65" w:name="_MON_1573451189"/>
    <w:bookmarkEnd w:id="65"/>
    <w:p w14:paraId="719F3B96" w14:textId="56671B28" w:rsidR="008F1411" w:rsidRDefault="00B03B52" w:rsidP="003014E1">
      <w:r>
        <w:object w:dxaOrig="1482" w:dyaOrig="961" w14:anchorId="0D141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48pt" o:ole="">
            <v:imagedata r:id="rId19" o:title=""/>
          </v:shape>
          <o:OLEObject Type="Embed" ProgID="Word.Document.12" ShapeID="_x0000_i1025" DrawAspect="Icon" ObjectID="_1574237608" r:id="rId20">
            <o:FieldCodes>\s</o:FieldCodes>
          </o:OLEObject>
        </w:object>
      </w:r>
    </w:p>
    <w:p w14:paraId="683943C3" w14:textId="750E845B" w:rsidR="008F1411" w:rsidRPr="00027DA0" w:rsidRDefault="008F1411" w:rsidP="008F1411">
      <w:pPr>
        <w:rPr>
          <w:b/>
        </w:rPr>
      </w:pPr>
    </w:p>
    <w:p w14:paraId="77E96FBF" w14:textId="3A69EF74" w:rsidR="008F1411" w:rsidRDefault="008F1411" w:rsidP="008F1411"/>
    <w:p w14:paraId="5170DF68" w14:textId="77777777" w:rsidR="008F1411" w:rsidRDefault="008F1411" w:rsidP="008F1411"/>
    <w:p w14:paraId="72377DB5" w14:textId="73500979" w:rsidR="008F1411" w:rsidRDefault="008F1411" w:rsidP="008F1411"/>
    <w:p w14:paraId="0EA9C6B6" w14:textId="553ED25A" w:rsidR="00524953" w:rsidRDefault="00524953" w:rsidP="008F1411"/>
    <w:p w14:paraId="3A393509" w14:textId="77777777" w:rsidR="00A5135B" w:rsidRPr="003014E1" w:rsidRDefault="00A5135B" w:rsidP="00433248"/>
    <w:sectPr w:rsidR="00A5135B" w:rsidRPr="003014E1" w:rsidSect="006A67DF">
      <w:headerReference w:type="even" r:id="rId21"/>
      <w:headerReference w:type="default" r:id="rId22"/>
      <w:footerReference w:type="default" r:id="rId23"/>
      <w:headerReference w:type="first" r:id="rId24"/>
      <w:pgSz w:w="16840" w:h="11907" w:orient="landscape" w:code="9"/>
      <w:pgMar w:top="1077" w:right="1077" w:bottom="924" w:left="1440"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6F84F" w14:textId="77777777" w:rsidR="00A6371E" w:rsidRDefault="00A6371E">
      <w:r>
        <w:separator/>
      </w:r>
    </w:p>
  </w:endnote>
  <w:endnote w:type="continuationSeparator" w:id="0">
    <w:p w14:paraId="4E467489" w14:textId="77777777" w:rsidR="00A6371E" w:rsidRDefault="00A6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11153" w14:textId="77777777" w:rsidR="0083323A" w:rsidRDefault="0083323A"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5E1C" w14:textId="77777777" w:rsidR="0083323A" w:rsidRDefault="0083323A" w:rsidP="008E756B">
    <w:pPr>
      <w:pStyle w:val="Footer"/>
      <w:pBdr>
        <w:bottom w:val="single" w:sz="12" w:space="1" w:color="auto"/>
      </w:pBdr>
      <w:jc w:val="right"/>
      <w:rPr>
        <w:rStyle w:val="PageNumber"/>
      </w:rPr>
    </w:pPr>
  </w:p>
  <w:p w14:paraId="58023C6D" w14:textId="77777777" w:rsidR="0083323A" w:rsidRDefault="0083323A" w:rsidP="008E756B">
    <w:pPr>
      <w:pStyle w:val="Footer"/>
      <w:jc w:val="right"/>
      <w:rPr>
        <w:rStyle w:val="PageNumber"/>
      </w:rPr>
    </w:pPr>
  </w:p>
  <w:p w14:paraId="68D4FCC9" w14:textId="44E18A9A" w:rsidR="0083323A" w:rsidRPr="00653B4E" w:rsidRDefault="0083323A"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444694">
      <w:rPr>
        <w:rStyle w:val="PageNumber"/>
        <w:noProof/>
        <w:sz w:val="20"/>
        <w:szCs w:val="20"/>
      </w:rPr>
      <w:t>20</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444694">
      <w:rPr>
        <w:rStyle w:val="PageNumber"/>
        <w:noProof/>
        <w:sz w:val="20"/>
        <w:szCs w:val="20"/>
      </w:rPr>
      <w:t>20</w:t>
    </w:r>
    <w:r w:rsidRPr="00653B4E">
      <w:rPr>
        <w:rStyle w:val="PageNumber"/>
        <w:sz w:val="20"/>
        <w:szCs w:val="20"/>
      </w:rPr>
      <w:fldChar w:fldCharType="end"/>
    </w:r>
  </w:p>
  <w:p w14:paraId="4DF28708" w14:textId="77777777" w:rsidR="0083323A" w:rsidRDefault="008332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FCD3" w14:textId="77777777" w:rsidR="00A6371E" w:rsidRDefault="00A6371E">
      <w:r>
        <w:separator/>
      </w:r>
    </w:p>
  </w:footnote>
  <w:footnote w:type="continuationSeparator" w:id="0">
    <w:p w14:paraId="492D17DF" w14:textId="77777777" w:rsidR="00A6371E" w:rsidRDefault="00A6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86052" w14:textId="77777777" w:rsidR="0083323A" w:rsidRPr="007A70EF" w:rsidRDefault="0083323A">
    <w:pPr>
      <w:pStyle w:val="Header"/>
      <w:pBdr>
        <w:bottom w:val="single" w:sz="12" w:space="1" w:color="auto"/>
      </w:pBdr>
      <w:rPr>
        <w:sz w:val="2"/>
        <w:szCs w:val="2"/>
      </w:rPr>
    </w:pPr>
  </w:p>
  <w:p w14:paraId="3C43EDAD" w14:textId="77777777" w:rsidR="0083323A" w:rsidRDefault="0083323A"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AB02" w14:textId="77777777" w:rsidR="0083323A" w:rsidRDefault="00833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D66B" w14:textId="77777777" w:rsidR="0083323A" w:rsidRDefault="0083323A" w:rsidP="008E756B">
    <w:pPr>
      <w:pStyle w:val="Header"/>
      <w:pBdr>
        <w:bottom w:val="single" w:sz="12" w:space="1" w:color="auto"/>
      </w:pBdr>
      <w:jc w:val="right"/>
    </w:pPr>
  </w:p>
  <w:p w14:paraId="0115B9D1" w14:textId="77777777" w:rsidR="0083323A" w:rsidRDefault="0083323A">
    <w:pPr>
      <w:pStyle w:val="Header"/>
    </w:pPr>
  </w:p>
  <w:p w14:paraId="39862C77" w14:textId="77777777" w:rsidR="0083323A" w:rsidRDefault="0083323A"/>
  <w:p w14:paraId="6B64AB25" w14:textId="77777777" w:rsidR="0083323A" w:rsidRDefault="0083323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3486F" w14:textId="77777777" w:rsidR="0083323A" w:rsidRDefault="00833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20B1C"/>
    <w:multiLevelType w:val="hybridMultilevel"/>
    <w:tmpl w:val="0A1E682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6556BE"/>
    <w:multiLevelType w:val="hybridMultilevel"/>
    <w:tmpl w:val="EAE28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1D045DFD"/>
    <w:multiLevelType w:val="hybridMultilevel"/>
    <w:tmpl w:val="05E690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924B26"/>
    <w:multiLevelType w:val="hybridMultilevel"/>
    <w:tmpl w:val="61BA9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407482"/>
    <w:multiLevelType w:val="hybridMultilevel"/>
    <w:tmpl w:val="CC80E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FD430E"/>
    <w:multiLevelType w:val="hybridMultilevel"/>
    <w:tmpl w:val="4276F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244624"/>
    <w:multiLevelType w:val="hybridMultilevel"/>
    <w:tmpl w:val="097C4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3145DA"/>
    <w:multiLevelType w:val="hybridMultilevel"/>
    <w:tmpl w:val="BBD21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7E5214"/>
    <w:multiLevelType w:val="multilevel"/>
    <w:tmpl w:val="FDA8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0036D8"/>
    <w:multiLevelType w:val="hybridMultilevel"/>
    <w:tmpl w:val="6E6CB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B22F6F"/>
    <w:multiLevelType w:val="hybridMultilevel"/>
    <w:tmpl w:val="FD30B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644EEC"/>
    <w:multiLevelType w:val="hybridMultilevel"/>
    <w:tmpl w:val="045C8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1"/>
  </w:num>
  <w:num w:numId="4">
    <w:abstractNumId w:val="27"/>
  </w:num>
  <w:num w:numId="5">
    <w:abstractNumId w:val="12"/>
  </w:num>
  <w:num w:numId="6">
    <w:abstractNumId w:val="17"/>
  </w:num>
  <w:num w:numId="7">
    <w:abstractNumId w:val="20"/>
  </w:num>
  <w:num w:numId="8">
    <w:abstractNumId w:val="19"/>
  </w:num>
  <w:num w:numId="9">
    <w:abstractNumId w:val="14"/>
  </w:num>
  <w:num w:numId="10">
    <w:abstractNumId w:val="3"/>
  </w:num>
  <w:num w:numId="11">
    <w:abstractNumId w:val="10"/>
  </w:num>
  <w:num w:numId="12">
    <w:abstractNumId w:val="37"/>
  </w:num>
  <w:num w:numId="13">
    <w:abstractNumId w:val="8"/>
  </w:num>
  <w:num w:numId="14">
    <w:abstractNumId w:val="9"/>
  </w:num>
  <w:num w:numId="15">
    <w:abstractNumId w:val="16"/>
  </w:num>
  <w:num w:numId="16">
    <w:abstractNumId w:val="2"/>
  </w:num>
  <w:num w:numId="17">
    <w:abstractNumId w:val="36"/>
  </w:num>
  <w:num w:numId="18">
    <w:abstractNumId w:val="6"/>
  </w:num>
  <w:num w:numId="19">
    <w:abstractNumId w:val="29"/>
  </w:num>
  <w:num w:numId="20">
    <w:abstractNumId w:val="34"/>
  </w:num>
  <w:num w:numId="21">
    <w:abstractNumId w:val="31"/>
  </w:num>
  <w:num w:numId="22">
    <w:abstractNumId w:val="35"/>
  </w:num>
  <w:num w:numId="23">
    <w:abstractNumId w:val="33"/>
  </w:num>
  <w:num w:numId="24">
    <w:abstractNumId w:val="5"/>
  </w:num>
  <w:num w:numId="25">
    <w:abstractNumId w:val="4"/>
  </w:num>
  <w:num w:numId="26">
    <w:abstractNumId w:val="0"/>
  </w:num>
  <w:num w:numId="27">
    <w:abstractNumId w:val="30"/>
  </w:num>
  <w:num w:numId="28">
    <w:abstractNumId w:val="18"/>
  </w:num>
  <w:num w:numId="29">
    <w:abstractNumId w:val="28"/>
  </w:num>
  <w:num w:numId="30">
    <w:abstractNumId w:val="32"/>
  </w:num>
  <w:num w:numId="31">
    <w:abstractNumId w:val="21"/>
  </w:num>
  <w:num w:numId="32">
    <w:abstractNumId w:val="24"/>
  </w:num>
  <w:num w:numId="33">
    <w:abstractNumId w:val="7"/>
  </w:num>
  <w:num w:numId="34">
    <w:abstractNumId w:val="13"/>
  </w:num>
  <w:num w:numId="35">
    <w:abstractNumId w:val="22"/>
  </w:num>
  <w:num w:numId="36">
    <w:abstractNumId w:val="26"/>
  </w:num>
  <w:num w:numId="37">
    <w:abstractNumId w:val="25"/>
  </w:num>
  <w:num w:numId="3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6E7"/>
    <w:rsid w:val="0000596A"/>
    <w:rsid w:val="0001033F"/>
    <w:rsid w:val="000106C5"/>
    <w:rsid w:val="00011F78"/>
    <w:rsid w:val="00012B3F"/>
    <w:rsid w:val="00016DD0"/>
    <w:rsid w:val="00022435"/>
    <w:rsid w:val="00022CC5"/>
    <w:rsid w:val="00022DB6"/>
    <w:rsid w:val="0003209C"/>
    <w:rsid w:val="00032236"/>
    <w:rsid w:val="00041864"/>
    <w:rsid w:val="00046175"/>
    <w:rsid w:val="000465D8"/>
    <w:rsid w:val="0004776A"/>
    <w:rsid w:val="000578FA"/>
    <w:rsid w:val="00063C4B"/>
    <w:rsid w:val="00065402"/>
    <w:rsid w:val="0007403F"/>
    <w:rsid w:val="000833EF"/>
    <w:rsid w:val="00084FA2"/>
    <w:rsid w:val="000851F2"/>
    <w:rsid w:val="000A0C1B"/>
    <w:rsid w:val="000A0EC1"/>
    <w:rsid w:val="000A451C"/>
    <w:rsid w:val="000B1468"/>
    <w:rsid w:val="000B1613"/>
    <w:rsid w:val="000B6948"/>
    <w:rsid w:val="000C2B87"/>
    <w:rsid w:val="000C3939"/>
    <w:rsid w:val="000C60CF"/>
    <w:rsid w:val="000D0C25"/>
    <w:rsid w:val="000D212F"/>
    <w:rsid w:val="000D2E94"/>
    <w:rsid w:val="000E39DD"/>
    <w:rsid w:val="000E3BBA"/>
    <w:rsid w:val="000F1A3C"/>
    <w:rsid w:val="000F4E59"/>
    <w:rsid w:val="001073B9"/>
    <w:rsid w:val="001105A2"/>
    <w:rsid w:val="00116F59"/>
    <w:rsid w:val="00120E19"/>
    <w:rsid w:val="00125DA0"/>
    <w:rsid w:val="00134109"/>
    <w:rsid w:val="001362FD"/>
    <w:rsid w:val="001366BB"/>
    <w:rsid w:val="001372F2"/>
    <w:rsid w:val="00137786"/>
    <w:rsid w:val="00137F02"/>
    <w:rsid w:val="001527B2"/>
    <w:rsid w:val="00152ADD"/>
    <w:rsid w:val="00153F85"/>
    <w:rsid w:val="00155AFA"/>
    <w:rsid w:val="0016040C"/>
    <w:rsid w:val="00161684"/>
    <w:rsid w:val="00161EF4"/>
    <w:rsid w:val="001622CF"/>
    <w:rsid w:val="00165056"/>
    <w:rsid w:val="00165816"/>
    <w:rsid w:val="001671C1"/>
    <w:rsid w:val="00180A06"/>
    <w:rsid w:val="00181759"/>
    <w:rsid w:val="00182783"/>
    <w:rsid w:val="00190E59"/>
    <w:rsid w:val="00195F8E"/>
    <w:rsid w:val="00197575"/>
    <w:rsid w:val="001A54FA"/>
    <w:rsid w:val="001B05C8"/>
    <w:rsid w:val="001B6DF9"/>
    <w:rsid w:val="001C728F"/>
    <w:rsid w:val="001D2429"/>
    <w:rsid w:val="001D55BC"/>
    <w:rsid w:val="001D7FB3"/>
    <w:rsid w:val="001E1CC9"/>
    <w:rsid w:val="001E2F15"/>
    <w:rsid w:val="001E455D"/>
    <w:rsid w:val="001E5AC3"/>
    <w:rsid w:val="001F1A4F"/>
    <w:rsid w:val="001F2CF6"/>
    <w:rsid w:val="001F3E93"/>
    <w:rsid w:val="001F5B6B"/>
    <w:rsid w:val="002009C2"/>
    <w:rsid w:val="002017FE"/>
    <w:rsid w:val="00211C37"/>
    <w:rsid w:val="00212D24"/>
    <w:rsid w:val="0021374F"/>
    <w:rsid w:val="00215594"/>
    <w:rsid w:val="00217581"/>
    <w:rsid w:val="002335B0"/>
    <w:rsid w:val="002338A1"/>
    <w:rsid w:val="00251448"/>
    <w:rsid w:val="0025216D"/>
    <w:rsid w:val="00252A2F"/>
    <w:rsid w:val="00260BA9"/>
    <w:rsid w:val="002617AD"/>
    <w:rsid w:val="00266064"/>
    <w:rsid w:val="002662A0"/>
    <w:rsid w:val="002731CC"/>
    <w:rsid w:val="00275D6E"/>
    <w:rsid w:val="0027611C"/>
    <w:rsid w:val="002840D0"/>
    <w:rsid w:val="00286834"/>
    <w:rsid w:val="002915FA"/>
    <w:rsid w:val="00294A62"/>
    <w:rsid w:val="00295EFC"/>
    <w:rsid w:val="002B0376"/>
    <w:rsid w:val="002B0F91"/>
    <w:rsid w:val="002B651E"/>
    <w:rsid w:val="002B6601"/>
    <w:rsid w:val="002C056D"/>
    <w:rsid w:val="002C12FF"/>
    <w:rsid w:val="002C7BB8"/>
    <w:rsid w:val="002D2A7A"/>
    <w:rsid w:val="002D341A"/>
    <w:rsid w:val="002D4147"/>
    <w:rsid w:val="002D529D"/>
    <w:rsid w:val="002E28FA"/>
    <w:rsid w:val="002E6101"/>
    <w:rsid w:val="002F0777"/>
    <w:rsid w:val="002F2749"/>
    <w:rsid w:val="002F3082"/>
    <w:rsid w:val="003014E1"/>
    <w:rsid w:val="003018AB"/>
    <w:rsid w:val="003028CA"/>
    <w:rsid w:val="00306E2B"/>
    <w:rsid w:val="00310289"/>
    <w:rsid w:val="00310708"/>
    <w:rsid w:val="00311D10"/>
    <w:rsid w:val="00312BD3"/>
    <w:rsid w:val="003221D6"/>
    <w:rsid w:val="00322AEE"/>
    <w:rsid w:val="00325357"/>
    <w:rsid w:val="003259B1"/>
    <w:rsid w:val="00326D31"/>
    <w:rsid w:val="003270B7"/>
    <w:rsid w:val="00330395"/>
    <w:rsid w:val="00347A3B"/>
    <w:rsid w:val="00350F48"/>
    <w:rsid w:val="0035182D"/>
    <w:rsid w:val="00353218"/>
    <w:rsid w:val="00353356"/>
    <w:rsid w:val="00356998"/>
    <w:rsid w:val="003662DE"/>
    <w:rsid w:val="00367EEB"/>
    <w:rsid w:val="00370895"/>
    <w:rsid w:val="003747CD"/>
    <w:rsid w:val="0037591E"/>
    <w:rsid w:val="00376BF5"/>
    <w:rsid w:val="00381973"/>
    <w:rsid w:val="00390493"/>
    <w:rsid w:val="00391690"/>
    <w:rsid w:val="0039282B"/>
    <w:rsid w:val="00392AE9"/>
    <w:rsid w:val="00392FE1"/>
    <w:rsid w:val="003A653F"/>
    <w:rsid w:val="003B3AB9"/>
    <w:rsid w:val="003B78F9"/>
    <w:rsid w:val="003B7E25"/>
    <w:rsid w:val="003C2255"/>
    <w:rsid w:val="003D3285"/>
    <w:rsid w:val="003D3A29"/>
    <w:rsid w:val="003D4671"/>
    <w:rsid w:val="003D74A2"/>
    <w:rsid w:val="003D7A13"/>
    <w:rsid w:val="003E1B86"/>
    <w:rsid w:val="003E311B"/>
    <w:rsid w:val="003F079B"/>
    <w:rsid w:val="00402829"/>
    <w:rsid w:val="00405D5C"/>
    <w:rsid w:val="0041256E"/>
    <w:rsid w:val="004169A0"/>
    <w:rsid w:val="00420098"/>
    <w:rsid w:val="00425728"/>
    <w:rsid w:val="004268E5"/>
    <w:rsid w:val="00430DC5"/>
    <w:rsid w:val="00433248"/>
    <w:rsid w:val="004426EE"/>
    <w:rsid w:val="0044362C"/>
    <w:rsid w:val="00444694"/>
    <w:rsid w:val="0044762E"/>
    <w:rsid w:val="00450C68"/>
    <w:rsid w:val="00450D89"/>
    <w:rsid w:val="004533A7"/>
    <w:rsid w:val="004563D8"/>
    <w:rsid w:val="004573AA"/>
    <w:rsid w:val="00460505"/>
    <w:rsid w:val="004623B5"/>
    <w:rsid w:val="00463122"/>
    <w:rsid w:val="004650A2"/>
    <w:rsid w:val="0046647F"/>
    <w:rsid w:val="00471F4C"/>
    <w:rsid w:val="00472EF0"/>
    <w:rsid w:val="00480E77"/>
    <w:rsid w:val="004838B3"/>
    <w:rsid w:val="00484C39"/>
    <w:rsid w:val="00487BFB"/>
    <w:rsid w:val="00490CD1"/>
    <w:rsid w:val="00491EE8"/>
    <w:rsid w:val="00493BD1"/>
    <w:rsid w:val="004955D9"/>
    <w:rsid w:val="00496C9A"/>
    <w:rsid w:val="004A073A"/>
    <w:rsid w:val="004A1BBC"/>
    <w:rsid w:val="004A2BF4"/>
    <w:rsid w:val="004A3759"/>
    <w:rsid w:val="004B07AA"/>
    <w:rsid w:val="004B47FE"/>
    <w:rsid w:val="004C26AB"/>
    <w:rsid w:val="004C40DA"/>
    <w:rsid w:val="004C6BAD"/>
    <w:rsid w:val="004C7EF6"/>
    <w:rsid w:val="004E0F22"/>
    <w:rsid w:val="004E342B"/>
    <w:rsid w:val="004E633C"/>
    <w:rsid w:val="004F1F58"/>
    <w:rsid w:val="00503434"/>
    <w:rsid w:val="00503D28"/>
    <w:rsid w:val="00505B3E"/>
    <w:rsid w:val="00510972"/>
    <w:rsid w:val="00511CA5"/>
    <w:rsid w:val="005150CE"/>
    <w:rsid w:val="0051776B"/>
    <w:rsid w:val="005245F3"/>
    <w:rsid w:val="00524953"/>
    <w:rsid w:val="005260FE"/>
    <w:rsid w:val="00530814"/>
    <w:rsid w:val="005337B2"/>
    <w:rsid w:val="00536295"/>
    <w:rsid w:val="0053684A"/>
    <w:rsid w:val="00537F32"/>
    <w:rsid w:val="00545301"/>
    <w:rsid w:val="00554BC4"/>
    <w:rsid w:val="00560117"/>
    <w:rsid w:val="00565333"/>
    <w:rsid w:val="005718A6"/>
    <w:rsid w:val="005818DB"/>
    <w:rsid w:val="00582B2D"/>
    <w:rsid w:val="005848EA"/>
    <w:rsid w:val="00587F5D"/>
    <w:rsid w:val="00591B39"/>
    <w:rsid w:val="005A044D"/>
    <w:rsid w:val="005A2D47"/>
    <w:rsid w:val="005B1CC3"/>
    <w:rsid w:val="005B2309"/>
    <w:rsid w:val="005B3841"/>
    <w:rsid w:val="005B5A07"/>
    <w:rsid w:val="005B6527"/>
    <w:rsid w:val="005C1372"/>
    <w:rsid w:val="005C17C7"/>
    <w:rsid w:val="005C40FF"/>
    <w:rsid w:val="005C4E74"/>
    <w:rsid w:val="005C5436"/>
    <w:rsid w:val="005D2814"/>
    <w:rsid w:val="005D5368"/>
    <w:rsid w:val="005D7287"/>
    <w:rsid w:val="005E2171"/>
    <w:rsid w:val="005E4614"/>
    <w:rsid w:val="005F1EC2"/>
    <w:rsid w:val="005F4D57"/>
    <w:rsid w:val="006017D3"/>
    <w:rsid w:val="006040C7"/>
    <w:rsid w:val="00605E5E"/>
    <w:rsid w:val="00607A4B"/>
    <w:rsid w:val="00607BCD"/>
    <w:rsid w:val="00610459"/>
    <w:rsid w:val="00610DEF"/>
    <w:rsid w:val="006125CA"/>
    <w:rsid w:val="0061344D"/>
    <w:rsid w:val="006134B0"/>
    <w:rsid w:val="0061533D"/>
    <w:rsid w:val="00616CC3"/>
    <w:rsid w:val="006216FE"/>
    <w:rsid w:val="0062220A"/>
    <w:rsid w:val="00623A93"/>
    <w:rsid w:val="0062704E"/>
    <w:rsid w:val="00634682"/>
    <w:rsid w:val="0063490A"/>
    <w:rsid w:val="0063507E"/>
    <w:rsid w:val="006363E9"/>
    <w:rsid w:val="00636F00"/>
    <w:rsid w:val="0064273D"/>
    <w:rsid w:val="00644417"/>
    <w:rsid w:val="0064634D"/>
    <w:rsid w:val="006513A8"/>
    <w:rsid w:val="006567AA"/>
    <w:rsid w:val="00661613"/>
    <w:rsid w:val="00662D5F"/>
    <w:rsid w:val="00662F0F"/>
    <w:rsid w:val="006632FF"/>
    <w:rsid w:val="006640F3"/>
    <w:rsid w:val="006666FD"/>
    <w:rsid w:val="00670AF2"/>
    <w:rsid w:val="006749E7"/>
    <w:rsid w:val="00675BA3"/>
    <w:rsid w:val="006817D2"/>
    <w:rsid w:val="00683779"/>
    <w:rsid w:val="00683B38"/>
    <w:rsid w:val="006858D6"/>
    <w:rsid w:val="00687908"/>
    <w:rsid w:val="00694A57"/>
    <w:rsid w:val="006A0189"/>
    <w:rsid w:val="006A0C65"/>
    <w:rsid w:val="006A0D28"/>
    <w:rsid w:val="006A1127"/>
    <w:rsid w:val="006A2D7C"/>
    <w:rsid w:val="006A2F72"/>
    <w:rsid w:val="006A3278"/>
    <w:rsid w:val="006A3ABF"/>
    <w:rsid w:val="006A4526"/>
    <w:rsid w:val="006A5529"/>
    <w:rsid w:val="006A67DF"/>
    <w:rsid w:val="006A68DC"/>
    <w:rsid w:val="006B4AD6"/>
    <w:rsid w:val="006B6E53"/>
    <w:rsid w:val="006C02C3"/>
    <w:rsid w:val="006C126B"/>
    <w:rsid w:val="006C184E"/>
    <w:rsid w:val="006C32C4"/>
    <w:rsid w:val="006C3A4D"/>
    <w:rsid w:val="006C3C28"/>
    <w:rsid w:val="006C571F"/>
    <w:rsid w:val="006C61D0"/>
    <w:rsid w:val="006D3C7A"/>
    <w:rsid w:val="006D3EBD"/>
    <w:rsid w:val="006D506F"/>
    <w:rsid w:val="006D5C31"/>
    <w:rsid w:val="006E3A64"/>
    <w:rsid w:val="006E6F0B"/>
    <w:rsid w:val="006F0DB5"/>
    <w:rsid w:val="0070116C"/>
    <w:rsid w:val="00701D6A"/>
    <w:rsid w:val="00703B17"/>
    <w:rsid w:val="00704DA0"/>
    <w:rsid w:val="007104E4"/>
    <w:rsid w:val="0071084E"/>
    <w:rsid w:val="00711E35"/>
    <w:rsid w:val="0072290C"/>
    <w:rsid w:val="00725E41"/>
    <w:rsid w:val="00726ED9"/>
    <w:rsid w:val="00735C47"/>
    <w:rsid w:val="00742C6F"/>
    <w:rsid w:val="00743735"/>
    <w:rsid w:val="007442BB"/>
    <w:rsid w:val="007463C5"/>
    <w:rsid w:val="00746846"/>
    <w:rsid w:val="007510C3"/>
    <w:rsid w:val="007534AD"/>
    <w:rsid w:val="0076458E"/>
    <w:rsid w:val="00764E19"/>
    <w:rsid w:val="00767063"/>
    <w:rsid w:val="00772865"/>
    <w:rsid w:val="00773769"/>
    <w:rsid w:val="0077638D"/>
    <w:rsid w:val="007775A3"/>
    <w:rsid w:val="00786785"/>
    <w:rsid w:val="00792FEF"/>
    <w:rsid w:val="007940AE"/>
    <w:rsid w:val="007A05AA"/>
    <w:rsid w:val="007A10F9"/>
    <w:rsid w:val="007A2F4C"/>
    <w:rsid w:val="007A3DBE"/>
    <w:rsid w:val="007A47C5"/>
    <w:rsid w:val="007A4C02"/>
    <w:rsid w:val="007A509F"/>
    <w:rsid w:val="007B1A37"/>
    <w:rsid w:val="007B2D0A"/>
    <w:rsid w:val="007B49CD"/>
    <w:rsid w:val="007B593B"/>
    <w:rsid w:val="007B5A46"/>
    <w:rsid w:val="007B66D4"/>
    <w:rsid w:val="007C1BC2"/>
    <w:rsid w:val="007C24B4"/>
    <w:rsid w:val="007D0DBA"/>
    <w:rsid w:val="007D3C4D"/>
    <w:rsid w:val="007D4DB0"/>
    <w:rsid w:val="007D65A9"/>
    <w:rsid w:val="007E114A"/>
    <w:rsid w:val="007E14C3"/>
    <w:rsid w:val="007E7477"/>
    <w:rsid w:val="007F073B"/>
    <w:rsid w:val="007F4FD7"/>
    <w:rsid w:val="00800CFE"/>
    <w:rsid w:val="00801B20"/>
    <w:rsid w:val="00801F06"/>
    <w:rsid w:val="00802120"/>
    <w:rsid w:val="0080236B"/>
    <w:rsid w:val="00805C20"/>
    <w:rsid w:val="00805C72"/>
    <w:rsid w:val="00807168"/>
    <w:rsid w:val="008110C1"/>
    <w:rsid w:val="00811649"/>
    <w:rsid w:val="00814134"/>
    <w:rsid w:val="00814B0F"/>
    <w:rsid w:val="008207D0"/>
    <w:rsid w:val="00820AB4"/>
    <w:rsid w:val="00822BE6"/>
    <w:rsid w:val="00826894"/>
    <w:rsid w:val="008308E6"/>
    <w:rsid w:val="00831225"/>
    <w:rsid w:val="008319F2"/>
    <w:rsid w:val="00832BCA"/>
    <w:rsid w:val="0083323A"/>
    <w:rsid w:val="008350B4"/>
    <w:rsid w:val="008428AB"/>
    <w:rsid w:val="00846937"/>
    <w:rsid w:val="0084724F"/>
    <w:rsid w:val="0085701A"/>
    <w:rsid w:val="00861B2D"/>
    <w:rsid w:val="00863232"/>
    <w:rsid w:val="00863664"/>
    <w:rsid w:val="0086764C"/>
    <w:rsid w:val="008715D5"/>
    <w:rsid w:val="0088151C"/>
    <w:rsid w:val="008817AB"/>
    <w:rsid w:val="00881E7F"/>
    <w:rsid w:val="0088307A"/>
    <w:rsid w:val="008843A4"/>
    <w:rsid w:val="00885D1D"/>
    <w:rsid w:val="00897324"/>
    <w:rsid w:val="0089746D"/>
    <w:rsid w:val="008A27F4"/>
    <w:rsid w:val="008A4F70"/>
    <w:rsid w:val="008A6600"/>
    <w:rsid w:val="008B1C49"/>
    <w:rsid w:val="008B2E0E"/>
    <w:rsid w:val="008B606D"/>
    <w:rsid w:val="008B67CC"/>
    <w:rsid w:val="008B69C7"/>
    <w:rsid w:val="008C4143"/>
    <w:rsid w:val="008C7E8E"/>
    <w:rsid w:val="008D1228"/>
    <w:rsid w:val="008D5E36"/>
    <w:rsid w:val="008D6EC5"/>
    <w:rsid w:val="008E3BDA"/>
    <w:rsid w:val="008E756B"/>
    <w:rsid w:val="008F0BEE"/>
    <w:rsid w:val="008F1411"/>
    <w:rsid w:val="008F2739"/>
    <w:rsid w:val="008F3E87"/>
    <w:rsid w:val="008F452F"/>
    <w:rsid w:val="00901EE3"/>
    <w:rsid w:val="00905ADC"/>
    <w:rsid w:val="00906C33"/>
    <w:rsid w:val="00911014"/>
    <w:rsid w:val="00912B37"/>
    <w:rsid w:val="009173AF"/>
    <w:rsid w:val="0092543A"/>
    <w:rsid w:val="00932946"/>
    <w:rsid w:val="00935BC2"/>
    <w:rsid w:val="009424FA"/>
    <w:rsid w:val="009426CB"/>
    <w:rsid w:val="00943153"/>
    <w:rsid w:val="009476BF"/>
    <w:rsid w:val="00951A2F"/>
    <w:rsid w:val="009534AF"/>
    <w:rsid w:val="00957B49"/>
    <w:rsid w:val="00957FA1"/>
    <w:rsid w:val="00960CA9"/>
    <w:rsid w:val="00962E32"/>
    <w:rsid w:val="00963073"/>
    <w:rsid w:val="00963EB8"/>
    <w:rsid w:val="00965A56"/>
    <w:rsid w:val="0097315A"/>
    <w:rsid w:val="00975346"/>
    <w:rsid w:val="00983CFD"/>
    <w:rsid w:val="00990F13"/>
    <w:rsid w:val="00993861"/>
    <w:rsid w:val="00995998"/>
    <w:rsid w:val="00997E2E"/>
    <w:rsid w:val="009A05F0"/>
    <w:rsid w:val="009A39D7"/>
    <w:rsid w:val="009A3F0A"/>
    <w:rsid w:val="009A4948"/>
    <w:rsid w:val="009A6DEF"/>
    <w:rsid w:val="009B2354"/>
    <w:rsid w:val="009B3380"/>
    <w:rsid w:val="009B3EFE"/>
    <w:rsid w:val="009B493A"/>
    <w:rsid w:val="009B6105"/>
    <w:rsid w:val="009C547E"/>
    <w:rsid w:val="009D3D73"/>
    <w:rsid w:val="009D56A1"/>
    <w:rsid w:val="009D6BF0"/>
    <w:rsid w:val="009D74D8"/>
    <w:rsid w:val="009D78DD"/>
    <w:rsid w:val="009E6525"/>
    <w:rsid w:val="009E6862"/>
    <w:rsid w:val="009E6C65"/>
    <w:rsid w:val="009E73AD"/>
    <w:rsid w:val="009F1BD1"/>
    <w:rsid w:val="009F5357"/>
    <w:rsid w:val="009F7653"/>
    <w:rsid w:val="009F7871"/>
    <w:rsid w:val="00A00569"/>
    <w:rsid w:val="00A020E7"/>
    <w:rsid w:val="00A02C06"/>
    <w:rsid w:val="00A1575E"/>
    <w:rsid w:val="00A21E85"/>
    <w:rsid w:val="00A2379D"/>
    <w:rsid w:val="00A2477A"/>
    <w:rsid w:val="00A2712A"/>
    <w:rsid w:val="00A3306B"/>
    <w:rsid w:val="00A36044"/>
    <w:rsid w:val="00A366A9"/>
    <w:rsid w:val="00A42FB8"/>
    <w:rsid w:val="00A44712"/>
    <w:rsid w:val="00A46068"/>
    <w:rsid w:val="00A46871"/>
    <w:rsid w:val="00A46912"/>
    <w:rsid w:val="00A50134"/>
    <w:rsid w:val="00A5135B"/>
    <w:rsid w:val="00A6170E"/>
    <w:rsid w:val="00A61BD8"/>
    <w:rsid w:val="00A6371E"/>
    <w:rsid w:val="00A63A46"/>
    <w:rsid w:val="00A64099"/>
    <w:rsid w:val="00A677F1"/>
    <w:rsid w:val="00A85F6F"/>
    <w:rsid w:val="00A935EF"/>
    <w:rsid w:val="00A94606"/>
    <w:rsid w:val="00A96425"/>
    <w:rsid w:val="00A979C5"/>
    <w:rsid w:val="00AA186E"/>
    <w:rsid w:val="00AB5F6E"/>
    <w:rsid w:val="00AB6016"/>
    <w:rsid w:val="00AB7044"/>
    <w:rsid w:val="00AB7A42"/>
    <w:rsid w:val="00AB7EEA"/>
    <w:rsid w:val="00AC2A37"/>
    <w:rsid w:val="00AC39F1"/>
    <w:rsid w:val="00AC7ED0"/>
    <w:rsid w:val="00AD0989"/>
    <w:rsid w:val="00AD0E50"/>
    <w:rsid w:val="00AD132D"/>
    <w:rsid w:val="00AD632D"/>
    <w:rsid w:val="00AD7EA7"/>
    <w:rsid w:val="00AE6277"/>
    <w:rsid w:val="00AE67C6"/>
    <w:rsid w:val="00AF0554"/>
    <w:rsid w:val="00AF1801"/>
    <w:rsid w:val="00AF1C07"/>
    <w:rsid w:val="00AF2E4B"/>
    <w:rsid w:val="00AF3F19"/>
    <w:rsid w:val="00AF6348"/>
    <w:rsid w:val="00AF737F"/>
    <w:rsid w:val="00AF7BF6"/>
    <w:rsid w:val="00B006DF"/>
    <w:rsid w:val="00B01046"/>
    <w:rsid w:val="00B019E0"/>
    <w:rsid w:val="00B03B52"/>
    <w:rsid w:val="00B05ECD"/>
    <w:rsid w:val="00B06172"/>
    <w:rsid w:val="00B061EE"/>
    <w:rsid w:val="00B063A3"/>
    <w:rsid w:val="00B16A24"/>
    <w:rsid w:val="00B16A8C"/>
    <w:rsid w:val="00B17966"/>
    <w:rsid w:val="00B21E71"/>
    <w:rsid w:val="00B2308D"/>
    <w:rsid w:val="00B23C38"/>
    <w:rsid w:val="00B2677D"/>
    <w:rsid w:val="00B275C1"/>
    <w:rsid w:val="00B35C8B"/>
    <w:rsid w:val="00B404A6"/>
    <w:rsid w:val="00B414E2"/>
    <w:rsid w:val="00B4436C"/>
    <w:rsid w:val="00B45BC4"/>
    <w:rsid w:val="00B46B46"/>
    <w:rsid w:val="00B5062D"/>
    <w:rsid w:val="00B55621"/>
    <w:rsid w:val="00B56AC6"/>
    <w:rsid w:val="00B57D23"/>
    <w:rsid w:val="00B630B6"/>
    <w:rsid w:val="00B640B9"/>
    <w:rsid w:val="00B6522B"/>
    <w:rsid w:val="00B65709"/>
    <w:rsid w:val="00B6776D"/>
    <w:rsid w:val="00B67DF2"/>
    <w:rsid w:val="00B71001"/>
    <w:rsid w:val="00B7253A"/>
    <w:rsid w:val="00B74522"/>
    <w:rsid w:val="00B77DD1"/>
    <w:rsid w:val="00B80A04"/>
    <w:rsid w:val="00B8487E"/>
    <w:rsid w:val="00B85BF7"/>
    <w:rsid w:val="00B864E9"/>
    <w:rsid w:val="00B939CC"/>
    <w:rsid w:val="00B94DE1"/>
    <w:rsid w:val="00B971F3"/>
    <w:rsid w:val="00BA39A3"/>
    <w:rsid w:val="00BA3B82"/>
    <w:rsid w:val="00BA5769"/>
    <w:rsid w:val="00BA7467"/>
    <w:rsid w:val="00BB1495"/>
    <w:rsid w:val="00BB3EA4"/>
    <w:rsid w:val="00BB5F28"/>
    <w:rsid w:val="00BC4224"/>
    <w:rsid w:val="00BC547B"/>
    <w:rsid w:val="00BD04C8"/>
    <w:rsid w:val="00BD4B6C"/>
    <w:rsid w:val="00BD604B"/>
    <w:rsid w:val="00BE63D8"/>
    <w:rsid w:val="00BF2DBE"/>
    <w:rsid w:val="00BF38BD"/>
    <w:rsid w:val="00BF6AF3"/>
    <w:rsid w:val="00BF76F4"/>
    <w:rsid w:val="00C02DB2"/>
    <w:rsid w:val="00C07CF6"/>
    <w:rsid w:val="00C109DD"/>
    <w:rsid w:val="00C16EC3"/>
    <w:rsid w:val="00C267D9"/>
    <w:rsid w:val="00C33E66"/>
    <w:rsid w:val="00C34DA0"/>
    <w:rsid w:val="00C37933"/>
    <w:rsid w:val="00C37BCE"/>
    <w:rsid w:val="00C408C7"/>
    <w:rsid w:val="00C43DB0"/>
    <w:rsid w:val="00C47EEA"/>
    <w:rsid w:val="00C519D0"/>
    <w:rsid w:val="00C53ED0"/>
    <w:rsid w:val="00C60B25"/>
    <w:rsid w:val="00C63067"/>
    <w:rsid w:val="00C6527B"/>
    <w:rsid w:val="00C6528B"/>
    <w:rsid w:val="00C70ACB"/>
    <w:rsid w:val="00C70CF5"/>
    <w:rsid w:val="00C712CC"/>
    <w:rsid w:val="00C717DF"/>
    <w:rsid w:val="00C71CF0"/>
    <w:rsid w:val="00CA4BAB"/>
    <w:rsid w:val="00CA4FEC"/>
    <w:rsid w:val="00CA75B8"/>
    <w:rsid w:val="00CB12CE"/>
    <w:rsid w:val="00CB4AC3"/>
    <w:rsid w:val="00CB57F5"/>
    <w:rsid w:val="00CB7AE3"/>
    <w:rsid w:val="00CC0F00"/>
    <w:rsid w:val="00CC1F0F"/>
    <w:rsid w:val="00CC41FF"/>
    <w:rsid w:val="00CC6E5A"/>
    <w:rsid w:val="00CD3B31"/>
    <w:rsid w:val="00CD497A"/>
    <w:rsid w:val="00CD7921"/>
    <w:rsid w:val="00CE02FF"/>
    <w:rsid w:val="00CE084B"/>
    <w:rsid w:val="00CE28DF"/>
    <w:rsid w:val="00D0090B"/>
    <w:rsid w:val="00D01E7F"/>
    <w:rsid w:val="00D02D57"/>
    <w:rsid w:val="00D0530D"/>
    <w:rsid w:val="00D118D6"/>
    <w:rsid w:val="00D14829"/>
    <w:rsid w:val="00D20266"/>
    <w:rsid w:val="00D20C29"/>
    <w:rsid w:val="00D278EC"/>
    <w:rsid w:val="00D27939"/>
    <w:rsid w:val="00D32672"/>
    <w:rsid w:val="00D33842"/>
    <w:rsid w:val="00D42E71"/>
    <w:rsid w:val="00D46F96"/>
    <w:rsid w:val="00D470E7"/>
    <w:rsid w:val="00D47915"/>
    <w:rsid w:val="00D523F9"/>
    <w:rsid w:val="00D5724A"/>
    <w:rsid w:val="00D57D6E"/>
    <w:rsid w:val="00D61577"/>
    <w:rsid w:val="00D61F5A"/>
    <w:rsid w:val="00D620A3"/>
    <w:rsid w:val="00D6379D"/>
    <w:rsid w:val="00D656C2"/>
    <w:rsid w:val="00D669FC"/>
    <w:rsid w:val="00D80C40"/>
    <w:rsid w:val="00D80EFA"/>
    <w:rsid w:val="00D877B2"/>
    <w:rsid w:val="00D93D15"/>
    <w:rsid w:val="00DA7B26"/>
    <w:rsid w:val="00DB0948"/>
    <w:rsid w:val="00DB4C12"/>
    <w:rsid w:val="00DB72CE"/>
    <w:rsid w:val="00DB7BF2"/>
    <w:rsid w:val="00DC34F6"/>
    <w:rsid w:val="00DC7883"/>
    <w:rsid w:val="00DD6932"/>
    <w:rsid w:val="00DF079D"/>
    <w:rsid w:val="00E0081E"/>
    <w:rsid w:val="00E02094"/>
    <w:rsid w:val="00E03AB0"/>
    <w:rsid w:val="00E0465A"/>
    <w:rsid w:val="00E05872"/>
    <w:rsid w:val="00E06BDE"/>
    <w:rsid w:val="00E07BC3"/>
    <w:rsid w:val="00E109C2"/>
    <w:rsid w:val="00E10F4C"/>
    <w:rsid w:val="00E2419F"/>
    <w:rsid w:val="00E254CF"/>
    <w:rsid w:val="00E26772"/>
    <w:rsid w:val="00E27428"/>
    <w:rsid w:val="00E312E0"/>
    <w:rsid w:val="00E32AB2"/>
    <w:rsid w:val="00E366D6"/>
    <w:rsid w:val="00E41ADC"/>
    <w:rsid w:val="00E42202"/>
    <w:rsid w:val="00E43977"/>
    <w:rsid w:val="00E5399B"/>
    <w:rsid w:val="00E53FBE"/>
    <w:rsid w:val="00E5508C"/>
    <w:rsid w:val="00E55149"/>
    <w:rsid w:val="00E553C1"/>
    <w:rsid w:val="00E62216"/>
    <w:rsid w:val="00E63426"/>
    <w:rsid w:val="00E63D8B"/>
    <w:rsid w:val="00E66666"/>
    <w:rsid w:val="00E67746"/>
    <w:rsid w:val="00E71158"/>
    <w:rsid w:val="00E717A6"/>
    <w:rsid w:val="00E81F4B"/>
    <w:rsid w:val="00E92121"/>
    <w:rsid w:val="00E92510"/>
    <w:rsid w:val="00E93B29"/>
    <w:rsid w:val="00E97173"/>
    <w:rsid w:val="00EA11BE"/>
    <w:rsid w:val="00EA230B"/>
    <w:rsid w:val="00EA4475"/>
    <w:rsid w:val="00EA4FCD"/>
    <w:rsid w:val="00EB1636"/>
    <w:rsid w:val="00EB180C"/>
    <w:rsid w:val="00EB3A28"/>
    <w:rsid w:val="00EC146D"/>
    <w:rsid w:val="00EC644A"/>
    <w:rsid w:val="00EC6A3F"/>
    <w:rsid w:val="00ED407C"/>
    <w:rsid w:val="00EE5820"/>
    <w:rsid w:val="00EE5E08"/>
    <w:rsid w:val="00EF3FD4"/>
    <w:rsid w:val="00F00E06"/>
    <w:rsid w:val="00F023BC"/>
    <w:rsid w:val="00F07331"/>
    <w:rsid w:val="00F10661"/>
    <w:rsid w:val="00F16DCB"/>
    <w:rsid w:val="00F1754F"/>
    <w:rsid w:val="00F17844"/>
    <w:rsid w:val="00F2159D"/>
    <w:rsid w:val="00F22C52"/>
    <w:rsid w:val="00F240BC"/>
    <w:rsid w:val="00F263C0"/>
    <w:rsid w:val="00F30554"/>
    <w:rsid w:val="00F34144"/>
    <w:rsid w:val="00F348D2"/>
    <w:rsid w:val="00F4485F"/>
    <w:rsid w:val="00F44B6A"/>
    <w:rsid w:val="00F46F0B"/>
    <w:rsid w:val="00F51B61"/>
    <w:rsid w:val="00F521C7"/>
    <w:rsid w:val="00F532E7"/>
    <w:rsid w:val="00F556E7"/>
    <w:rsid w:val="00F60BF8"/>
    <w:rsid w:val="00F64863"/>
    <w:rsid w:val="00F866C8"/>
    <w:rsid w:val="00F867D3"/>
    <w:rsid w:val="00F86ACD"/>
    <w:rsid w:val="00F90A49"/>
    <w:rsid w:val="00F91269"/>
    <w:rsid w:val="00F92DC6"/>
    <w:rsid w:val="00F960C1"/>
    <w:rsid w:val="00FA0331"/>
    <w:rsid w:val="00FC049C"/>
    <w:rsid w:val="00FC1C0E"/>
    <w:rsid w:val="00FC3B40"/>
    <w:rsid w:val="00FC5ED8"/>
    <w:rsid w:val="00FC7AD2"/>
    <w:rsid w:val="00FD157C"/>
    <w:rsid w:val="00FD1788"/>
    <w:rsid w:val="00FD2592"/>
    <w:rsid w:val="00FD4826"/>
    <w:rsid w:val="00FE2898"/>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99082"/>
  <w15:docId w15:val="{76A59E0E-1C21-4266-9B3E-CFFE74A9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Spacing">
    <w:name w:val="No Spacing"/>
    <w:link w:val="NoSpacingChar"/>
    <w:uiPriority w:val="1"/>
    <w:qFormat/>
    <w:rsid w:val="00376BF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76BF5"/>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329332669">
      <w:bodyDiv w:val="1"/>
      <w:marLeft w:val="0"/>
      <w:marRight w:val="0"/>
      <w:marTop w:val="0"/>
      <w:marBottom w:val="0"/>
      <w:divBdr>
        <w:top w:val="none" w:sz="0" w:space="0" w:color="auto"/>
        <w:left w:val="none" w:sz="0" w:space="0" w:color="auto"/>
        <w:bottom w:val="none" w:sz="0" w:space="0" w:color="auto"/>
        <w:right w:val="none" w:sz="0" w:space="0" w:color="auto"/>
      </w:divBdr>
    </w:div>
    <w:div w:id="512769856">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174686472">
      <w:bodyDiv w:val="1"/>
      <w:marLeft w:val="0"/>
      <w:marRight w:val="0"/>
      <w:marTop w:val="0"/>
      <w:marBottom w:val="0"/>
      <w:divBdr>
        <w:top w:val="none" w:sz="0" w:space="0" w:color="auto"/>
        <w:left w:val="none" w:sz="0" w:space="0" w:color="auto"/>
        <w:bottom w:val="none" w:sz="0" w:space="0" w:color="auto"/>
        <w:right w:val="none" w:sz="0" w:space="0" w:color="auto"/>
      </w:divBdr>
      <w:divsChild>
        <w:div w:id="774130007">
          <w:marLeft w:val="547"/>
          <w:marRight w:val="0"/>
          <w:marTop w:val="0"/>
          <w:marBottom w:val="0"/>
          <w:divBdr>
            <w:top w:val="none" w:sz="0" w:space="0" w:color="auto"/>
            <w:left w:val="none" w:sz="0" w:space="0" w:color="auto"/>
            <w:bottom w:val="none" w:sz="0" w:space="0" w:color="auto"/>
            <w:right w:val="none" w:sz="0" w:space="0" w:color="auto"/>
          </w:divBdr>
        </w:div>
        <w:div w:id="660163868">
          <w:marLeft w:val="547"/>
          <w:marRight w:val="0"/>
          <w:marTop w:val="0"/>
          <w:marBottom w:val="0"/>
          <w:divBdr>
            <w:top w:val="none" w:sz="0" w:space="0" w:color="auto"/>
            <w:left w:val="none" w:sz="0" w:space="0" w:color="auto"/>
            <w:bottom w:val="none" w:sz="0" w:space="0" w:color="auto"/>
            <w:right w:val="none" w:sz="0" w:space="0" w:color="auto"/>
          </w:divBdr>
        </w:div>
      </w:divsChild>
    </w:div>
    <w:div w:id="1286304543">
      <w:bodyDiv w:val="1"/>
      <w:marLeft w:val="0"/>
      <w:marRight w:val="0"/>
      <w:marTop w:val="0"/>
      <w:marBottom w:val="0"/>
      <w:divBdr>
        <w:top w:val="none" w:sz="0" w:space="0" w:color="auto"/>
        <w:left w:val="none" w:sz="0" w:space="0" w:color="auto"/>
        <w:bottom w:val="none" w:sz="0" w:space="0" w:color="auto"/>
        <w:right w:val="none" w:sz="0" w:space="0" w:color="auto"/>
      </w:divBdr>
      <w:divsChild>
        <w:div w:id="233204355">
          <w:marLeft w:val="547"/>
          <w:marRight w:val="0"/>
          <w:marTop w:val="0"/>
          <w:marBottom w:val="0"/>
          <w:divBdr>
            <w:top w:val="none" w:sz="0" w:space="0" w:color="auto"/>
            <w:left w:val="none" w:sz="0" w:space="0" w:color="auto"/>
            <w:bottom w:val="none" w:sz="0" w:space="0" w:color="auto"/>
            <w:right w:val="none" w:sz="0" w:space="0" w:color="auto"/>
          </w:divBdr>
        </w:div>
        <w:div w:id="1627929486">
          <w:marLeft w:val="547"/>
          <w:marRight w:val="0"/>
          <w:marTop w:val="0"/>
          <w:marBottom w:val="0"/>
          <w:divBdr>
            <w:top w:val="none" w:sz="0" w:space="0" w:color="auto"/>
            <w:left w:val="none" w:sz="0" w:space="0" w:color="auto"/>
            <w:bottom w:val="none" w:sz="0" w:space="0" w:color="auto"/>
            <w:right w:val="none" w:sz="0" w:space="0" w:color="auto"/>
          </w:divBdr>
        </w:div>
      </w:divsChild>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Jennifer.Conlon@education.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85a719ee-0e1a-405a-acca-fded54921c95">
      <Value>4</Value>
      <Value>2</Value>
      <Value>1</Value>
    </TaxCatchAll>
    <_dlc_DocId xmlns="85a719ee-0e1a-405a-acca-fded54921c95">R7V2QUUQPMTK-6-69280</_dlc_DocId>
    <_dlc_DocIdUrl xmlns="85a719ee-0e1a-405a-acca-fded54921c95">
      <Url>https://educationgovuk.sharepoint.com/sites/stacom/_layouts/15/DocIdRedir.aspx?ID=R7V2QUUQPMTK-6-69280</Url>
      <Description>R7V2QUUQPMTK-6-69280</Description>
    </_dlc_DocIdUrl>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2.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http://schemas.microsoft.com/sharepoint/v3"/>
    <ds:schemaRef ds:uri="85a719ee-0e1a-405a-acca-fded54921c95"/>
    <ds:schemaRef ds:uri="906b00a0-3f23-4820-8da1-8de25fc78cbd"/>
    <ds:schemaRef ds:uri="95ab55cc-3ec0-4b23-b395-e89a1530037f"/>
  </ds:schemaRefs>
</ds:datastoreItem>
</file>

<file path=customXml/itemProps3.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4.xml><?xml version="1.0" encoding="utf-8"?>
<ds:datastoreItem xmlns:ds="http://schemas.openxmlformats.org/officeDocument/2006/customXml" ds:itemID="{E536107D-7BD1-417F-95D6-87364C4A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A0B137-8408-4C98-AB7C-3A054EBE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3422</Words>
  <Characters>19510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Curriculum Experts ITT (STA-0160)</vt:lpstr>
    </vt:vector>
  </TitlesOfParts>
  <Company>DfE</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Experts ITT (STA-0160)</dc:title>
  <dc:creator>HEATHCOTE, James</dc:creator>
  <cp:lastModifiedBy>CONLON, Jennifer</cp:lastModifiedBy>
  <cp:revision>3</cp:revision>
  <cp:lastPrinted>2017-12-07T08:55:00Z</cp:lastPrinted>
  <dcterms:created xsi:type="dcterms:W3CDTF">2017-12-08T11:25:00Z</dcterms:created>
  <dcterms:modified xsi:type="dcterms:W3CDTF">2017-12-08T11:27:00Z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5a34f5a2-0bf3-4f6b-bd6e-31aaf4a5b4c2</vt:lpwstr>
  </property>
  <property fmtid="{D5CDD505-2E9C-101B-9397-08002B2CF9AE}" pid="9" name="IWPSubject">
    <vt:lpwstr/>
  </property>
  <property fmtid="{D5CDD505-2E9C-101B-9397-08002B2CF9AE}" pid="10" name="IWPSiteType">
    <vt:lpwstr/>
  </property>
</Properties>
</file>