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016"/>
      </w:tblGrid>
      <w:tr w:rsidR="00C855F6" w:rsidRPr="00E97FC7" w14:paraId="5D720B67" w14:textId="77777777" w:rsidTr="3FADC956">
        <w:tc>
          <w:tcPr>
            <w:tcW w:w="9016" w:type="dxa"/>
            <w:shd w:val="clear" w:color="auto" w:fill="92D050"/>
            <w:vAlign w:val="center"/>
          </w:tcPr>
          <w:p w14:paraId="6BA9EC8E" w14:textId="15665844" w:rsidR="00C855F6" w:rsidRPr="00E97FC7" w:rsidRDefault="202C6A97" w:rsidP="202C6A97">
            <w:pPr>
              <w:rPr>
                <w:rFonts w:eastAsiaTheme="minorEastAsia"/>
              </w:rPr>
            </w:pPr>
            <w:r w:rsidRPr="00E97FC7">
              <w:rPr>
                <w:rFonts w:eastAsiaTheme="minorEastAsia"/>
                <w:b/>
                <w:bCs/>
              </w:rPr>
              <w:t>Price (Weight 30%)</w:t>
            </w:r>
            <w:r w:rsidRPr="00E97FC7">
              <w:rPr>
                <w:rFonts w:eastAsiaTheme="minorEastAsia"/>
              </w:rPr>
              <w:t xml:space="preserve"> </w:t>
            </w:r>
          </w:p>
          <w:p w14:paraId="0A37501D" w14:textId="77777777" w:rsidR="00C855F6" w:rsidRPr="00E97FC7" w:rsidRDefault="00C855F6" w:rsidP="00C855F6">
            <w:pPr>
              <w:rPr>
                <w:rFonts w:cstheme="minorHAnsi"/>
              </w:rPr>
            </w:pPr>
          </w:p>
        </w:tc>
      </w:tr>
      <w:tr w:rsidR="00C855F6" w:rsidRPr="00E97FC7" w14:paraId="12D729BC" w14:textId="77777777" w:rsidTr="3FADC956">
        <w:tc>
          <w:tcPr>
            <w:tcW w:w="9016" w:type="dxa"/>
          </w:tcPr>
          <w:p w14:paraId="02EB378F" w14:textId="77777777" w:rsidR="00C855F6" w:rsidRPr="00E97FC7" w:rsidRDefault="00C855F6" w:rsidP="00C855F6">
            <w:pPr>
              <w:rPr>
                <w:rFonts w:cstheme="minorHAnsi"/>
              </w:rPr>
            </w:pPr>
          </w:p>
          <w:p w14:paraId="550975D7" w14:textId="460D2474" w:rsidR="1FB33CC1" w:rsidRPr="00E97FC7" w:rsidRDefault="202C6A97" w:rsidP="202C6A97">
            <w:pPr>
              <w:rPr>
                <w:rFonts w:eastAsiaTheme="minorEastAsia"/>
              </w:rPr>
            </w:pPr>
            <w:r w:rsidRPr="00E97FC7">
              <w:rPr>
                <w:rFonts w:eastAsiaTheme="minorEastAsia"/>
              </w:rPr>
              <w:t xml:space="preserve">Tenderers are required to complete the Ballistic Testing Pricing Schedule Form at </w:t>
            </w:r>
            <w:r w:rsidR="00461DD4" w:rsidRPr="00E97FC7">
              <w:rPr>
                <w:rFonts w:eastAsiaTheme="minorEastAsia"/>
              </w:rPr>
              <w:t>Enclosure 04.</w:t>
            </w:r>
          </w:p>
          <w:p w14:paraId="2BE2D631" w14:textId="226FE5C1" w:rsidR="00942749" w:rsidRPr="00E97FC7" w:rsidRDefault="00942749" w:rsidP="574BD5F5">
            <w:pPr>
              <w:rPr>
                <w:rFonts w:eastAsia="Arial" w:cstheme="minorHAnsi"/>
              </w:rPr>
            </w:pPr>
          </w:p>
          <w:p w14:paraId="772BCB6B" w14:textId="72401E41" w:rsidR="003E1B17" w:rsidRPr="00E97FC7" w:rsidRDefault="202C6A97" w:rsidP="202C6A97">
            <w:pPr>
              <w:rPr>
                <w:rFonts w:eastAsiaTheme="minorEastAsia"/>
              </w:rPr>
            </w:pPr>
            <w:r w:rsidRPr="00E97FC7">
              <w:rPr>
                <w:rFonts w:eastAsiaTheme="minorEastAsia"/>
              </w:rPr>
              <w:t>The Tenderer submitting the lowest overall firm price of the compliant Tenderers will be awarded an overall mark of 30. Other Tenderers who submit a higher firm price will be awarded an element of these 30 marks adjusted downwards by a ratio commensurate with the difference between their overall firm price and that of the lowest priced Tenderer, as follows:</w:t>
            </w:r>
          </w:p>
          <w:p w14:paraId="19BC9DBD" w14:textId="77777777" w:rsidR="003E1B17" w:rsidRPr="00E97FC7" w:rsidRDefault="003E1B17" w:rsidP="003E1B17">
            <w:pPr>
              <w:rPr>
                <w:rFonts w:eastAsia="Arial" w:cstheme="minorHAnsi"/>
              </w:rPr>
            </w:pPr>
          </w:p>
          <w:p w14:paraId="57AA0B7A" w14:textId="301466E8" w:rsidR="003E1B17" w:rsidRPr="00E97FC7" w:rsidRDefault="202C6A97" w:rsidP="202C6A97">
            <w:pPr>
              <w:rPr>
                <w:rFonts w:eastAsiaTheme="minorEastAsia"/>
              </w:rPr>
            </w:pPr>
            <w:r w:rsidRPr="00E97FC7">
              <w:rPr>
                <w:rFonts w:eastAsiaTheme="minorEastAsia"/>
              </w:rPr>
              <w:t>Tenderer’s Price Score = (Lowest Tenderers total price / Tenderers total price) x 30</w:t>
            </w:r>
          </w:p>
          <w:p w14:paraId="3713257F" w14:textId="77777777" w:rsidR="003E1B17" w:rsidRPr="00E97FC7" w:rsidRDefault="003E1B17" w:rsidP="56AA3373">
            <w:pPr>
              <w:rPr>
                <w:rFonts w:eastAsia="Arial" w:cstheme="minorHAnsi"/>
              </w:rPr>
            </w:pPr>
          </w:p>
          <w:p w14:paraId="34B7ABF1" w14:textId="66103283" w:rsidR="1FB33CC1" w:rsidRPr="00E97FC7" w:rsidRDefault="202C6A97" w:rsidP="202C6A97">
            <w:pPr>
              <w:rPr>
                <w:rFonts w:eastAsiaTheme="minorEastAsia"/>
              </w:rPr>
            </w:pPr>
            <w:r w:rsidRPr="00E97FC7">
              <w:rPr>
                <w:rFonts w:eastAsiaTheme="minorEastAsia"/>
              </w:rPr>
              <w:t xml:space="preserve">A </w:t>
            </w:r>
            <w:r w:rsidRPr="00E97FC7">
              <w:rPr>
                <w:rFonts w:eastAsiaTheme="minorEastAsia"/>
                <w:u w:val="single"/>
              </w:rPr>
              <w:t>worked example</w:t>
            </w:r>
            <w:r w:rsidRPr="00E97FC7">
              <w:rPr>
                <w:rFonts w:eastAsiaTheme="minorEastAsia"/>
              </w:rPr>
              <w:t xml:space="preserve"> is shown below:</w:t>
            </w:r>
          </w:p>
          <w:p w14:paraId="64441A17" w14:textId="2CF539E5" w:rsidR="1FB33CC1" w:rsidRPr="00E97FC7" w:rsidRDefault="1FB33CC1" w:rsidP="1FB33CC1">
            <w:pPr>
              <w:rPr>
                <w:rFonts w:eastAsia="Arial" w:cstheme="minorHAnsi"/>
              </w:rPr>
            </w:pPr>
          </w:p>
          <w:tbl>
            <w:tblPr>
              <w:tblStyle w:val="GridTable1Light-Accent1"/>
              <w:tblW w:w="0" w:type="auto"/>
              <w:tblLook w:val="06A0" w:firstRow="1" w:lastRow="0" w:firstColumn="1" w:lastColumn="0" w:noHBand="1" w:noVBand="1"/>
            </w:tblPr>
            <w:tblGrid>
              <w:gridCol w:w="2646"/>
              <w:gridCol w:w="1492"/>
            </w:tblGrid>
            <w:tr w:rsidR="003E1B17" w:rsidRPr="00E97FC7" w14:paraId="5A8BBA87" w14:textId="77777777" w:rsidTr="202C6A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6" w:type="dxa"/>
                </w:tcPr>
                <w:p w14:paraId="4D2D679E" w14:textId="77777777" w:rsidR="003E1B17" w:rsidRPr="00E97FC7" w:rsidRDefault="202C6A97" w:rsidP="202C6A97">
                  <w:pPr>
                    <w:ind w:left="14"/>
                    <w:jc w:val="center"/>
                    <w:rPr>
                      <w:rFonts w:eastAsiaTheme="minorEastAsia"/>
                    </w:rPr>
                  </w:pPr>
                  <w:r w:rsidRPr="00E97FC7">
                    <w:rPr>
                      <w:rFonts w:eastAsiaTheme="minorEastAsia"/>
                    </w:rPr>
                    <w:t>Tenderer</w:t>
                  </w:r>
                </w:p>
              </w:tc>
              <w:tc>
                <w:tcPr>
                  <w:tcW w:w="1492" w:type="dxa"/>
                </w:tcPr>
                <w:p w14:paraId="61ECF54F" w14:textId="77777777" w:rsidR="003E1B17" w:rsidRPr="00E97FC7" w:rsidRDefault="202C6A97" w:rsidP="202C6A97">
                  <w:pPr>
                    <w:ind w:left="14"/>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Price</w:t>
                  </w:r>
                </w:p>
              </w:tc>
            </w:tr>
            <w:tr w:rsidR="003E1B17" w:rsidRPr="00E97FC7" w14:paraId="161F1BA1" w14:textId="77777777" w:rsidTr="202C6A97">
              <w:tc>
                <w:tcPr>
                  <w:cnfStyle w:val="001000000000" w:firstRow="0" w:lastRow="0" w:firstColumn="1" w:lastColumn="0" w:oddVBand="0" w:evenVBand="0" w:oddHBand="0" w:evenHBand="0" w:firstRowFirstColumn="0" w:firstRowLastColumn="0" w:lastRowFirstColumn="0" w:lastRowLastColumn="0"/>
                  <w:tcW w:w="2646" w:type="dxa"/>
                </w:tcPr>
                <w:p w14:paraId="3D7FBD49" w14:textId="77777777" w:rsidR="003E1B17" w:rsidRPr="00E97FC7" w:rsidRDefault="202C6A97" w:rsidP="202C6A97">
                  <w:pPr>
                    <w:ind w:left="14"/>
                    <w:jc w:val="center"/>
                    <w:rPr>
                      <w:rFonts w:eastAsiaTheme="minorEastAsia"/>
                    </w:rPr>
                  </w:pPr>
                  <w:r w:rsidRPr="00E97FC7">
                    <w:rPr>
                      <w:rFonts w:eastAsiaTheme="minorEastAsia"/>
                    </w:rPr>
                    <w:t>Tenderer A</w:t>
                  </w:r>
                </w:p>
              </w:tc>
              <w:tc>
                <w:tcPr>
                  <w:tcW w:w="1492" w:type="dxa"/>
                </w:tcPr>
                <w:p w14:paraId="688D771A" w14:textId="77777777" w:rsidR="003E1B17" w:rsidRPr="00E97FC7" w:rsidRDefault="202C6A97" w:rsidP="202C6A9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£100</w:t>
                  </w:r>
                </w:p>
              </w:tc>
            </w:tr>
            <w:tr w:rsidR="003E1B17" w:rsidRPr="00E97FC7" w14:paraId="6A239141" w14:textId="77777777" w:rsidTr="202C6A97">
              <w:tc>
                <w:tcPr>
                  <w:cnfStyle w:val="001000000000" w:firstRow="0" w:lastRow="0" w:firstColumn="1" w:lastColumn="0" w:oddVBand="0" w:evenVBand="0" w:oddHBand="0" w:evenHBand="0" w:firstRowFirstColumn="0" w:firstRowLastColumn="0" w:lastRowFirstColumn="0" w:lastRowLastColumn="0"/>
                  <w:tcW w:w="2646" w:type="dxa"/>
                </w:tcPr>
                <w:p w14:paraId="4273BAA4" w14:textId="77777777" w:rsidR="003E1B17" w:rsidRPr="00E97FC7" w:rsidRDefault="202C6A97" w:rsidP="202C6A97">
                  <w:pPr>
                    <w:ind w:left="14"/>
                    <w:jc w:val="center"/>
                    <w:rPr>
                      <w:rFonts w:eastAsiaTheme="minorEastAsia"/>
                    </w:rPr>
                  </w:pPr>
                  <w:r w:rsidRPr="00E97FC7">
                    <w:rPr>
                      <w:rFonts w:eastAsiaTheme="minorEastAsia"/>
                    </w:rPr>
                    <w:t>Tenderer B</w:t>
                  </w:r>
                </w:p>
              </w:tc>
              <w:tc>
                <w:tcPr>
                  <w:tcW w:w="1492" w:type="dxa"/>
                </w:tcPr>
                <w:p w14:paraId="6CCC0688" w14:textId="77777777" w:rsidR="003E1B17" w:rsidRPr="00E97FC7" w:rsidRDefault="202C6A97" w:rsidP="202C6A9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£50</w:t>
                  </w:r>
                </w:p>
              </w:tc>
            </w:tr>
          </w:tbl>
          <w:p w14:paraId="450FB15C" w14:textId="6E5497C1" w:rsidR="003E1B17" w:rsidRPr="00E97FC7" w:rsidRDefault="003E1B17" w:rsidP="1FB33CC1">
            <w:pPr>
              <w:rPr>
                <w:rFonts w:eastAsia="Arial" w:cstheme="minorHAnsi"/>
              </w:rPr>
            </w:pPr>
          </w:p>
          <w:p w14:paraId="51ABAE35" w14:textId="7BB8588A" w:rsidR="1FB33CC1" w:rsidRPr="00E97FC7" w:rsidRDefault="202C6A97" w:rsidP="202C6A97">
            <w:pPr>
              <w:rPr>
                <w:rFonts w:eastAsiaTheme="minorEastAsia"/>
              </w:rPr>
            </w:pPr>
            <w:r w:rsidRPr="00E97FC7">
              <w:rPr>
                <w:rFonts w:eastAsiaTheme="minorEastAsia"/>
              </w:rPr>
              <w:t>i.e. Tenderer A has a price of £100 and Tenderer B has submitted the lowest price of £50.  Tenderer B receives 30 MEAT marks with Tenderer A receiving 15 MEAT marks which are derived as follows:</w:t>
            </w:r>
          </w:p>
          <w:p w14:paraId="6A29A2A9" w14:textId="483CCCBF" w:rsidR="003E1B17" w:rsidRPr="00E97FC7" w:rsidRDefault="003E1B17" w:rsidP="56AA3373">
            <w:pPr>
              <w:rPr>
                <w:rFonts w:eastAsia="Arial" w:cstheme="minorHAnsi"/>
              </w:rPr>
            </w:pPr>
          </w:p>
          <w:p w14:paraId="5F87A7F5" w14:textId="2B80D85A" w:rsidR="003E1B17" w:rsidRPr="00E97FC7" w:rsidRDefault="202C6A97" w:rsidP="202C6A97">
            <w:pPr>
              <w:rPr>
                <w:rFonts w:eastAsiaTheme="minorEastAsia"/>
              </w:rPr>
            </w:pPr>
            <w:r w:rsidRPr="00E97FC7">
              <w:rPr>
                <w:rFonts w:eastAsiaTheme="minorEastAsia"/>
              </w:rPr>
              <w:t>Tenderer A’s score calculation: (50 / 100) x 30 = 15 MEAT marks</w:t>
            </w:r>
          </w:p>
          <w:p w14:paraId="2E024BC3" w14:textId="2A99F2F0" w:rsidR="1FB33CC1" w:rsidRPr="00E97FC7" w:rsidRDefault="1FB33CC1" w:rsidP="1FB33CC1">
            <w:pPr>
              <w:rPr>
                <w:rFonts w:eastAsia="Arial" w:cstheme="minorHAnsi"/>
              </w:rPr>
            </w:pPr>
            <w:r w:rsidRPr="00E97FC7">
              <w:rPr>
                <w:rFonts w:eastAsia="Arial" w:cstheme="minorHAnsi"/>
              </w:rPr>
              <w:t xml:space="preserve"> </w:t>
            </w:r>
          </w:p>
          <w:tbl>
            <w:tblPr>
              <w:tblStyle w:val="GridTable1Light-Accent1"/>
              <w:tblW w:w="0" w:type="auto"/>
              <w:tblLook w:val="06A0" w:firstRow="1" w:lastRow="0" w:firstColumn="1" w:lastColumn="0" w:noHBand="1" w:noVBand="1"/>
            </w:tblPr>
            <w:tblGrid>
              <w:gridCol w:w="2646"/>
              <w:gridCol w:w="3618"/>
              <w:gridCol w:w="1843"/>
            </w:tblGrid>
            <w:tr w:rsidR="003E1B17" w:rsidRPr="00E97FC7" w14:paraId="7BBA6FC9" w14:textId="6F08C838" w:rsidTr="2F988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6" w:type="dxa"/>
                </w:tcPr>
                <w:p w14:paraId="182A1314" w14:textId="0345B789" w:rsidR="003E1B17" w:rsidRPr="00E97FC7" w:rsidRDefault="202C6A97" w:rsidP="202C6A97">
                  <w:pPr>
                    <w:ind w:left="14"/>
                    <w:jc w:val="center"/>
                    <w:rPr>
                      <w:rFonts w:eastAsiaTheme="minorEastAsia"/>
                    </w:rPr>
                  </w:pPr>
                  <w:r w:rsidRPr="00E97FC7">
                    <w:rPr>
                      <w:rFonts w:eastAsiaTheme="minorEastAsia"/>
                    </w:rPr>
                    <w:t>Tenderer</w:t>
                  </w:r>
                </w:p>
              </w:tc>
              <w:tc>
                <w:tcPr>
                  <w:tcW w:w="3618" w:type="dxa"/>
                </w:tcPr>
                <w:p w14:paraId="209B5BE9" w14:textId="1EFBD8A8" w:rsidR="003E1B17" w:rsidRPr="00E97FC7" w:rsidRDefault="202C6A97" w:rsidP="202C6A97">
                  <w:pPr>
                    <w:ind w:left="14"/>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Score Calculation</w:t>
                  </w:r>
                </w:p>
              </w:tc>
              <w:tc>
                <w:tcPr>
                  <w:tcW w:w="1843" w:type="dxa"/>
                </w:tcPr>
                <w:p w14:paraId="3EF5F146" w14:textId="3DAFE971" w:rsidR="003E1B17" w:rsidRPr="00E97FC7" w:rsidRDefault="202C6A97" w:rsidP="202C6A97">
                  <w:pPr>
                    <w:ind w:left="14"/>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Score</w:t>
                  </w:r>
                </w:p>
              </w:tc>
            </w:tr>
            <w:tr w:rsidR="003E1B17" w:rsidRPr="00E97FC7" w14:paraId="6DFEBF33" w14:textId="4E973480" w:rsidTr="2F988346">
              <w:tc>
                <w:tcPr>
                  <w:cnfStyle w:val="001000000000" w:firstRow="0" w:lastRow="0" w:firstColumn="1" w:lastColumn="0" w:oddVBand="0" w:evenVBand="0" w:oddHBand="0" w:evenHBand="0" w:firstRowFirstColumn="0" w:firstRowLastColumn="0" w:lastRowFirstColumn="0" w:lastRowLastColumn="0"/>
                  <w:tcW w:w="2646" w:type="dxa"/>
                </w:tcPr>
                <w:p w14:paraId="3A5F699B" w14:textId="5B0AAB77" w:rsidR="003E1B17" w:rsidRPr="00E97FC7" w:rsidRDefault="202C6A97" w:rsidP="202C6A97">
                  <w:pPr>
                    <w:ind w:left="14"/>
                    <w:jc w:val="center"/>
                    <w:rPr>
                      <w:rFonts w:eastAsiaTheme="minorEastAsia"/>
                    </w:rPr>
                  </w:pPr>
                  <w:r w:rsidRPr="00E97FC7">
                    <w:rPr>
                      <w:rFonts w:eastAsiaTheme="minorEastAsia"/>
                    </w:rPr>
                    <w:t>Tenderer A</w:t>
                  </w:r>
                </w:p>
              </w:tc>
              <w:tc>
                <w:tcPr>
                  <w:tcW w:w="3618" w:type="dxa"/>
                </w:tcPr>
                <w:p w14:paraId="2025F049" w14:textId="2530D79E" w:rsidR="003E1B17" w:rsidRPr="00E97FC7" w:rsidRDefault="202C6A97" w:rsidP="202C6A9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(£50 / £100) x 30 = 15</w:t>
                  </w:r>
                </w:p>
              </w:tc>
              <w:tc>
                <w:tcPr>
                  <w:tcW w:w="1843" w:type="dxa"/>
                </w:tcPr>
                <w:p w14:paraId="19C5F69B" w14:textId="12715065" w:rsidR="003E1B17" w:rsidRPr="00E97FC7" w:rsidRDefault="2F988346" w:rsidP="2F988346">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15</w:t>
                  </w:r>
                </w:p>
              </w:tc>
            </w:tr>
            <w:tr w:rsidR="003E1B17" w:rsidRPr="00E97FC7" w14:paraId="4A1672BA" w14:textId="1B3ABD15" w:rsidTr="2F988346">
              <w:tc>
                <w:tcPr>
                  <w:cnfStyle w:val="001000000000" w:firstRow="0" w:lastRow="0" w:firstColumn="1" w:lastColumn="0" w:oddVBand="0" w:evenVBand="0" w:oddHBand="0" w:evenHBand="0" w:firstRowFirstColumn="0" w:firstRowLastColumn="0" w:lastRowFirstColumn="0" w:lastRowLastColumn="0"/>
                  <w:tcW w:w="2646" w:type="dxa"/>
                </w:tcPr>
                <w:p w14:paraId="63E70CC7" w14:textId="08ED479E" w:rsidR="003E1B17" w:rsidRPr="00E97FC7" w:rsidRDefault="202C6A97" w:rsidP="202C6A97">
                  <w:pPr>
                    <w:ind w:left="14"/>
                    <w:jc w:val="center"/>
                    <w:rPr>
                      <w:rFonts w:eastAsiaTheme="minorEastAsia"/>
                    </w:rPr>
                  </w:pPr>
                  <w:r w:rsidRPr="00E97FC7">
                    <w:rPr>
                      <w:rFonts w:eastAsiaTheme="minorEastAsia"/>
                    </w:rPr>
                    <w:t>Tenderer B</w:t>
                  </w:r>
                </w:p>
              </w:tc>
              <w:tc>
                <w:tcPr>
                  <w:tcW w:w="3618" w:type="dxa"/>
                </w:tcPr>
                <w:p w14:paraId="0092179F" w14:textId="661FD29F" w:rsidR="003E1B17" w:rsidRPr="00E97FC7" w:rsidRDefault="202C6A97" w:rsidP="202C6A9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(£50 / £50) x 30 = 30</w:t>
                  </w:r>
                </w:p>
              </w:tc>
              <w:tc>
                <w:tcPr>
                  <w:tcW w:w="1843" w:type="dxa"/>
                </w:tcPr>
                <w:p w14:paraId="37748447" w14:textId="096B9DD1" w:rsidR="003E1B17" w:rsidRPr="00E97FC7" w:rsidRDefault="2F988346" w:rsidP="2F988346">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30</w:t>
                  </w:r>
                </w:p>
              </w:tc>
            </w:tr>
          </w:tbl>
          <w:p w14:paraId="0304493B" w14:textId="2AF66E5E" w:rsidR="1FB33CC1" w:rsidRPr="00E97FC7" w:rsidRDefault="1FB33CC1" w:rsidP="003E1B17">
            <w:pPr>
              <w:rPr>
                <w:rFonts w:eastAsia="Arial" w:cstheme="minorHAnsi"/>
              </w:rPr>
            </w:pPr>
          </w:p>
          <w:p w14:paraId="00EC0590" w14:textId="4B471E17" w:rsidR="1FB33CC1" w:rsidRPr="00E97FC7" w:rsidRDefault="202C6A97" w:rsidP="202C6A97">
            <w:pPr>
              <w:rPr>
                <w:rFonts w:eastAsiaTheme="minorEastAsia"/>
              </w:rPr>
            </w:pPr>
            <w:r w:rsidRPr="00E97FC7">
              <w:rPr>
                <w:rFonts w:eastAsiaTheme="minorEastAsia"/>
              </w:rPr>
              <w:t>All figures used in calculating MEAT scores will be rounded to two decimal places.</w:t>
            </w:r>
          </w:p>
          <w:p w14:paraId="7D3107A5" w14:textId="4EA65ED7" w:rsidR="1FB33CC1" w:rsidRPr="00E97FC7" w:rsidRDefault="1FB33CC1" w:rsidP="1FB33CC1">
            <w:pPr>
              <w:rPr>
                <w:rFonts w:eastAsia="Arial" w:cstheme="minorHAnsi"/>
              </w:rPr>
            </w:pPr>
            <w:r w:rsidRPr="00E97FC7">
              <w:rPr>
                <w:rFonts w:eastAsia="Arial" w:cstheme="minorHAnsi"/>
              </w:rPr>
              <w:t xml:space="preserve"> </w:t>
            </w:r>
          </w:p>
          <w:p w14:paraId="138A933F" w14:textId="57C90A97" w:rsidR="574BD5F5" w:rsidRPr="00E97FC7" w:rsidRDefault="202C6A97" w:rsidP="202C6A97">
            <w:pPr>
              <w:rPr>
                <w:rFonts w:eastAsiaTheme="minorEastAsia"/>
                <w:b/>
                <w:bCs/>
                <w:u w:val="single"/>
              </w:rPr>
            </w:pPr>
            <w:r w:rsidRPr="00E97FC7">
              <w:rPr>
                <w:rFonts w:eastAsiaTheme="minorEastAsia"/>
              </w:rPr>
              <w:t>The maximum score available is 30.</w:t>
            </w:r>
          </w:p>
          <w:p w14:paraId="3F05D69E" w14:textId="02B7B836" w:rsidR="1FB33CC1" w:rsidRPr="00E97FC7" w:rsidRDefault="1FB33CC1" w:rsidP="1FB33CC1">
            <w:pPr>
              <w:rPr>
                <w:rFonts w:eastAsia="Arial" w:cstheme="minorHAnsi"/>
              </w:rPr>
            </w:pPr>
            <w:r w:rsidRPr="00E97FC7">
              <w:rPr>
                <w:rFonts w:eastAsia="Arial" w:cstheme="minorHAnsi"/>
              </w:rPr>
              <w:t xml:space="preserve"> </w:t>
            </w:r>
          </w:p>
          <w:p w14:paraId="7AB5BD28" w14:textId="7C9C45DF" w:rsidR="1FB33CC1" w:rsidRPr="00E97FC7" w:rsidRDefault="202C6A97" w:rsidP="202C6A97">
            <w:pPr>
              <w:rPr>
                <w:rFonts w:eastAsiaTheme="minorEastAsia"/>
              </w:rPr>
            </w:pPr>
            <w:r w:rsidRPr="00E97FC7">
              <w:rPr>
                <w:rFonts w:eastAsiaTheme="minorEastAsia"/>
              </w:rPr>
              <w:t xml:space="preserve">All tied Prices will be awarded marks as per the above (in the event of a tied lowest Price, both bidders will be awarded the full 30 MEAT marks). </w:t>
            </w:r>
          </w:p>
          <w:p w14:paraId="2195177E" w14:textId="5ED4C47F" w:rsidR="1FB33CC1" w:rsidRPr="00E97FC7" w:rsidRDefault="1FB33CC1" w:rsidP="1FB33CC1">
            <w:pPr>
              <w:rPr>
                <w:rFonts w:cstheme="minorHAnsi"/>
              </w:rPr>
            </w:pPr>
          </w:p>
          <w:p w14:paraId="6A05A809" w14:textId="77777777" w:rsidR="00C855F6" w:rsidRPr="00E97FC7" w:rsidRDefault="00C855F6">
            <w:pPr>
              <w:rPr>
                <w:rFonts w:cstheme="minorHAnsi"/>
              </w:rPr>
            </w:pPr>
          </w:p>
        </w:tc>
      </w:tr>
      <w:tr w:rsidR="0099107B" w:rsidRPr="00E97FC7" w14:paraId="02084906" w14:textId="77777777" w:rsidTr="3FADC956">
        <w:tc>
          <w:tcPr>
            <w:tcW w:w="9016" w:type="dxa"/>
            <w:shd w:val="clear" w:color="auto" w:fill="92D050"/>
          </w:tcPr>
          <w:p w14:paraId="12C49E3F" w14:textId="402BA4B7" w:rsidR="0099107B" w:rsidRPr="00E97FC7" w:rsidRDefault="202C6A97" w:rsidP="202C6A97">
            <w:pPr>
              <w:rPr>
                <w:rFonts w:eastAsiaTheme="minorEastAsia"/>
                <w:b/>
                <w:bCs/>
              </w:rPr>
            </w:pPr>
            <w:r w:rsidRPr="00E97FC7">
              <w:rPr>
                <w:rFonts w:eastAsiaTheme="minorEastAsia"/>
                <w:b/>
                <w:bCs/>
              </w:rPr>
              <w:t>Technical (Weight 70%)</w:t>
            </w:r>
          </w:p>
          <w:p w14:paraId="1BF78725" w14:textId="77777777" w:rsidR="0099107B" w:rsidRPr="00E97FC7" w:rsidRDefault="0099107B" w:rsidP="005F4F0D">
            <w:pPr>
              <w:rPr>
                <w:rFonts w:cstheme="minorHAnsi"/>
              </w:rPr>
            </w:pPr>
          </w:p>
        </w:tc>
      </w:tr>
      <w:tr w:rsidR="0099107B" w:rsidRPr="00E97FC7" w14:paraId="233399C3" w14:textId="77777777" w:rsidTr="3FADC956">
        <w:tc>
          <w:tcPr>
            <w:tcW w:w="9016" w:type="dxa"/>
          </w:tcPr>
          <w:p w14:paraId="12E60F99" w14:textId="5723CB6A" w:rsidR="0099107B" w:rsidRPr="00E97FC7" w:rsidRDefault="3FADC956" w:rsidP="2F988346">
            <w:pPr>
              <w:rPr>
                <w:rFonts w:eastAsiaTheme="minorEastAsia" w:cstheme="minorEastAsia"/>
              </w:rPr>
            </w:pPr>
            <w:r w:rsidRPr="00E97FC7">
              <w:rPr>
                <w:rFonts w:eastAsiaTheme="minorEastAsia" w:cstheme="minorEastAsia"/>
              </w:rPr>
              <w:t>Details of the Technical compliance evidence Tenderers must provide and weighted scores for each requirement is detailed in the Ballistic Testing Technical Assessment Document a</w:t>
            </w:r>
            <w:r w:rsidR="001F4139" w:rsidRPr="00E97FC7">
              <w:rPr>
                <w:rFonts w:eastAsiaTheme="minorEastAsia" w:cstheme="minorEastAsia"/>
              </w:rPr>
              <w:t>t Enclosure 06</w:t>
            </w:r>
            <w:r w:rsidRPr="00E97FC7">
              <w:rPr>
                <w:rFonts w:eastAsiaTheme="minorEastAsia" w:cstheme="minorEastAsia"/>
              </w:rPr>
              <w:t>.</w:t>
            </w:r>
          </w:p>
          <w:p w14:paraId="29947C17" w14:textId="5AEE5F62" w:rsidR="00706B78" w:rsidRPr="00E97FC7" w:rsidRDefault="00706B78" w:rsidP="005F4F0D">
            <w:pPr>
              <w:rPr>
                <w:rFonts w:cstheme="minorHAnsi"/>
                <w:b/>
              </w:rPr>
            </w:pPr>
          </w:p>
          <w:p w14:paraId="7400BA0C" w14:textId="561784AC" w:rsidR="00706B78" w:rsidRPr="00E97FC7" w:rsidRDefault="3FADC956" w:rsidP="3FADC956">
            <w:pPr>
              <w:rPr>
                <w:rFonts w:eastAsiaTheme="minorEastAsia" w:cstheme="minorEastAsia"/>
              </w:rPr>
            </w:pPr>
            <w:r w:rsidRPr="00E97FC7">
              <w:rPr>
                <w:rFonts w:eastAsiaTheme="minorEastAsia" w:cstheme="minorEastAsia"/>
              </w:rPr>
              <w:t xml:space="preserve">The Tenderer scoring the highest overall Technical score as per the requirements at </w:t>
            </w:r>
            <w:r w:rsidR="001F4139" w:rsidRPr="00E97FC7">
              <w:rPr>
                <w:rFonts w:eastAsiaTheme="minorEastAsia" w:cstheme="minorEastAsia"/>
              </w:rPr>
              <w:t>Enclosure 06</w:t>
            </w:r>
            <w:r w:rsidRPr="00E97FC7">
              <w:rPr>
                <w:rFonts w:eastAsiaTheme="minorEastAsia" w:cstheme="minorEastAsia"/>
              </w:rPr>
              <w:t xml:space="preserve"> will be awarded an overall mark of 70. Other Tenderers who receive lower overall Technical scores will be awarded an element of those 70 marks adjusted downwards by a ratio commensurate with the difference between the highest technical score and the Tenderer’s technical score, as follows:</w:t>
            </w:r>
          </w:p>
          <w:p w14:paraId="3A21C0A0" w14:textId="72C5B224" w:rsidR="00F97D28" w:rsidRPr="00E97FC7" w:rsidRDefault="00F97D28" w:rsidP="005F4F0D">
            <w:pPr>
              <w:rPr>
                <w:rFonts w:cstheme="minorHAnsi"/>
                <w:b/>
              </w:rPr>
            </w:pPr>
          </w:p>
          <w:p w14:paraId="1CD35738" w14:textId="686A5173" w:rsidR="00F97D28" w:rsidRPr="00E97FC7" w:rsidRDefault="202C6A97" w:rsidP="202C6A97">
            <w:pPr>
              <w:rPr>
                <w:rFonts w:eastAsiaTheme="minorEastAsia"/>
              </w:rPr>
            </w:pPr>
            <w:r w:rsidRPr="00E97FC7">
              <w:rPr>
                <w:rFonts w:eastAsiaTheme="minorEastAsia"/>
              </w:rPr>
              <w:t>Tenderer’s Technical Score = (Tenderer’s Technical Score/Highest Technical Score) x 70</w:t>
            </w:r>
          </w:p>
          <w:p w14:paraId="09E31A08" w14:textId="77777777" w:rsidR="00F97D28" w:rsidRPr="00E97FC7" w:rsidRDefault="00F97D28" w:rsidP="005F4F0D">
            <w:pPr>
              <w:rPr>
                <w:rFonts w:cstheme="minorHAnsi"/>
              </w:rPr>
            </w:pPr>
          </w:p>
          <w:p w14:paraId="4CA52FA9" w14:textId="77777777" w:rsidR="00F97D28" w:rsidRPr="00E97FC7" w:rsidRDefault="202C6A97" w:rsidP="202C6A97">
            <w:pPr>
              <w:rPr>
                <w:rFonts w:eastAsiaTheme="minorEastAsia"/>
              </w:rPr>
            </w:pPr>
            <w:r w:rsidRPr="00E97FC7">
              <w:rPr>
                <w:rFonts w:eastAsiaTheme="minorEastAsia"/>
              </w:rPr>
              <w:t xml:space="preserve">A </w:t>
            </w:r>
            <w:r w:rsidRPr="00E97FC7">
              <w:rPr>
                <w:rFonts w:eastAsiaTheme="minorEastAsia"/>
                <w:u w:val="single"/>
              </w:rPr>
              <w:t>worked example</w:t>
            </w:r>
            <w:r w:rsidRPr="00E97FC7">
              <w:rPr>
                <w:rFonts w:eastAsiaTheme="minorEastAsia"/>
              </w:rPr>
              <w:t xml:space="preserve"> is shown below:</w:t>
            </w:r>
          </w:p>
          <w:p w14:paraId="62E00489" w14:textId="77777777" w:rsidR="00F97D28" w:rsidRPr="00E97FC7" w:rsidRDefault="00F97D28" w:rsidP="005F4F0D">
            <w:pPr>
              <w:rPr>
                <w:rFonts w:cstheme="minorHAnsi"/>
              </w:rPr>
            </w:pPr>
          </w:p>
          <w:tbl>
            <w:tblPr>
              <w:tblStyle w:val="GridTable1Light-Accent1"/>
              <w:tblW w:w="0" w:type="auto"/>
              <w:tblLook w:val="06A0" w:firstRow="1" w:lastRow="0" w:firstColumn="1" w:lastColumn="0" w:noHBand="1" w:noVBand="1"/>
            </w:tblPr>
            <w:tblGrid>
              <w:gridCol w:w="4241"/>
              <w:gridCol w:w="2391"/>
            </w:tblGrid>
            <w:tr w:rsidR="00F97D28" w:rsidRPr="00E97FC7" w14:paraId="72284B29" w14:textId="77777777" w:rsidTr="2F988346">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241" w:type="dxa"/>
                </w:tcPr>
                <w:p w14:paraId="22767ECC" w14:textId="77777777" w:rsidR="00F97D28" w:rsidRPr="00E97FC7" w:rsidRDefault="202C6A97" w:rsidP="202C6A97">
                  <w:pPr>
                    <w:ind w:left="14"/>
                    <w:jc w:val="center"/>
                    <w:rPr>
                      <w:rFonts w:eastAsiaTheme="minorEastAsia"/>
                    </w:rPr>
                  </w:pPr>
                  <w:r w:rsidRPr="00E97FC7">
                    <w:rPr>
                      <w:rFonts w:eastAsiaTheme="minorEastAsia"/>
                    </w:rPr>
                    <w:t>Tenderer</w:t>
                  </w:r>
                </w:p>
              </w:tc>
              <w:tc>
                <w:tcPr>
                  <w:tcW w:w="2391" w:type="dxa"/>
                </w:tcPr>
                <w:p w14:paraId="36EB0B96" w14:textId="4C6260B9" w:rsidR="00F97D28" w:rsidRPr="00E97FC7" w:rsidRDefault="202C6A97" w:rsidP="202C6A97">
                  <w:pPr>
                    <w:ind w:left="14"/>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 xml:space="preserve">Technical Score (as per Annex </w:t>
                  </w:r>
                  <w:r w:rsidR="000D7075" w:rsidRPr="00E97FC7">
                    <w:rPr>
                      <w:rFonts w:eastAsiaTheme="minorEastAsia"/>
                    </w:rPr>
                    <w:t>C</w:t>
                  </w:r>
                  <w:r w:rsidRPr="00E97FC7">
                    <w:rPr>
                      <w:rFonts w:eastAsiaTheme="minorEastAsia"/>
                    </w:rPr>
                    <w:t>)</w:t>
                  </w:r>
                </w:p>
              </w:tc>
            </w:tr>
            <w:tr w:rsidR="00F97D28" w:rsidRPr="00E97FC7" w14:paraId="55A4FE07" w14:textId="77777777" w:rsidTr="2F988346">
              <w:trPr>
                <w:trHeight w:val="164"/>
              </w:trPr>
              <w:tc>
                <w:tcPr>
                  <w:cnfStyle w:val="001000000000" w:firstRow="0" w:lastRow="0" w:firstColumn="1" w:lastColumn="0" w:oddVBand="0" w:evenVBand="0" w:oddHBand="0" w:evenHBand="0" w:firstRowFirstColumn="0" w:firstRowLastColumn="0" w:lastRowFirstColumn="0" w:lastRowLastColumn="0"/>
                  <w:tcW w:w="4241" w:type="dxa"/>
                </w:tcPr>
                <w:p w14:paraId="0ED863A7" w14:textId="77777777" w:rsidR="00F97D28" w:rsidRPr="00E97FC7" w:rsidRDefault="202C6A97" w:rsidP="202C6A97">
                  <w:pPr>
                    <w:ind w:left="14"/>
                    <w:jc w:val="center"/>
                    <w:rPr>
                      <w:rFonts w:eastAsiaTheme="minorEastAsia"/>
                    </w:rPr>
                  </w:pPr>
                  <w:r w:rsidRPr="00E97FC7">
                    <w:rPr>
                      <w:rFonts w:eastAsiaTheme="minorEastAsia"/>
                    </w:rPr>
                    <w:t>Tenderer A</w:t>
                  </w:r>
                </w:p>
              </w:tc>
              <w:tc>
                <w:tcPr>
                  <w:tcW w:w="2391" w:type="dxa"/>
                </w:tcPr>
                <w:p w14:paraId="1E73A59B" w14:textId="0A3D2B98" w:rsidR="00F97D28" w:rsidRPr="00E97FC7" w:rsidRDefault="2F988346" w:rsidP="2F988346">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35</w:t>
                  </w:r>
                </w:p>
              </w:tc>
            </w:tr>
            <w:tr w:rsidR="00F97D28" w:rsidRPr="00E97FC7" w14:paraId="3B6C4215" w14:textId="77777777" w:rsidTr="2F988346">
              <w:trPr>
                <w:trHeight w:val="154"/>
              </w:trPr>
              <w:tc>
                <w:tcPr>
                  <w:cnfStyle w:val="001000000000" w:firstRow="0" w:lastRow="0" w:firstColumn="1" w:lastColumn="0" w:oddVBand="0" w:evenVBand="0" w:oddHBand="0" w:evenHBand="0" w:firstRowFirstColumn="0" w:firstRowLastColumn="0" w:lastRowFirstColumn="0" w:lastRowLastColumn="0"/>
                  <w:tcW w:w="4241" w:type="dxa"/>
                </w:tcPr>
                <w:p w14:paraId="35B240C3" w14:textId="77777777" w:rsidR="00F97D28" w:rsidRPr="00E97FC7" w:rsidRDefault="202C6A97" w:rsidP="202C6A97">
                  <w:pPr>
                    <w:ind w:left="14"/>
                    <w:jc w:val="center"/>
                    <w:rPr>
                      <w:rFonts w:eastAsiaTheme="minorEastAsia"/>
                    </w:rPr>
                  </w:pPr>
                  <w:r w:rsidRPr="00E97FC7">
                    <w:rPr>
                      <w:rFonts w:eastAsiaTheme="minorEastAsia"/>
                    </w:rPr>
                    <w:t>Tenderer B</w:t>
                  </w:r>
                </w:p>
              </w:tc>
              <w:tc>
                <w:tcPr>
                  <w:tcW w:w="2391" w:type="dxa"/>
                </w:tcPr>
                <w:p w14:paraId="126B5A1A" w14:textId="5818497B" w:rsidR="00F97D28" w:rsidRPr="00E97FC7" w:rsidRDefault="2F988346" w:rsidP="2F988346">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23</w:t>
                  </w:r>
                </w:p>
              </w:tc>
            </w:tr>
          </w:tbl>
          <w:p w14:paraId="432FE0AB" w14:textId="77777777" w:rsidR="00F97D28" w:rsidRPr="00E97FC7" w:rsidRDefault="00F97D28" w:rsidP="00F97D28">
            <w:pPr>
              <w:rPr>
                <w:rFonts w:eastAsia="Arial" w:cstheme="minorHAnsi"/>
              </w:rPr>
            </w:pPr>
          </w:p>
          <w:p w14:paraId="6C9E5866" w14:textId="7734654D" w:rsidR="00F97D28" w:rsidRPr="00E97FC7" w:rsidRDefault="202C6A97" w:rsidP="202C6A97">
            <w:pPr>
              <w:rPr>
                <w:rFonts w:eastAsiaTheme="minorEastAsia"/>
              </w:rPr>
            </w:pPr>
            <w:r w:rsidRPr="00E97FC7">
              <w:rPr>
                <w:rFonts w:eastAsiaTheme="minorEastAsia"/>
              </w:rPr>
              <w:t xml:space="preserve">i.e. Tenderer A has received 35 as their Technical Score and Tenderer B has received 23 as their Technical Score.  </w:t>
            </w:r>
          </w:p>
          <w:p w14:paraId="7B53B731" w14:textId="77777777" w:rsidR="00F97D28" w:rsidRPr="00E97FC7" w:rsidRDefault="00F97D28" w:rsidP="00F97D28">
            <w:pPr>
              <w:rPr>
                <w:rFonts w:eastAsia="Arial" w:cstheme="minorHAnsi"/>
              </w:rPr>
            </w:pPr>
          </w:p>
          <w:p w14:paraId="1ECACD13" w14:textId="04305B3F" w:rsidR="00F97D28" w:rsidRPr="00E97FC7" w:rsidRDefault="202C6A97" w:rsidP="202C6A97">
            <w:pPr>
              <w:rPr>
                <w:rFonts w:eastAsiaTheme="minorEastAsia"/>
              </w:rPr>
            </w:pPr>
            <w:proofErr w:type="gramStart"/>
            <w:r w:rsidRPr="00E97FC7">
              <w:rPr>
                <w:rFonts w:eastAsiaTheme="minorEastAsia"/>
              </w:rPr>
              <w:t>Thus</w:t>
            </w:r>
            <w:proofErr w:type="gramEnd"/>
            <w:r w:rsidRPr="00E97FC7">
              <w:rPr>
                <w:rFonts w:eastAsiaTheme="minorEastAsia"/>
              </w:rPr>
              <w:t xml:space="preserve"> Tenderer A receives 70 MEAT marks as the highest Technical Score, with Tenderer B receiving 46 MEAT marks which are derived as follows:</w:t>
            </w:r>
          </w:p>
          <w:p w14:paraId="652A1A48" w14:textId="77777777" w:rsidR="00F97D28" w:rsidRPr="00E97FC7" w:rsidRDefault="00F97D28" w:rsidP="00F97D28">
            <w:pPr>
              <w:rPr>
                <w:rFonts w:eastAsia="Arial" w:cstheme="minorHAnsi"/>
              </w:rPr>
            </w:pPr>
          </w:p>
          <w:p w14:paraId="1B3F27D5" w14:textId="0DBE62D6" w:rsidR="00F97D28" w:rsidRPr="00E97FC7" w:rsidRDefault="202C6A97" w:rsidP="202C6A97">
            <w:pPr>
              <w:rPr>
                <w:rFonts w:eastAsiaTheme="minorEastAsia"/>
              </w:rPr>
            </w:pPr>
            <w:r w:rsidRPr="00E97FC7">
              <w:rPr>
                <w:rFonts w:eastAsiaTheme="minorEastAsia"/>
              </w:rPr>
              <w:t>Tenderer B’s score calculation: (23/35) x 70 = 46 MEAT marks</w:t>
            </w:r>
          </w:p>
          <w:p w14:paraId="60E7CA87" w14:textId="77777777" w:rsidR="00F97D28" w:rsidRPr="00E97FC7" w:rsidRDefault="00F97D28" w:rsidP="00F97D28">
            <w:pPr>
              <w:rPr>
                <w:rFonts w:eastAsia="Arial" w:cstheme="minorHAnsi"/>
              </w:rPr>
            </w:pPr>
            <w:r w:rsidRPr="00E97FC7">
              <w:rPr>
                <w:rFonts w:eastAsia="Arial" w:cstheme="minorHAnsi"/>
              </w:rPr>
              <w:t xml:space="preserve"> </w:t>
            </w:r>
          </w:p>
          <w:tbl>
            <w:tblPr>
              <w:tblStyle w:val="GridTable1Light-Accent1"/>
              <w:tblW w:w="0" w:type="auto"/>
              <w:tblLook w:val="06A0" w:firstRow="1" w:lastRow="0" w:firstColumn="1" w:lastColumn="0" w:noHBand="1" w:noVBand="1"/>
            </w:tblPr>
            <w:tblGrid>
              <w:gridCol w:w="2646"/>
              <w:gridCol w:w="3618"/>
              <w:gridCol w:w="1843"/>
            </w:tblGrid>
            <w:tr w:rsidR="00F97D28" w:rsidRPr="00E97FC7" w14:paraId="6C4EC9CF" w14:textId="77777777" w:rsidTr="2F988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6" w:type="dxa"/>
                </w:tcPr>
                <w:p w14:paraId="37518711" w14:textId="77777777" w:rsidR="00F97D28" w:rsidRPr="00E97FC7" w:rsidRDefault="202C6A97" w:rsidP="202C6A97">
                  <w:pPr>
                    <w:ind w:left="14"/>
                    <w:jc w:val="center"/>
                    <w:rPr>
                      <w:rFonts w:eastAsiaTheme="minorEastAsia"/>
                    </w:rPr>
                  </w:pPr>
                  <w:r w:rsidRPr="00E97FC7">
                    <w:rPr>
                      <w:rFonts w:eastAsiaTheme="minorEastAsia"/>
                    </w:rPr>
                    <w:t>Tenderer</w:t>
                  </w:r>
                </w:p>
              </w:tc>
              <w:tc>
                <w:tcPr>
                  <w:tcW w:w="3618" w:type="dxa"/>
                </w:tcPr>
                <w:p w14:paraId="4DB771D7" w14:textId="77777777" w:rsidR="00F97D28" w:rsidRPr="00E97FC7" w:rsidRDefault="202C6A97" w:rsidP="202C6A97">
                  <w:pPr>
                    <w:ind w:left="14"/>
                    <w:cnfStyle w:val="100000000000" w:firstRow="1"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Score Calculation</w:t>
                  </w:r>
                </w:p>
              </w:tc>
              <w:tc>
                <w:tcPr>
                  <w:tcW w:w="1843" w:type="dxa"/>
                </w:tcPr>
                <w:p w14:paraId="119716B5" w14:textId="77777777" w:rsidR="00F97D28" w:rsidRPr="00E97FC7" w:rsidRDefault="202C6A97" w:rsidP="202C6A97">
                  <w:pPr>
                    <w:ind w:left="14"/>
                    <w:cnfStyle w:val="100000000000" w:firstRow="1"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Score</w:t>
                  </w:r>
                </w:p>
              </w:tc>
            </w:tr>
            <w:tr w:rsidR="00F97D28" w:rsidRPr="00E97FC7" w14:paraId="6DCEFD39" w14:textId="77777777" w:rsidTr="2F988346">
              <w:tc>
                <w:tcPr>
                  <w:cnfStyle w:val="001000000000" w:firstRow="0" w:lastRow="0" w:firstColumn="1" w:lastColumn="0" w:oddVBand="0" w:evenVBand="0" w:oddHBand="0" w:evenHBand="0" w:firstRowFirstColumn="0" w:firstRowLastColumn="0" w:lastRowFirstColumn="0" w:lastRowLastColumn="0"/>
                  <w:tcW w:w="2646" w:type="dxa"/>
                </w:tcPr>
                <w:p w14:paraId="25A102E9" w14:textId="77777777" w:rsidR="00F97D28" w:rsidRPr="00E97FC7" w:rsidRDefault="202C6A97" w:rsidP="202C6A97">
                  <w:pPr>
                    <w:ind w:left="14"/>
                    <w:jc w:val="center"/>
                    <w:rPr>
                      <w:rFonts w:eastAsiaTheme="minorEastAsia"/>
                    </w:rPr>
                  </w:pPr>
                  <w:r w:rsidRPr="00E97FC7">
                    <w:rPr>
                      <w:rFonts w:eastAsiaTheme="minorEastAsia"/>
                    </w:rPr>
                    <w:t>Tenderer A</w:t>
                  </w:r>
                </w:p>
              </w:tc>
              <w:tc>
                <w:tcPr>
                  <w:tcW w:w="3618" w:type="dxa"/>
                </w:tcPr>
                <w:p w14:paraId="2CF97019" w14:textId="30BCA76F" w:rsidR="00F97D28" w:rsidRPr="00E97FC7" w:rsidRDefault="202C6A97" w:rsidP="202C6A9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(35/35) x 70</w:t>
                  </w:r>
                </w:p>
              </w:tc>
              <w:tc>
                <w:tcPr>
                  <w:tcW w:w="1843" w:type="dxa"/>
                </w:tcPr>
                <w:p w14:paraId="784E458C" w14:textId="373F9D3C" w:rsidR="00F97D28" w:rsidRPr="00E97FC7" w:rsidRDefault="2F988346" w:rsidP="2F988346">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70</w:t>
                  </w:r>
                </w:p>
              </w:tc>
            </w:tr>
            <w:tr w:rsidR="00F97D28" w:rsidRPr="00E97FC7" w14:paraId="6F63BECA" w14:textId="77777777" w:rsidTr="2F988346">
              <w:tc>
                <w:tcPr>
                  <w:cnfStyle w:val="001000000000" w:firstRow="0" w:lastRow="0" w:firstColumn="1" w:lastColumn="0" w:oddVBand="0" w:evenVBand="0" w:oddHBand="0" w:evenHBand="0" w:firstRowFirstColumn="0" w:firstRowLastColumn="0" w:lastRowFirstColumn="0" w:lastRowLastColumn="0"/>
                  <w:tcW w:w="2646" w:type="dxa"/>
                </w:tcPr>
                <w:p w14:paraId="38D56D2B" w14:textId="77777777" w:rsidR="00F97D28" w:rsidRPr="00E97FC7" w:rsidRDefault="202C6A97" w:rsidP="202C6A97">
                  <w:pPr>
                    <w:ind w:left="14"/>
                    <w:jc w:val="center"/>
                    <w:rPr>
                      <w:rFonts w:eastAsiaTheme="minorEastAsia"/>
                    </w:rPr>
                  </w:pPr>
                  <w:r w:rsidRPr="00E97FC7">
                    <w:rPr>
                      <w:rFonts w:eastAsiaTheme="minorEastAsia"/>
                    </w:rPr>
                    <w:t>Tenderer B</w:t>
                  </w:r>
                </w:p>
              </w:tc>
              <w:tc>
                <w:tcPr>
                  <w:tcW w:w="3618" w:type="dxa"/>
                </w:tcPr>
                <w:p w14:paraId="6EC9CF07" w14:textId="4D2D6FE7" w:rsidR="00F97D28" w:rsidRPr="00E97FC7" w:rsidRDefault="202C6A97" w:rsidP="202C6A9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(23/35) x 70</w:t>
                  </w:r>
                </w:p>
              </w:tc>
              <w:tc>
                <w:tcPr>
                  <w:tcW w:w="1843" w:type="dxa"/>
                </w:tcPr>
                <w:p w14:paraId="4F183987" w14:textId="52816B60" w:rsidR="00F97D28" w:rsidRPr="00E97FC7" w:rsidRDefault="2F988346" w:rsidP="2F988346">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46</w:t>
                  </w:r>
                </w:p>
              </w:tc>
            </w:tr>
          </w:tbl>
          <w:p w14:paraId="609B47E9" w14:textId="77777777" w:rsidR="00F97D28" w:rsidRPr="00E97FC7" w:rsidRDefault="00F97D28" w:rsidP="00F97D28">
            <w:pPr>
              <w:rPr>
                <w:rFonts w:eastAsia="Arial" w:cstheme="minorHAnsi"/>
              </w:rPr>
            </w:pPr>
          </w:p>
          <w:p w14:paraId="4022B1A7" w14:textId="77777777" w:rsidR="00F97D28" w:rsidRPr="00E97FC7" w:rsidRDefault="202C6A97" w:rsidP="202C6A97">
            <w:pPr>
              <w:rPr>
                <w:rFonts w:eastAsiaTheme="minorEastAsia"/>
              </w:rPr>
            </w:pPr>
            <w:r w:rsidRPr="00E97FC7">
              <w:rPr>
                <w:rFonts w:eastAsiaTheme="minorEastAsia"/>
              </w:rPr>
              <w:t>All figures used in calculating MEAT scores will be rounded to two decimal places.</w:t>
            </w:r>
          </w:p>
          <w:p w14:paraId="0E061EC0" w14:textId="77777777" w:rsidR="00F97D28" w:rsidRPr="00E97FC7" w:rsidRDefault="00F97D28" w:rsidP="00F97D28">
            <w:pPr>
              <w:rPr>
                <w:rFonts w:eastAsia="Arial" w:cstheme="minorHAnsi"/>
              </w:rPr>
            </w:pPr>
            <w:r w:rsidRPr="00E97FC7">
              <w:rPr>
                <w:rFonts w:eastAsia="Arial" w:cstheme="minorHAnsi"/>
              </w:rPr>
              <w:t xml:space="preserve"> </w:t>
            </w:r>
          </w:p>
          <w:p w14:paraId="680FE068" w14:textId="10E5A2A9" w:rsidR="00F97D28" w:rsidRPr="00E97FC7" w:rsidRDefault="3FADC956" w:rsidP="202C6A97">
            <w:pPr>
              <w:rPr>
                <w:rFonts w:eastAsiaTheme="minorEastAsia"/>
                <w:b/>
                <w:bCs/>
                <w:u w:val="single"/>
              </w:rPr>
            </w:pPr>
            <w:r w:rsidRPr="00E97FC7">
              <w:rPr>
                <w:rFonts w:eastAsiaTheme="minorEastAsia" w:cstheme="minorEastAsia"/>
              </w:rPr>
              <w:t xml:space="preserve">The maximum score available is 70. In the event of a tied Technical Score, both Tenderers will be awarded the full 70 MEAT mark. </w:t>
            </w:r>
          </w:p>
          <w:p w14:paraId="4677951D" w14:textId="1DEB4279" w:rsidR="3FADC956" w:rsidRPr="00E97FC7" w:rsidRDefault="3FADC956" w:rsidP="3FADC956">
            <w:pPr>
              <w:rPr>
                <w:rFonts w:eastAsiaTheme="minorEastAsia" w:cstheme="minorEastAsia"/>
              </w:rPr>
            </w:pPr>
          </w:p>
          <w:p w14:paraId="5F049929" w14:textId="60D25D47" w:rsidR="3FADC956" w:rsidRPr="00E97FC7" w:rsidRDefault="3FADC956" w:rsidP="3FADC956">
            <w:pPr>
              <w:spacing w:after="160" w:line="259" w:lineRule="auto"/>
              <w:jc w:val="center"/>
              <w:rPr>
                <w:rFonts w:eastAsiaTheme="minorEastAsia" w:cstheme="minorEastAsia"/>
                <w:b/>
                <w:bCs/>
                <w:color w:val="000000" w:themeColor="text1"/>
              </w:rPr>
            </w:pPr>
            <w:r w:rsidRPr="00E97FC7">
              <w:rPr>
                <w:rFonts w:eastAsiaTheme="minorEastAsia" w:cstheme="minorEastAsia"/>
                <w:b/>
                <w:bCs/>
              </w:rPr>
              <w:t>Please note that Questions 3 (</w:t>
            </w:r>
            <w:r w:rsidRPr="00E97FC7">
              <w:rPr>
                <w:rFonts w:eastAsia="Calibri" w:cs="Calibri"/>
                <w:b/>
                <w:bCs/>
              </w:rPr>
              <w:t xml:space="preserve">Back Face Signature material (Roma Plastilina No1)), 4 (Sourcing of fragment simulating projectiles (FSPs) listed in NATO AEP 2920) and 5 (Security Clearance), </w:t>
            </w:r>
            <w:r w:rsidRPr="00E97FC7">
              <w:rPr>
                <w:rFonts w:eastAsiaTheme="minorEastAsia" w:cstheme="minorEastAsia"/>
                <w:b/>
                <w:bCs/>
                <w:color w:val="000000" w:themeColor="text1"/>
              </w:rPr>
              <w:t xml:space="preserve">as per </w:t>
            </w:r>
            <w:r w:rsidR="001F4139" w:rsidRPr="00E97FC7">
              <w:rPr>
                <w:rFonts w:eastAsiaTheme="minorEastAsia" w:cstheme="minorEastAsia"/>
                <w:b/>
                <w:bCs/>
                <w:color w:val="000000" w:themeColor="text1"/>
              </w:rPr>
              <w:t>Enclosure 06</w:t>
            </w:r>
            <w:r w:rsidRPr="00E97FC7">
              <w:rPr>
                <w:rFonts w:eastAsiaTheme="minorEastAsia" w:cstheme="minorEastAsia"/>
                <w:b/>
                <w:bCs/>
                <w:color w:val="000000" w:themeColor="text1"/>
              </w:rPr>
              <w:t xml:space="preserve">, have minimum required scores.  Tenderers failing to achieve the minimum scores for these questions </w:t>
            </w:r>
            <w:r w:rsidRPr="00E97FC7">
              <w:rPr>
                <w:rFonts w:eastAsia="Calibri" w:cs="Calibri"/>
                <w:b/>
                <w:bCs/>
              </w:rPr>
              <w:t>shall be excluded from the competition.</w:t>
            </w:r>
          </w:p>
          <w:p w14:paraId="4CEFCE60" w14:textId="04A6587F" w:rsidR="00E517E8" w:rsidRPr="00E97FC7" w:rsidRDefault="00E517E8" w:rsidP="005F4F0D">
            <w:pPr>
              <w:rPr>
                <w:rFonts w:cstheme="minorHAnsi"/>
                <w:b/>
              </w:rPr>
            </w:pPr>
          </w:p>
          <w:p w14:paraId="7BF16C43" w14:textId="4B05BB9F" w:rsidR="3FADC956" w:rsidRPr="00E97FC7" w:rsidRDefault="3FADC956" w:rsidP="3FADC956">
            <w:pPr>
              <w:jc w:val="center"/>
              <w:rPr>
                <w:rFonts w:eastAsiaTheme="minorEastAsia" w:cstheme="minorEastAsia"/>
                <w:b/>
                <w:bCs/>
                <w:color w:val="000000" w:themeColor="text1"/>
              </w:rPr>
            </w:pPr>
            <w:r w:rsidRPr="00E97FC7">
              <w:rPr>
                <w:rFonts w:eastAsiaTheme="minorEastAsia" w:cstheme="minorEastAsia"/>
                <w:b/>
                <w:bCs/>
                <w:color w:val="000000" w:themeColor="text1"/>
              </w:rPr>
              <w:t xml:space="preserve">Please note that Question 1 (Facility accreditation to ISO 17025:2017), as per </w:t>
            </w:r>
            <w:r w:rsidR="001F4139" w:rsidRPr="00E97FC7">
              <w:rPr>
                <w:rFonts w:eastAsiaTheme="minorEastAsia" w:cstheme="minorEastAsia"/>
                <w:b/>
                <w:bCs/>
                <w:color w:val="000000" w:themeColor="text1"/>
              </w:rPr>
              <w:t>Enclosure 06</w:t>
            </w:r>
            <w:r w:rsidRPr="00E97FC7">
              <w:rPr>
                <w:rFonts w:eastAsiaTheme="minorEastAsia" w:cstheme="minorEastAsia"/>
                <w:b/>
                <w:bCs/>
                <w:color w:val="000000" w:themeColor="text1"/>
              </w:rPr>
              <w:t xml:space="preserve">, is a Pass/Fail question. Tenderers awarded a Fail on this question </w:t>
            </w:r>
            <w:r w:rsidRPr="00E97FC7">
              <w:rPr>
                <w:rFonts w:eastAsia="Calibri" w:cs="Calibri"/>
                <w:b/>
                <w:bCs/>
              </w:rPr>
              <w:t>shall be excluded from the competition.</w:t>
            </w:r>
          </w:p>
          <w:p w14:paraId="1EF11EB4" w14:textId="77777777" w:rsidR="0099107B" w:rsidRPr="00E97FC7" w:rsidRDefault="0099107B" w:rsidP="005F4F0D">
            <w:pPr>
              <w:rPr>
                <w:rFonts w:cstheme="minorHAnsi"/>
              </w:rPr>
            </w:pPr>
          </w:p>
        </w:tc>
      </w:tr>
      <w:tr w:rsidR="0099107B" w:rsidRPr="00E97FC7" w14:paraId="6BECB3BF" w14:textId="77777777" w:rsidTr="3FADC956">
        <w:tc>
          <w:tcPr>
            <w:tcW w:w="9016" w:type="dxa"/>
            <w:shd w:val="clear" w:color="auto" w:fill="92D050"/>
          </w:tcPr>
          <w:p w14:paraId="2F481D04" w14:textId="45659A70" w:rsidR="0099107B" w:rsidRPr="00E97FC7" w:rsidRDefault="202C6A97" w:rsidP="202C6A97">
            <w:pPr>
              <w:rPr>
                <w:rFonts w:eastAsiaTheme="minorEastAsia"/>
                <w:b/>
                <w:bCs/>
              </w:rPr>
            </w:pPr>
            <w:r w:rsidRPr="00E97FC7">
              <w:rPr>
                <w:rFonts w:eastAsiaTheme="minorEastAsia"/>
                <w:b/>
                <w:bCs/>
              </w:rPr>
              <w:lastRenderedPageBreak/>
              <w:t>Commercial Compliance (Pass/Fail)</w:t>
            </w:r>
          </w:p>
          <w:p w14:paraId="7C8DEDE7" w14:textId="77777777" w:rsidR="0099107B" w:rsidRPr="00E97FC7" w:rsidRDefault="0099107B" w:rsidP="005F4F0D">
            <w:pPr>
              <w:rPr>
                <w:rFonts w:cstheme="minorHAnsi"/>
              </w:rPr>
            </w:pPr>
          </w:p>
        </w:tc>
      </w:tr>
      <w:tr w:rsidR="0099107B" w:rsidRPr="00E97FC7" w14:paraId="0B8FA1D0" w14:textId="77777777" w:rsidTr="3FADC956">
        <w:tc>
          <w:tcPr>
            <w:tcW w:w="9016" w:type="dxa"/>
          </w:tcPr>
          <w:p w14:paraId="2EA859F4" w14:textId="428BA4F9" w:rsidR="00632E55" w:rsidRPr="00E97FC7" w:rsidRDefault="202C6A97" w:rsidP="202C6A97">
            <w:pPr>
              <w:pStyle w:val="Arial"/>
              <w:framePr w:hSpace="0" w:wrap="auto" w:vAnchor="margin" w:xAlign="left" w:yAlign="inline"/>
              <w:rPr>
                <w:rFonts w:asciiTheme="minorHAnsi" w:eastAsiaTheme="minorEastAsia" w:hAnsiTheme="minorHAnsi" w:cstheme="minorBidi"/>
                <w:sz w:val="22"/>
                <w:szCs w:val="22"/>
                <w:u w:val="none"/>
              </w:rPr>
            </w:pPr>
            <w:r w:rsidRPr="00E97FC7">
              <w:rPr>
                <w:rFonts w:asciiTheme="minorHAnsi" w:eastAsiaTheme="minorEastAsia" w:hAnsiTheme="minorHAnsi" w:cstheme="minorBidi"/>
                <w:sz w:val="22"/>
                <w:szCs w:val="22"/>
                <w:u w:val="none"/>
              </w:rPr>
              <w:t>Prospective contractors must accept all Terms and Conditions of the Draft TOF as provided with this ITT.</w:t>
            </w:r>
          </w:p>
        </w:tc>
      </w:tr>
      <w:tr w:rsidR="00706B78" w:rsidRPr="00E97FC7" w14:paraId="01441E3B" w14:textId="77777777" w:rsidTr="3FADC956">
        <w:tc>
          <w:tcPr>
            <w:tcW w:w="9016" w:type="dxa"/>
          </w:tcPr>
          <w:p w14:paraId="43835A90" w14:textId="77777777" w:rsidR="00706B78" w:rsidRPr="00E97FC7" w:rsidRDefault="00706B78" w:rsidP="00706B78">
            <w:pPr>
              <w:pStyle w:val="Arial"/>
              <w:framePr w:hSpace="0" w:wrap="auto" w:vAnchor="margin" w:xAlign="left" w:yAlign="inline"/>
              <w:rPr>
                <w:rFonts w:asciiTheme="minorHAnsi" w:hAnsiTheme="minorHAnsi" w:cstheme="minorHAnsi"/>
                <w:sz w:val="22"/>
                <w:szCs w:val="22"/>
                <w:u w:val="none"/>
              </w:rPr>
            </w:pPr>
          </w:p>
          <w:p w14:paraId="20C85A1A" w14:textId="21362ADE" w:rsidR="00706B78" w:rsidRPr="00E97FC7" w:rsidRDefault="202C6A97" w:rsidP="202C6A97">
            <w:pPr>
              <w:pStyle w:val="Arial"/>
              <w:framePr w:hSpace="0" w:wrap="auto" w:vAnchor="margin" w:xAlign="left" w:yAlign="inline"/>
              <w:rPr>
                <w:rFonts w:asciiTheme="minorHAnsi" w:eastAsiaTheme="minorEastAsia" w:hAnsiTheme="minorHAnsi" w:cstheme="minorBidi"/>
                <w:sz w:val="22"/>
                <w:szCs w:val="22"/>
                <w:u w:val="none"/>
              </w:rPr>
            </w:pPr>
            <w:r w:rsidRPr="00E97FC7">
              <w:rPr>
                <w:rFonts w:asciiTheme="minorHAnsi" w:eastAsiaTheme="minorEastAsia" w:hAnsiTheme="minorHAnsi" w:cstheme="minorBidi"/>
                <w:sz w:val="22"/>
                <w:szCs w:val="22"/>
                <w:u w:val="none"/>
              </w:rPr>
              <w:t>Please Provide:</w:t>
            </w:r>
          </w:p>
          <w:p w14:paraId="4135696B" w14:textId="77777777" w:rsidR="00706B78" w:rsidRPr="00E97FC7" w:rsidRDefault="00706B78" w:rsidP="00706B78">
            <w:pPr>
              <w:pStyle w:val="Arial"/>
              <w:framePr w:hSpace="0" w:wrap="auto" w:vAnchor="margin" w:xAlign="left" w:yAlign="inline"/>
              <w:rPr>
                <w:rFonts w:asciiTheme="minorHAnsi" w:hAnsiTheme="minorHAnsi" w:cstheme="minorHAnsi"/>
                <w:sz w:val="22"/>
                <w:szCs w:val="22"/>
                <w:u w:val="none"/>
              </w:rPr>
            </w:pPr>
          </w:p>
          <w:p w14:paraId="3502F5AC" w14:textId="0ADE3352" w:rsidR="00706B78" w:rsidRPr="00E97FC7" w:rsidRDefault="202C6A97" w:rsidP="202C6A97">
            <w:pPr>
              <w:pStyle w:val="Arial"/>
              <w:framePr w:hSpace="0" w:wrap="auto" w:vAnchor="margin" w:xAlign="left" w:yAlign="inline"/>
              <w:numPr>
                <w:ilvl w:val="0"/>
                <w:numId w:val="23"/>
              </w:numPr>
              <w:rPr>
                <w:rFonts w:asciiTheme="minorHAnsi" w:eastAsiaTheme="minorEastAsia" w:hAnsiTheme="minorHAnsi" w:cstheme="minorBidi"/>
                <w:sz w:val="22"/>
                <w:szCs w:val="22"/>
                <w:u w:val="none"/>
              </w:rPr>
            </w:pPr>
            <w:r w:rsidRPr="00E97FC7">
              <w:rPr>
                <w:rFonts w:asciiTheme="minorHAnsi" w:eastAsiaTheme="minorEastAsia" w:hAnsiTheme="minorHAnsi" w:cstheme="minorBidi"/>
                <w:sz w:val="22"/>
                <w:szCs w:val="22"/>
                <w:u w:val="none"/>
              </w:rPr>
              <w:t>A signed statement of compliance with the Terms and Conditions of the Draft TOF as provided with this ITT.</w:t>
            </w:r>
          </w:p>
          <w:p w14:paraId="4D9794BC" w14:textId="77777777" w:rsidR="00706B78" w:rsidRPr="00E97FC7" w:rsidRDefault="00706B78" w:rsidP="00706B78">
            <w:pPr>
              <w:pStyle w:val="Arial"/>
              <w:framePr w:hSpace="0" w:wrap="auto" w:vAnchor="margin" w:xAlign="left" w:yAlign="inline"/>
              <w:jc w:val="center"/>
              <w:rPr>
                <w:rFonts w:asciiTheme="minorHAnsi" w:hAnsiTheme="minorHAnsi" w:cstheme="minorHAnsi"/>
                <w:b/>
                <w:sz w:val="22"/>
                <w:szCs w:val="22"/>
                <w:u w:val="none"/>
              </w:rPr>
            </w:pPr>
          </w:p>
          <w:p w14:paraId="641E2542" w14:textId="094B1B72" w:rsidR="00706B78" w:rsidRPr="00E97FC7" w:rsidRDefault="202C6A97" w:rsidP="202C6A97">
            <w:pPr>
              <w:pStyle w:val="Arial"/>
              <w:framePr w:hSpace="0" w:wrap="auto" w:vAnchor="margin" w:xAlign="left" w:yAlign="inline"/>
              <w:jc w:val="center"/>
              <w:rPr>
                <w:rFonts w:asciiTheme="minorHAnsi" w:eastAsiaTheme="minorEastAsia" w:hAnsiTheme="minorHAnsi" w:cstheme="minorBidi"/>
                <w:b/>
                <w:bCs/>
                <w:sz w:val="22"/>
                <w:szCs w:val="22"/>
                <w:u w:val="none"/>
              </w:rPr>
            </w:pPr>
            <w:r w:rsidRPr="00E97FC7">
              <w:rPr>
                <w:rFonts w:asciiTheme="minorHAnsi" w:eastAsiaTheme="minorEastAsia" w:hAnsiTheme="minorHAnsi" w:cstheme="minorBidi"/>
                <w:b/>
                <w:bCs/>
                <w:sz w:val="22"/>
                <w:szCs w:val="22"/>
                <w:u w:val="none"/>
              </w:rPr>
              <w:t xml:space="preserve">Please note that a failure or refusal to provide a signed statement accepting all Terms and Conditions of the Draft TOF as provided with this ITT will result in the Tenderer being awarded a fail and the Tenderer shall be </w:t>
            </w:r>
            <w:r w:rsidRPr="00E97FC7">
              <w:rPr>
                <w:rFonts w:asciiTheme="minorHAnsi" w:eastAsiaTheme="minorEastAsia" w:hAnsiTheme="minorHAnsi" w:cstheme="minorBidi"/>
                <w:b/>
                <w:bCs/>
                <w:sz w:val="22"/>
                <w:szCs w:val="22"/>
              </w:rPr>
              <w:t>excluded</w:t>
            </w:r>
            <w:r w:rsidRPr="00E97FC7">
              <w:rPr>
                <w:rFonts w:asciiTheme="minorHAnsi" w:eastAsiaTheme="minorEastAsia" w:hAnsiTheme="minorHAnsi" w:cstheme="minorBidi"/>
                <w:b/>
                <w:bCs/>
                <w:sz w:val="22"/>
                <w:szCs w:val="22"/>
                <w:u w:val="none"/>
              </w:rPr>
              <w:t xml:space="preserve"> from the FATS Tasking for Ballistic Testing.</w:t>
            </w:r>
          </w:p>
          <w:p w14:paraId="5E626EDE" w14:textId="73884C7C" w:rsidR="00706B78" w:rsidRPr="00E97FC7" w:rsidRDefault="00706B78" w:rsidP="00706B78">
            <w:pPr>
              <w:pStyle w:val="Arial"/>
              <w:framePr w:hSpace="0" w:wrap="auto" w:vAnchor="margin" w:xAlign="left" w:yAlign="inline"/>
              <w:jc w:val="center"/>
              <w:rPr>
                <w:rFonts w:asciiTheme="minorHAnsi" w:hAnsiTheme="minorHAnsi" w:cstheme="minorHAnsi"/>
                <w:sz w:val="22"/>
                <w:szCs w:val="22"/>
                <w:u w:val="none"/>
              </w:rPr>
            </w:pPr>
          </w:p>
        </w:tc>
      </w:tr>
      <w:tr w:rsidR="00DF2189" w:rsidRPr="00E97FC7" w14:paraId="523CEAE0" w14:textId="77777777" w:rsidTr="3FADC956">
        <w:tc>
          <w:tcPr>
            <w:tcW w:w="9016" w:type="dxa"/>
            <w:shd w:val="clear" w:color="auto" w:fill="92D050"/>
          </w:tcPr>
          <w:p w14:paraId="50894DAF" w14:textId="15CB8CE2" w:rsidR="00DF2189" w:rsidRPr="00E97FC7" w:rsidRDefault="202C6A97" w:rsidP="202C6A97">
            <w:pPr>
              <w:rPr>
                <w:rFonts w:eastAsiaTheme="minorEastAsia"/>
                <w:b/>
                <w:bCs/>
              </w:rPr>
            </w:pPr>
            <w:r w:rsidRPr="00E97FC7">
              <w:rPr>
                <w:rFonts w:eastAsiaTheme="minorEastAsia"/>
                <w:b/>
                <w:bCs/>
              </w:rPr>
              <w:t>Conflict of Interest (Pass/Fail)</w:t>
            </w:r>
          </w:p>
          <w:p w14:paraId="3E760F7C" w14:textId="77777777" w:rsidR="00DF2189" w:rsidRPr="00E97FC7" w:rsidRDefault="00DF2189" w:rsidP="002021BC">
            <w:pPr>
              <w:rPr>
                <w:rFonts w:cstheme="minorHAnsi"/>
              </w:rPr>
            </w:pPr>
          </w:p>
        </w:tc>
      </w:tr>
      <w:tr w:rsidR="005C02F7" w:rsidRPr="00E97FC7" w14:paraId="50D53BEF" w14:textId="77777777" w:rsidTr="3FADC956">
        <w:tc>
          <w:tcPr>
            <w:tcW w:w="9016" w:type="dxa"/>
            <w:vAlign w:val="center"/>
          </w:tcPr>
          <w:p w14:paraId="2092ADEF" w14:textId="77777777" w:rsidR="005C02F7" w:rsidRPr="00E97FC7" w:rsidRDefault="202C6A97" w:rsidP="202C6A97">
            <w:pPr>
              <w:rPr>
                <w:rFonts w:eastAsiaTheme="minorEastAsia"/>
                <w:b/>
                <w:bCs/>
              </w:rPr>
            </w:pPr>
            <w:r w:rsidRPr="00E97FC7">
              <w:rPr>
                <w:rFonts w:eastAsiaTheme="minorEastAsia"/>
              </w:rPr>
              <w:t>No word or page limit – Arial 11pt – single spaced, 2cm margins</w:t>
            </w:r>
          </w:p>
          <w:p w14:paraId="5430024E" w14:textId="77777777" w:rsidR="005C02F7" w:rsidRPr="00E97FC7" w:rsidRDefault="005C02F7" w:rsidP="005C02F7">
            <w:pPr>
              <w:pStyle w:val="Arial"/>
              <w:framePr w:hSpace="0" w:wrap="auto" w:vAnchor="margin" w:xAlign="left" w:yAlign="inline"/>
              <w:rPr>
                <w:rFonts w:asciiTheme="minorHAnsi" w:hAnsiTheme="minorHAnsi" w:cstheme="minorHAnsi"/>
                <w:sz w:val="22"/>
                <w:szCs w:val="22"/>
                <w:u w:val="none"/>
              </w:rPr>
            </w:pPr>
          </w:p>
        </w:tc>
      </w:tr>
      <w:tr w:rsidR="005C02F7" w:rsidRPr="00E97FC7" w14:paraId="67E287D8" w14:textId="77777777" w:rsidTr="3FADC956">
        <w:tc>
          <w:tcPr>
            <w:tcW w:w="9016" w:type="dxa"/>
          </w:tcPr>
          <w:p w14:paraId="22665FCA" w14:textId="77777777" w:rsidR="005C02F7" w:rsidRPr="00E97FC7" w:rsidRDefault="202C6A97" w:rsidP="202C6A97">
            <w:pPr>
              <w:pStyle w:val="Arial"/>
              <w:framePr w:hSpace="0" w:wrap="auto" w:vAnchor="margin" w:xAlign="left" w:yAlign="inline"/>
              <w:rPr>
                <w:rFonts w:asciiTheme="minorHAnsi" w:eastAsiaTheme="minorEastAsia" w:hAnsiTheme="minorHAnsi" w:cstheme="minorBidi"/>
                <w:sz w:val="22"/>
                <w:szCs w:val="22"/>
                <w:u w:val="none"/>
              </w:rPr>
            </w:pPr>
            <w:r w:rsidRPr="00E97FC7">
              <w:rPr>
                <w:rFonts w:asciiTheme="minorHAnsi" w:eastAsiaTheme="minorEastAsia" w:hAnsiTheme="minorHAnsi" w:cstheme="minorBidi"/>
                <w:sz w:val="22"/>
                <w:szCs w:val="22"/>
                <w:u w:val="none"/>
              </w:rPr>
              <w:lastRenderedPageBreak/>
              <w:t>Prospective contractors must notify the Authority of any Conflicts of Interest that may exist when undertaking this tasking and provide a Compliance Regime as per the FATS5 Framework Terms and Conditions – Condition 20. This Compliance Regime must be provided with the intention to be legally binding if the prospective contractor is awarded this tasking.</w:t>
            </w:r>
            <w:bookmarkStart w:id="0" w:name="_GoBack"/>
            <w:bookmarkEnd w:id="0"/>
          </w:p>
          <w:p w14:paraId="4C758A2B" w14:textId="77777777" w:rsidR="005C02F7" w:rsidRPr="00E97FC7" w:rsidRDefault="005C02F7" w:rsidP="005C02F7">
            <w:pPr>
              <w:pStyle w:val="Arial"/>
              <w:framePr w:hSpace="0" w:wrap="auto" w:vAnchor="margin" w:xAlign="left" w:yAlign="inline"/>
              <w:rPr>
                <w:rFonts w:asciiTheme="minorHAnsi" w:hAnsiTheme="minorHAnsi" w:cstheme="minorHAnsi"/>
                <w:sz w:val="22"/>
                <w:szCs w:val="22"/>
                <w:u w:val="none"/>
              </w:rPr>
            </w:pPr>
          </w:p>
          <w:p w14:paraId="69E7422C" w14:textId="4A06BD7A" w:rsidR="005C02F7" w:rsidRPr="00E97FC7" w:rsidRDefault="202C6A97" w:rsidP="202C6A97">
            <w:pPr>
              <w:pStyle w:val="Arial"/>
              <w:framePr w:hSpace="0" w:wrap="auto" w:vAnchor="margin" w:xAlign="left" w:yAlign="inline"/>
              <w:rPr>
                <w:rFonts w:asciiTheme="minorHAnsi" w:eastAsiaTheme="minorEastAsia" w:hAnsiTheme="minorHAnsi" w:cstheme="minorBidi"/>
                <w:sz w:val="22"/>
                <w:szCs w:val="22"/>
                <w:u w:val="none"/>
              </w:rPr>
            </w:pPr>
            <w:r w:rsidRPr="00E97FC7">
              <w:rPr>
                <w:rFonts w:asciiTheme="minorHAnsi" w:eastAsiaTheme="minorEastAsia" w:hAnsiTheme="minorHAnsi" w:cstheme="minorBidi"/>
                <w:sz w:val="22"/>
                <w:szCs w:val="22"/>
                <w:u w:val="none"/>
              </w:rPr>
              <w:t>Should no Conflicts of Interest exist then prospective contractors should instead provide a statement confirming this status.</w:t>
            </w:r>
          </w:p>
        </w:tc>
      </w:tr>
      <w:tr w:rsidR="005C02F7" w:rsidRPr="00E97FC7" w14:paraId="4C94A0C9" w14:textId="77777777" w:rsidTr="3FADC956">
        <w:tc>
          <w:tcPr>
            <w:tcW w:w="9016" w:type="dxa"/>
          </w:tcPr>
          <w:p w14:paraId="7CE91AF4" w14:textId="77777777" w:rsidR="005C02F7" w:rsidRPr="00E97FC7" w:rsidRDefault="202C6A97" w:rsidP="202C6A97">
            <w:pPr>
              <w:pStyle w:val="Arial"/>
              <w:framePr w:hSpace="0" w:wrap="auto" w:vAnchor="margin" w:xAlign="left" w:yAlign="inline"/>
              <w:rPr>
                <w:rFonts w:asciiTheme="minorHAnsi" w:eastAsiaTheme="minorEastAsia" w:hAnsiTheme="minorHAnsi" w:cstheme="minorBidi"/>
                <w:sz w:val="22"/>
                <w:szCs w:val="22"/>
                <w:u w:val="none"/>
              </w:rPr>
            </w:pPr>
            <w:r w:rsidRPr="00E97FC7">
              <w:rPr>
                <w:rFonts w:asciiTheme="minorHAnsi" w:eastAsiaTheme="minorEastAsia" w:hAnsiTheme="minorHAnsi" w:cstheme="minorBidi"/>
                <w:sz w:val="22"/>
                <w:szCs w:val="22"/>
                <w:u w:val="none"/>
              </w:rPr>
              <w:t>Please Provide either:</w:t>
            </w:r>
          </w:p>
          <w:p w14:paraId="7CF6414A" w14:textId="77777777" w:rsidR="00603D02" w:rsidRPr="00E97FC7" w:rsidRDefault="00603D02" w:rsidP="005C02F7">
            <w:pPr>
              <w:pStyle w:val="Arial"/>
              <w:framePr w:hSpace="0" w:wrap="auto" w:vAnchor="margin" w:xAlign="left" w:yAlign="inline"/>
              <w:rPr>
                <w:rFonts w:asciiTheme="minorHAnsi" w:hAnsiTheme="minorHAnsi" w:cstheme="minorHAnsi"/>
                <w:sz w:val="22"/>
                <w:szCs w:val="22"/>
                <w:u w:val="none"/>
              </w:rPr>
            </w:pPr>
          </w:p>
          <w:p w14:paraId="15BBFDFA" w14:textId="77777777" w:rsidR="005C02F7" w:rsidRPr="00E97FC7" w:rsidRDefault="202C6A97" w:rsidP="202C6A97">
            <w:pPr>
              <w:pStyle w:val="Arial"/>
              <w:framePr w:hSpace="0" w:wrap="auto" w:vAnchor="margin" w:xAlign="left" w:yAlign="inline"/>
              <w:numPr>
                <w:ilvl w:val="0"/>
                <w:numId w:val="23"/>
              </w:numPr>
              <w:rPr>
                <w:rFonts w:asciiTheme="minorHAnsi" w:eastAsiaTheme="minorEastAsia" w:hAnsiTheme="minorHAnsi" w:cstheme="minorBidi"/>
                <w:sz w:val="22"/>
                <w:szCs w:val="22"/>
                <w:u w:val="none"/>
              </w:rPr>
            </w:pPr>
            <w:r w:rsidRPr="00E97FC7">
              <w:rPr>
                <w:rFonts w:asciiTheme="minorHAnsi" w:eastAsiaTheme="minorEastAsia" w:hAnsiTheme="minorHAnsi" w:cstheme="minorBidi"/>
                <w:sz w:val="22"/>
                <w:szCs w:val="22"/>
                <w:u w:val="none"/>
              </w:rPr>
              <w:t>A statement confirming the Conflicts of Interest that would exist if the prospective contractor was chosen to fulfil this tasking AND a legally binding Compliance Regime including but not limited to the following criteria:</w:t>
            </w:r>
          </w:p>
          <w:p w14:paraId="680B12B2" w14:textId="77777777" w:rsidR="005C02F7" w:rsidRPr="00E97FC7" w:rsidRDefault="005C02F7" w:rsidP="005C02F7">
            <w:pPr>
              <w:pStyle w:val="Arial"/>
              <w:framePr w:hSpace="0" w:wrap="auto" w:vAnchor="margin" w:xAlign="left" w:yAlign="inline"/>
              <w:ind w:left="360"/>
              <w:rPr>
                <w:rFonts w:asciiTheme="minorHAnsi" w:hAnsiTheme="minorHAnsi" w:cstheme="minorHAnsi"/>
                <w:sz w:val="22"/>
                <w:szCs w:val="22"/>
                <w:u w:val="none"/>
              </w:rPr>
            </w:pPr>
          </w:p>
          <w:p w14:paraId="0BD91D52" w14:textId="77777777" w:rsidR="005C02F7" w:rsidRPr="00E97FC7" w:rsidRDefault="005C02F7" w:rsidP="2F988346">
            <w:pPr>
              <w:pStyle w:val="Heading5"/>
              <w:keepNext w:val="0"/>
              <w:tabs>
                <w:tab w:val="num" w:pos="2008"/>
              </w:tabs>
              <w:spacing w:after="230"/>
              <w:ind w:left="2717" w:hanging="708"/>
              <w:outlineLvl w:val="4"/>
              <w:rPr>
                <w:rFonts w:asciiTheme="minorHAnsi" w:eastAsiaTheme="minorEastAsia" w:hAnsiTheme="minorHAnsi" w:cstheme="minorBidi"/>
                <w:color w:val="000000" w:themeColor="text1"/>
                <w:u w:val="none"/>
              </w:rPr>
            </w:pPr>
            <w:r w:rsidRPr="00E97FC7">
              <w:rPr>
                <w:rFonts w:asciiTheme="minorHAnsi" w:eastAsiaTheme="minorEastAsia" w:hAnsiTheme="minorHAnsi" w:cstheme="minorBidi"/>
                <w:color w:val="000000" w:themeColor="text1"/>
                <w:u w:val="none"/>
              </w:rPr>
              <w:t>(</w:t>
            </w:r>
            <w:proofErr w:type="spellStart"/>
            <w:r w:rsidRPr="00E97FC7">
              <w:rPr>
                <w:rFonts w:asciiTheme="minorHAnsi" w:eastAsiaTheme="minorEastAsia" w:hAnsiTheme="minorHAnsi" w:cstheme="minorBidi"/>
                <w:color w:val="000000" w:themeColor="text1"/>
                <w:u w:val="none"/>
              </w:rPr>
              <w:t>i</w:t>
            </w:r>
            <w:proofErr w:type="spellEnd"/>
            <w:r w:rsidRPr="00E97FC7">
              <w:rPr>
                <w:rFonts w:asciiTheme="minorHAnsi" w:eastAsiaTheme="minorEastAsia" w:hAnsiTheme="minorHAnsi" w:cstheme="minorBidi"/>
                <w:color w:val="000000" w:themeColor="text1"/>
                <w:u w:val="none"/>
              </w:rPr>
              <w:t>)</w:t>
            </w:r>
            <w:r w:rsidRPr="00E97FC7">
              <w:rPr>
                <w:rFonts w:asciiTheme="minorHAnsi" w:hAnsiTheme="minorHAnsi" w:cstheme="minorHAnsi"/>
                <w:color w:val="000000" w:themeColor="text1"/>
                <w:szCs w:val="22"/>
                <w:u w:val="none"/>
              </w:rPr>
              <w:tab/>
            </w:r>
            <w:r w:rsidRPr="00E97FC7">
              <w:rPr>
                <w:rFonts w:asciiTheme="minorHAnsi" w:eastAsiaTheme="minorEastAsia" w:hAnsiTheme="minorHAnsi" w:cstheme="minorBidi"/>
                <w:color w:val="000000" w:themeColor="text1"/>
                <w:u w:val="none"/>
              </w:rPr>
              <w:t>Manner of operation and management;</w:t>
            </w:r>
          </w:p>
          <w:p w14:paraId="2346806C" w14:textId="77777777" w:rsidR="005C02F7" w:rsidRPr="00E97FC7" w:rsidRDefault="005C02F7" w:rsidP="202C6A97">
            <w:pPr>
              <w:pStyle w:val="Heading5"/>
              <w:keepNext w:val="0"/>
              <w:tabs>
                <w:tab w:val="num" w:pos="2008"/>
              </w:tabs>
              <w:spacing w:after="230"/>
              <w:ind w:left="2717" w:hanging="708"/>
              <w:outlineLvl w:val="4"/>
              <w:rPr>
                <w:rFonts w:asciiTheme="minorHAnsi" w:eastAsiaTheme="minorEastAsia" w:hAnsiTheme="minorHAnsi" w:cstheme="minorBidi"/>
                <w:color w:val="000000" w:themeColor="text1"/>
                <w:u w:val="none"/>
              </w:rPr>
            </w:pPr>
            <w:r w:rsidRPr="00E97FC7">
              <w:rPr>
                <w:rFonts w:asciiTheme="minorHAnsi" w:eastAsiaTheme="minorEastAsia" w:hAnsiTheme="minorHAnsi" w:cstheme="minorBidi"/>
                <w:color w:val="000000" w:themeColor="text1"/>
                <w:u w:val="none"/>
              </w:rPr>
              <w:t>(ii)</w:t>
            </w:r>
            <w:r w:rsidRPr="00E97FC7">
              <w:rPr>
                <w:rFonts w:asciiTheme="minorHAnsi" w:hAnsiTheme="minorHAnsi" w:cstheme="minorHAnsi"/>
                <w:color w:val="000000" w:themeColor="text1"/>
                <w:szCs w:val="22"/>
                <w:u w:val="none"/>
              </w:rPr>
              <w:tab/>
            </w:r>
            <w:r w:rsidRPr="00E97FC7">
              <w:rPr>
                <w:rFonts w:asciiTheme="minorHAnsi" w:eastAsiaTheme="minorEastAsia" w:hAnsiTheme="minorHAnsi" w:cstheme="minorBidi"/>
                <w:color w:val="000000" w:themeColor="text1"/>
                <w:u w:val="none"/>
              </w:rPr>
              <w:t>Roles and responsibilities;</w:t>
            </w:r>
          </w:p>
          <w:p w14:paraId="62B97A76" w14:textId="77777777" w:rsidR="005C02F7" w:rsidRPr="00E97FC7" w:rsidRDefault="005C02F7" w:rsidP="202C6A97">
            <w:pPr>
              <w:pStyle w:val="Heading5"/>
              <w:keepNext w:val="0"/>
              <w:tabs>
                <w:tab w:val="num" w:pos="2008"/>
              </w:tabs>
              <w:spacing w:after="230"/>
              <w:ind w:left="2717" w:hanging="708"/>
              <w:outlineLvl w:val="4"/>
              <w:rPr>
                <w:rFonts w:asciiTheme="minorHAnsi" w:eastAsiaTheme="minorEastAsia" w:hAnsiTheme="minorHAnsi" w:cstheme="minorBidi"/>
                <w:color w:val="000000" w:themeColor="text1"/>
                <w:u w:val="none"/>
              </w:rPr>
            </w:pPr>
            <w:r w:rsidRPr="00E97FC7">
              <w:rPr>
                <w:rFonts w:asciiTheme="minorHAnsi" w:eastAsiaTheme="minorEastAsia" w:hAnsiTheme="minorHAnsi" w:cstheme="minorBidi"/>
                <w:color w:val="000000" w:themeColor="text1"/>
                <w:u w:val="none"/>
              </w:rPr>
              <w:t>(iii)</w:t>
            </w:r>
            <w:r w:rsidRPr="00E97FC7">
              <w:rPr>
                <w:rFonts w:asciiTheme="minorHAnsi" w:hAnsiTheme="minorHAnsi" w:cstheme="minorHAnsi"/>
                <w:color w:val="000000" w:themeColor="text1"/>
                <w:szCs w:val="22"/>
                <w:u w:val="none"/>
              </w:rPr>
              <w:tab/>
            </w:r>
            <w:r w:rsidRPr="00E97FC7">
              <w:rPr>
                <w:rFonts w:asciiTheme="minorHAnsi" w:eastAsiaTheme="minorEastAsia" w:hAnsiTheme="minorHAnsi" w:cstheme="minorBidi"/>
                <w:color w:val="000000" w:themeColor="text1"/>
                <w:u w:val="none"/>
              </w:rPr>
              <w:t>Standards for integrity and fair dealing;</w:t>
            </w:r>
          </w:p>
          <w:p w14:paraId="009BE8CC" w14:textId="77777777" w:rsidR="005C02F7" w:rsidRPr="00E97FC7" w:rsidRDefault="005C02F7" w:rsidP="202C6A97">
            <w:pPr>
              <w:pStyle w:val="Heading5"/>
              <w:keepNext w:val="0"/>
              <w:tabs>
                <w:tab w:val="num" w:pos="2008"/>
              </w:tabs>
              <w:spacing w:after="230"/>
              <w:ind w:left="2717" w:hanging="708"/>
              <w:outlineLvl w:val="4"/>
              <w:rPr>
                <w:rFonts w:asciiTheme="minorHAnsi" w:eastAsiaTheme="minorEastAsia" w:hAnsiTheme="minorHAnsi" w:cstheme="minorBidi"/>
                <w:color w:val="000000" w:themeColor="text1"/>
                <w:u w:val="none"/>
              </w:rPr>
            </w:pPr>
            <w:r w:rsidRPr="00E97FC7">
              <w:rPr>
                <w:rFonts w:asciiTheme="minorHAnsi" w:eastAsiaTheme="minorEastAsia" w:hAnsiTheme="minorHAnsi" w:cstheme="minorBidi"/>
                <w:color w:val="000000" w:themeColor="text1"/>
                <w:u w:val="none"/>
              </w:rPr>
              <w:t>(iv)</w:t>
            </w:r>
            <w:r w:rsidRPr="00E97FC7">
              <w:rPr>
                <w:rFonts w:asciiTheme="minorHAnsi" w:hAnsiTheme="minorHAnsi" w:cstheme="minorHAnsi"/>
                <w:color w:val="000000" w:themeColor="text1"/>
                <w:szCs w:val="22"/>
                <w:u w:val="none"/>
              </w:rPr>
              <w:tab/>
            </w:r>
            <w:r w:rsidRPr="00E97FC7">
              <w:rPr>
                <w:rFonts w:asciiTheme="minorHAnsi" w:eastAsiaTheme="minorEastAsia" w:hAnsiTheme="minorHAnsi" w:cstheme="minorBidi"/>
                <w:color w:val="000000" w:themeColor="text1"/>
                <w:u w:val="none"/>
              </w:rPr>
              <w:t>Protection of competitor’s sensitive information and Government Furnished Information;</w:t>
            </w:r>
          </w:p>
          <w:p w14:paraId="783E8B1C" w14:textId="77777777" w:rsidR="005C02F7" w:rsidRPr="00E97FC7" w:rsidRDefault="005C02F7" w:rsidP="202C6A97">
            <w:pPr>
              <w:pStyle w:val="Heading5"/>
              <w:keepNext w:val="0"/>
              <w:tabs>
                <w:tab w:val="num" w:pos="2008"/>
              </w:tabs>
              <w:spacing w:after="230"/>
              <w:ind w:left="2717" w:hanging="708"/>
              <w:outlineLvl w:val="4"/>
              <w:rPr>
                <w:rFonts w:asciiTheme="minorHAnsi" w:eastAsiaTheme="minorEastAsia" w:hAnsiTheme="minorHAnsi" w:cstheme="minorBidi"/>
                <w:color w:val="000000" w:themeColor="text1"/>
                <w:u w:val="none"/>
              </w:rPr>
            </w:pPr>
            <w:r w:rsidRPr="00E97FC7">
              <w:rPr>
                <w:rFonts w:asciiTheme="minorHAnsi" w:eastAsiaTheme="minorEastAsia" w:hAnsiTheme="minorHAnsi" w:cstheme="minorBidi"/>
                <w:color w:val="000000" w:themeColor="text1"/>
                <w:u w:val="none"/>
              </w:rPr>
              <w:t>(v)</w:t>
            </w:r>
            <w:r w:rsidRPr="00E97FC7">
              <w:rPr>
                <w:rFonts w:asciiTheme="minorHAnsi" w:hAnsiTheme="minorHAnsi" w:cstheme="minorHAnsi"/>
                <w:color w:val="000000" w:themeColor="text1"/>
                <w:szCs w:val="22"/>
                <w:u w:val="none"/>
              </w:rPr>
              <w:tab/>
            </w:r>
            <w:r w:rsidRPr="00E97FC7">
              <w:rPr>
                <w:rFonts w:asciiTheme="minorHAnsi" w:eastAsiaTheme="minorEastAsia" w:hAnsiTheme="minorHAnsi" w:cstheme="minorBidi"/>
                <w:color w:val="000000" w:themeColor="text1"/>
                <w:u w:val="none"/>
              </w:rPr>
              <w:t xml:space="preserve">Confidentiality / Non-disclosure agreements; </w:t>
            </w:r>
          </w:p>
          <w:p w14:paraId="126BA970" w14:textId="77777777" w:rsidR="005C02F7" w:rsidRPr="00E97FC7" w:rsidRDefault="005C02F7" w:rsidP="202C6A97">
            <w:pPr>
              <w:pStyle w:val="Heading5"/>
              <w:keepNext w:val="0"/>
              <w:tabs>
                <w:tab w:val="num" w:pos="2008"/>
              </w:tabs>
              <w:spacing w:after="230"/>
              <w:ind w:left="2717" w:hanging="708"/>
              <w:outlineLvl w:val="4"/>
              <w:rPr>
                <w:rFonts w:asciiTheme="minorHAnsi" w:eastAsiaTheme="minorEastAsia" w:hAnsiTheme="minorHAnsi" w:cstheme="minorBidi"/>
                <w:color w:val="000000" w:themeColor="text1"/>
                <w:u w:val="none"/>
              </w:rPr>
            </w:pPr>
            <w:r w:rsidRPr="00E97FC7">
              <w:rPr>
                <w:rFonts w:asciiTheme="minorHAnsi" w:eastAsiaTheme="minorEastAsia" w:hAnsiTheme="minorHAnsi" w:cstheme="minorBidi"/>
                <w:color w:val="000000" w:themeColor="text1"/>
                <w:u w:val="none"/>
              </w:rPr>
              <w:t>(vi)</w:t>
            </w:r>
            <w:r w:rsidRPr="00E97FC7">
              <w:rPr>
                <w:rFonts w:asciiTheme="minorHAnsi" w:hAnsiTheme="minorHAnsi" w:cstheme="minorHAnsi"/>
                <w:color w:val="000000" w:themeColor="text1"/>
                <w:szCs w:val="22"/>
                <w:u w:val="none"/>
              </w:rPr>
              <w:tab/>
            </w:r>
            <w:r w:rsidRPr="00E97FC7">
              <w:rPr>
                <w:rFonts w:asciiTheme="minorHAnsi" w:eastAsiaTheme="minorEastAsia" w:hAnsiTheme="minorHAnsi" w:cstheme="minorBidi"/>
                <w:color w:val="000000" w:themeColor="text1"/>
                <w:u w:val="none"/>
              </w:rPr>
              <w:t>The Authority rights of audit;</w:t>
            </w:r>
          </w:p>
          <w:p w14:paraId="474FDADF" w14:textId="77777777" w:rsidR="005C02F7" w:rsidRPr="00E97FC7" w:rsidRDefault="005C02F7" w:rsidP="202C6A97">
            <w:pPr>
              <w:pStyle w:val="Heading5"/>
              <w:keepNext w:val="0"/>
              <w:tabs>
                <w:tab w:val="num" w:pos="2008"/>
              </w:tabs>
              <w:spacing w:after="230"/>
              <w:ind w:left="2717" w:hanging="708"/>
              <w:outlineLvl w:val="4"/>
              <w:rPr>
                <w:rFonts w:asciiTheme="minorHAnsi" w:eastAsiaTheme="minorEastAsia" w:hAnsiTheme="minorHAnsi" w:cstheme="minorBidi"/>
                <w:color w:val="000000" w:themeColor="text1"/>
                <w:u w:val="none"/>
              </w:rPr>
            </w:pPr>
            <w:r w:rsidRPr="00E97FC7">
              <w:rPr>
                <w:rFonts w:asciiTheme="minorHAnsi" w:eastAsiaTheme="minorEastAsia" w:hAnsiTheme="minorHAnsi" w:cstheme="minorBidi"/>
                <w:color w:val="000000" w:themeColor="text1"/>
                <w:u w:val="none"/>
              </w:rPr>
              <w:t>(vii)</w:t>
            </w:r>
            <w:r w:rsidRPr="00E97FC7">
              <w:rPr>
                <w:rFonts w:asciiTheme="minorHAnsi" w:hAnsiTheme="minorHAnsi" w:cstheme="minorHAnsi"/>
                <w:color w:val="000000" w:themeColor="text1"/>
                <w:szCs w:val="22"/>
                <w:u w:val="none"/>
              </w:rPr>
              <w:tab/>
            </w:r>
            <w:r w:rsidRPr="00E97FC7">
              <w:rPr>
                <w:rFonts w:asciiTheme="minorHAnsi" w:eastAsiaTheme="minorEastAsia" w:hAnsiTheme="minorHAnsi" w:cstheme="minorBidi"/>
                <w:color w:val="000000" w:themeColor="text1"/>
                <w:u w:val="none"/>
              </w:rPr>
              <w:t>Physical and Managerial separation.</w:t>
            </w:r>
          </w:p>
          <w:p w14:paraId="5D8C64CB" w14:textId="77777777" w:rsidR="005C02F7" w:rsidRPr="00E97FC7" w:rsidRDefault="005C02F7" w:rsidP="202C6A97">
            <w:pPr>
              <w:pStyle w:val="Heading4"/>
              <w:keepNext w:val="0"/>
              <w:tabs>
                <w:tab w:val="num" w:pos="1309"/>
              </w:tabs>
              <w:spacing w:after="230"/>
              <w:ind w:left="2018" w:hanging="709"/>
              <w:outlineLvl w:val="3"/>
              <w:rPr>
                <w:rFonts w:asciiTheme="minorHAnsi" w:eastAsiaTheme="minorEastAsia" w:hAnsiTheme="minorHAnsi" w:cstheme="minorBidi"/>
                <w:i w:val="0"/>
                <w:iCs w:val="0"/>
                <w:color w:val="000000" w:themeColor="text1"/>
              </w:rPr>
            </w:pPr>
            <w:r w:rsidRPr="00E97FC7">
              <w:rPr>
                <w:rFonts w:asciiTheme="minorHAnsi" w:eastAsiaTheme="minorEastAsia" w:hAnsiTheme="minorHAnsi" w:cstheme="minorBidi"/>
                <w:i w:val="0"/>
                <w:iCs w:val="0"/>
                <w:color w:val="000000" w:themeColor="text1"/>
              </w:rPr>
              <w:t>(b)</w:t>
            </w:r>
            <w:r w:rsidRPr="00E97FC7">
              <w:rPr>
                <w:rFonts w:asciiTheme="minorHAnsi" w:hAnsiTheme="minorHAnsi" w:cstheme="minorHAnsi"/>
                <w:i w:val="0"/>
                <w:color w:val="000000" w:themeColor="text1"/>
              </w:rPr>
              <w:tab/>
            </w:r>
            <w:r w:rsidRPr="00E97FC7">
              <w:rPr>
                <w:rFonts w:asciiTheme="minorHAnsi" w:eastAsiaTheme="minorEastAsia" w:hAnsiTheme="minorHAnsi" w:cstheme="minorBidi"/>
                <w:i w:val="0"/>
                <w:iCs w:val="0"/>
                <w:color w:val="000000" w:themeColor="text1"/>
              </w:rPr>
              <w:t>Identify potential or actual Conflicts of Interest.</w:t>
            </w:r>
          </w:p>
          <w:p w14:paraId="6E039A08" w14:textId="77777777" w:rsidR="005C02F7" w:rsidRPr="00E97FC7" w:rsidRDefault="005C02F7" w:rsidP="202C6A97">
            <w:pPr>
              <w:pStyle w:val="Heading4"/>
              <w:keepNext w:val="0"/>
              <w:tabs>
                <w:tab w:val="num" w:pos="1309"/>
              </w:tabs>
              <w:spacing w:after="230"/>
              <w:ind w:left="2018" w:hanging="709"/>
              <w:outlineLvl w:val="3"/>
              <w:rPr>
                <w:rFonts w:asciiTheme="minorHAnsi" w:eastAsiaTheme="minorEastAsia" w:hAnsiTheme="minorHAnsi" w:cstheme="minorBidi"/>
              </w:rPr>
            </w:pPr>
            <w:r w:rsidRPr="00E97FC7">
              <w:rPr>
                <w:rFonts w:asciiTheme="minorHAnsi" w:eastAsiaTheme="minorEastAsia" w:hAnsiTheme="minorHAnsi" w:cstheme="minorBidi"/>
                <w:i w:val="0"/>
                <w:iCs w:val="0"/>
                <w:color w:val="000000" w:themeColor="text1"/>
              </w:rPr>
              <w:t>(c)</w:t>
            </w:r>
            <w:r w:rsidRPr="00E97FC7">
              <w:rPr>
                <w:rFonts w:asciiTheme="minorHAnsi" w:hAnsiTheme="minorHAnsi" w:cstheme="minorHAnsi"/>
                <w:i w:val="0"/>
                <w:color w:val="000000" w:themeColor="text1"/>
              </w:rPr>
              <w:tab/>
            </w:r>
            <w:r w:rsidRPr="00E97FC7">
              <w:rPr>
                <w:rFonts w:asciiTheme="minorHAnsi" w:eastAsiaTheme="minorEastAsia" w:hAnsiTheme="minorHAnsi" w:cstheme="minorBidi"/>
                <w:i w:val="0"/>
                <w:iCs w:val="0"/>
                <w:color w:val="000000" w:themeColor="text1"/>
              </w:rPr>
              <w:t>Investigation of breaches.</w:t>
            </w:r>
          </w:p>
          <w:p w14:paraId="1B392064" w14:textId="77777777" w:rsidR="005C02F7" w:rsidRPr="00E97FC7" w:rsidRDefault="202C6A97" w:rsidP="202C6A97">
            <w:pPr>
              <w:pStyle w:val="Arial"/>
              <w:framePr w:hSpace="0" w:wrap="auto" w:vAnchor="margin" w:xAlign="left" w:yAlign="inline"/>
              <w:rPr>
                <w:rFonts w:asciiTheme="minorHAnsi" w:eastAsiaTheme="minorEastAsia" w:hAnsiTheme="minorHAnsi" w:cstheme="minorBidi"/>
                <w:sz w:val="22"/>
                <w:szCs w:val="22"/>
                <w:u w:val="none"/>
              </w:rPr>
            </w:pPr>
            <w:r w:rsidRPr="00E97FC7">
              <w:rPr>
                <w:rFonts w:asciiTheme="minorHAnsi" w:eastAsiaTheme="minorEastAsia" w:hAnsiTheme="minorHAnsi" w:cstheme="minorBidi"/>
                <w:sz w:val="22"/>
                <w:szCs w:val="22"/>
                <w:u w:val="none"/>
              </w:rPr>
              <w:t>OR</w:t>
            </w:r>
          </w:p>
          <w:p w14:paraId="799C5CFD" w14:textId="77777777" w:rsidR="005C02F7" w:rsidRPr="00E97FC7" w:rsidRDefault="005C02F7" w:rsidP="005C02F7">
            <w:pPr>
              <w:pStyle w:val="Arial"/>
              <w:framePr w:hSpace="0" w:wrap="auto" w:vAnchor="margin" w:xAlign="left" w:yAlign="inline"/>
              <w:rPr>
                <w:rFonts w:asciiTheme="minorHAnsi" w:hAnsiTheme="minorHAnsi" w:cstheme="minorHAnsi"/>
                <w:sz w:val="22"/>
                <w:szCs w:val="22"/>
                <w:u w:val="none"/>
              </w:rPr>
            </w:pPr>
          </w:p>
          <w:p w14:paraId="7EA84CBE" w14:textId="77777777" w:rsidR="005C02F7" w:rsidRPr="00E97FC7" w:rsidRDefault="202C6A97" w:rsidP="202C6A97">
            <w:pPr>
              <w:pStyle w:val="Arial"/>
              <w:framePr w:hSpace="0" w:wrap="auto" w:vAnchor="margin" w:xAlign="left" w:yAlign="inline"/>
              <w:numPr>
                <w:ilvl w:val="0"/>
                <w:numId w:val="23"/>
              </w:numPr>
              <w:rPr>
                <w:rFonts w:asciiTheme="minorHAnsi" w:eastAsiaTheme="minorEastAsia" w:hAnsiTheme="minorHAnsi" w:cstheme="minorBidi"/>
                <w:sz w:val="22"/>
                <w:szCs w:val="22"/>
                <w:u w:val="none"/>
              </w:rPr>
            </w:pPr>
            <w:r w:rsidRPr="00E97FC7">
              <w:rPr>
                <w:rFonts w:asciiTheme="minorHAnsi" w:eastAsiaTheme="minorEastAsia" w:hAnsiTheme="minorHAnsi" w:cstheme="minorBidi"/>
                <w:sz w:val="22"/>
                <w:szCs w:val="22"/>
                <w:u w:val="none"/>
              </w:rPr>
              <w:t>A signed statement confirming that no conflicts of interest exist.</w:t>
            </w:r>
          </w:p>
          <w:p w14:paraId="7B588F89" w14:textId="7CE1B4DB" w:rsidR="008E3AC2" w:rsidRPr="00E97FC7" w:rsidRDefault="008E3AC2" w:rsidP="008E3AC2">
            <w:pPr>
              <w:pStyle w:val="Arial"/>
              <w:framePr w:hSpace="0" w:wrap="auto" w:vAnchor="margin" w:xAlign="left" w:yAlign="inline"/>
              <w:rPr>
                <w:rFonts w:asciiTheme="minorHAnsi" w:hAnsiTheme="minorHAnsi" w:cstheme="minorHAnsi"/>
                <w:sz w:val="22"/>
                <w:szCs w:val="22"/>
                <w:u w:val="none"/>
              </w:rPr>
            </w:pPr>
          </w:p>
          <w:p w14:paraId="4DED9707" w14:textId="07D59331" w:rsidR="202C6A97" w:rsidRPr="00E97FC7" w:rsidRDefault="3FADC956" w:rsidP="3FADC956">
            <w:pPr>
              <w:pStyle w:val="Arial"/>
              <w:framePr w:wrap="around"/>
              <w:jc w:val="center"/>
              <w:rPr>
                <w:rFonts w:asciiTheme="minorHAnsi" w:eastAsiaTheme="minorEastAsia" w:hAnsiTheme="minorHAnsi" w:cstheme="minorBidi"/>
                <w:b/>
                <w:bCs/>
                <w:sz w:val="22"/>
                <w:szCs w:val="22"/>
                <w:u w:val="none"/>
              </w:rPr>
            </w:pPr>
            <w:r w:rsidRPr="00E97FC7">
              <w:rPr>
                <w:rFonts w:asciiTheme="minorHAnsi" w:eastAsiaTheme="minorEastAsia" w:hAnsiTheme="minorHAnsi" w:cstheme="minorBidi"/>
                <w:b/>
                <w:bCs/>
                <w:sz w:val="22"/>
                <w:szCs w:val="22"/>
                <w:u w:val="none"/>
              </w:rPr>
              <w:t xml:space="preserve">Please note that a failure to provide a statement that no Conflicts of Interest exist or the identification of conflicts of interest without the provision of a Compliance Regime by the Tenderer will result in the Tenderer being awarded a fail and the Tenderer shall be </w:t>
            </w:r>
            <w:r w:rsidRPr="00E97FC7">
              <w:rPr>
                <w:rFonts w:asciiTheme="minorHAnsi" w:eastAsiaTheme="minorEastAsia" w:hAnsiTheme="minorHAnsi" w:cstheme="minorBidi"/>
                <w:b/>
                <w:bCs/>
                <w:sz w:val="22"/>
                <w:szCs w:val="22"/>
              </w:rPr>
              <w:t>excluded</w:t>
            </w:r>
            <w:r w:rsidRPr="00E97FC7">
              <w:rPr>
                <w:rFonts w:asciiTheme="minorHAnsi" w:eastAsiaTheme="minorEastAsia" w:hAnsiTheme="minorHAnsi" w:cstheme="minorBidi"/>
                <w:b/>
                <w:bCs/>
                <w:sz w:val="22"/>
                <w:szCs w:val="22"/>
                <w:u w:val="none"/>
              </w:rPr>
              <w:t xml:space="preserve"> from competition</w:t>
            </w:r>
          </w:p>
          <w:p w14:paraId="79805D9F" w14:textId="127EB9E4" w:rsidR="005C02F7" w:rsidRPr="00E97FC7" w:rsidRDefault="005C02F7" w:rsidP="008E3AC2">
            <w:pPr>
              <w:pStyle w:val="Arial"/>
              <w:framePr w:hSpace="0" w:wrap="auto" w:vAnchor="margin" w:xAlign="left" w:yAlign="inline"/>
              <w:rPr>
                <w:rFonts w:asciiTheme="minorHAnsi" w:hAnsiTheme="minorHAnsi" w:cstheme="minorHAnsi"/>
                <w:sz w:val="22"/>
                <w:szCs w:val="22"/>
                <w:u w:val="none"/>
              </w:rPr>
            </w:pPr>
          </w:p>
        </w:tc>
      </w:tr>
      <w:tr w:rsidR="00347491" w:rsidRPr="00E97FC7" w14:paraId="57CFCD10" w14:textId="77777777" w:rsidTr="3FADC956">
        <w:tc>
          <w:tcPr>
            <w:tcW w:w="9016" w:type="dxa"/>
            <w:shd w:val="clear" w:color="auto" w:fill="92D050"/>
          </w:tcPr>
          <w:p w14:paraId="16BE8CB4" w14:textId="5CC05499" w:rsidR="00347491" w:rsidRPr="00E97FC7" w:rsidRDefault="202C6A97" w:rsidP="202C6A97">
            <w:pPr>
              <w:rPr>
                <w:rFonts w:eastAsiaTheme="minorEastAsia"/>
                <w:b/>
                <w:bCs/>
              </w:rPr>
            </w:pPr>
            <w:r w:rsidRPr="00E97FC7">
              <w:rPr>
                <w:rFonts w:eastAsiaTheme="minorEastAsia"/>
                <w:b/>
                <w:bCs/>
              </w:rPr>
              <w:t>Final Evaluation (Weight N/A)</w:t>
            </w:r>
          </w:p>
          <w:p w14:paraId="27288054" w14:textId="77777777" w:rsidR="00347491" w:rsidRPr="00E97FC7" w:rsidRDefault="00347491" w:rsidP="00CA46EE">
            <w:pPr>
              <w:rPr>
                <w:rFonts w:cstheme="minorHAnsi"/>
              </w:rPr>
            </w:pPr>
          </w:p>
        </w:tc>
      </w:tr>
      <w:tr w:rsidR="000026D8" w:rsidRPr="00E97FC7" w14:paraId="12FE87A4" w14:textId="77777777" w:rsidTr="000026D8">
        <w:tc>
          <w:tcPr>
            <w:tcW w:w="9016" w:type="dxa"/>
            <w:shd w:val="clear" w:color="auto" w:fill="auto"/>
          </w:tcPr>
          <w:p w14:paraId="3D45CD38" w14:textId="77777777" w:rsidR="000026D8" w:rsidRPr="00E97FC7" w:rsidRDefault="000026D8" w:rsidP="000026D8">
            <w:pPr>
              <w:pStyle w:val="Arial"/>
              <w:framePr w:hSpace="0" w:wrap="auto" w:vAnchor="margin" w:xAlign="left" w:yAlign="inline"/>
              <w:rPr>
                <w:rFonts w:asciiTheme="minorHAnsi" w:eastAsiaTheme="minorEastAsia" w:hAnsiTheme="minorHAnsi" w:cstheme="minorBidi"/>
                <w:sz w:val="22"/>
                <w:szCs w:val="22"/>
                <w:u w:val="none"/>
              </w:rPr>
            </w:pPr>
            <w:r w:rsidRPr="00E97FC7">
              <w:rPr>
                <w:rFonts w:asciiTheme="minorHAnsi" w:eastAsiaTheme="minorEastAsia" w:hAnsiTheme="minorHAnsi" w:cstheme="minorBidi"/>
                <w:sz w:val="22"/>
                <w:szCs w:val="22"/>
                <w:u w:val="none"/>
              </w:rPr>
              <w:t>The Tenderer with the highest combined total Price and Technical score and achieving a pass in all pass/fail elements of the evaluation shall be awarded the contract.</w:t>
            </w:r>
          </w:p>
          <w:p w14:paraId="39DEBC47" w14:textId="77777777" w:rsidR="000026D8" w:rsidRPr="00E97FC7" w:rsidRDefault="000026D8" w:rsidP="000026D8">
            <w:pPr>
              <w:pStyle w:val="Arial"/>
              <w:framePr w:hSpace="0" w:wrap="auto" w:vAnchor="margin" w:xAlign="left" w:yAlign="inline"/>
              <w:rPr>
                <w:rFonts w:asciiTheme="minorHAnsi" w:eastAsiaTheme="minorEastAsia" w:hAnsiTheme="minorHAnsi" w:cstheme="minorBidi"/>
                <w:sz w:val="22"/>
                <w:szCs w:val="22"/>
                <w:u w:val="none"/>
              </w:rPr>
            </w:pPr>
          </w:p>
          <w:p w14:paraId="7722F42E" w14:textId="1F0ECCA7" w:rsidR="000026D8" w:rsidRPr="00E97FC7" w:rsidRDefault="000026D8" w:rsidP="000026D8">
            <w:pPr>
              <w:pStyle w:val="Arial"/>
              <w:framePr w:hSpace="0" w:wrap="auto" w:vAnchor="margin" w:xAlign="left" w:yAlign="inline"/>
              <w:rPr>
                <w:rFonts w:asciiTheme="minorHAnsi" w:eastAsiaTheme="minorEastAsia" w:hAnsiTheme="minorHAnsi" w:cstheme="minorBidi"/>
                <w:sz w:val="22"/>
                <w:szCs w:val="22"/>
                <w:u w:val="none"/>
              </w:rPr>
            </w:pPr>
            <w:r w:rsidRPr="00E97FC7">
              <w:rPr>
                <w:rFonts w:asciiTheme="minorHAnsi" w:eastAsiaTheme="minorEastAsia" w:hAnsiTheme="minorHAnsi" w:cstheme="minorBidi"/>
                <w:sz w:val="22"/>
                <w:szCs w:val="22"/>
                <w:u w:val="none"/>
              </w:rPr>
              <w:t xml:space="preserve">If two tenderers achieve the same </w:t>
            </w:r>
            <w:r w:rsidRPr="00E97FC7">
              <w:rPr>
                <w:rFonts w:asciiTheme="minorHAnsi" w:eastAsiaTheme="minorEastAsia" w:hAnsiTheme="minorHAnsi" w:cstheme="minorBidi"/>
                <w:sz w:val="22"/>
                <w:szCs w:val="22"/>
              </w:rPr>
              <w:t>total</w:t>
            </w:r>
            <w:r w:rsidRPr="00E97FC7">
              <w:rPr>
                <w:rFonts w:asciiTheme="minorHAnsi" w:eastAsiaTheme="minorEastAsia" w:hAnsiTheme="minorHAnsi" w:cstheme="minorBidi"/>
                <w:sz w:val="22"/>
                <w:szCs w:val="22"/>
                <w:u w:val="none"/>
              </w:rPr>
              <w:t xml:space="preserve"> Price and Technical score, the tender which provided the lowest price shall be awarded the contract.</w:t>
            </w:r>
          </w:p>
        </w:tc>
      </w:tr>
    </w:tbl>
    <w:p w14:paraId="470FD3F6" w14:textId="37877BF7" w:rsidR="00233101" w:rsidRPr="00E97FC7" w:rsidRDefault="00233101" w:rsidP="003A0583">
      <w:pPr>
        <w:jc w:val="both"/>
      </w:pPr>
    </w:p>
    <w:p w14:paraId="044F0D92" w14:textId="77777777" w:rsidR="005C02F7" w:rsidRPr="00E97FC7" w:rsidRDefault="005C02F7" w:rsidP="003A0583">
      <w:pPr>
        <w:jc w:val="both"/>
      </w:pPr>
    </w:p>
    <w:sectPr w:rsidR="005C02F7" w:rsidRPr="00E97FC7">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0160" w14:textId="77777777" w:rsidR="005F4F0D" w:rsidRDefault="005F4F0D" w:rsidP="006C3A73">
      <w:pPr>
        <w:spacing w:after="0" w:line="240" w:lineRule="auto"/>
      </w:pPr>
      <w:r>
        <w:separator/>
      </w:r>
    </w:p>
  </w:endnote>
  <w:endnote w:type="continuationSeparator" w:id="0">
    <w:p w14:paraId="35959F41" w14:textId="77777777" w:rsidR="005F4F0D" w:rsidRDefault="005F4F0D" w:rsidP="006C3A73">
      <w:pPr>
        <w:spacing w:after="0" w:line="240" w:lineRule="auto"/>
      </w:pPr>
      <w:r>
        <w:continuationSeparator/>
      </w:r>
    </w:p>
  </w:endnote>
  <w:endnote w:type="continuationNotice" w:id="1">
    <w:p w14:paraId="2E1AF924" w14:textId="77777777" w:rsidR="0068096F" w:rsidRDefault="006809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153247"/>
      <w:docPartObj>
        <w:docPartGallery w:val="Page Numbers (Bottom of Page)"/>
        <w:docPartUnique/>
      </w:docPartObj>
    </w:sdtPr>
    <w:sdtEndPr>
      <w:rPr>
        <w:noProof/>
      </w:rPr>
    </w:sdtEndPr>
    <w:sdtContent>
      <w:p w14:paraId="07B68708" w14:textId="6091735D" w:rsidR="005F4F0D" w:rsidRDefault="005F4F0D">
        <w:pPr>
          <w:pStyle w:val="Footer"/>
          <w:jc w:val="right"/>
        </w:pPr>
        <w:r>
          <w:fldChar w:fldCharType="begin"/>
        </w:r>
        <w:r>
          <w:instrText xml:space="preserve"> PAGE   \* MERGEFORMAT </w:instrText>
        </w:r>
        <w:r>
          <w:fldChar w:fldCharType="separate"/>
        </w:r>
        <w:r w:rsidR="00E97FC7">
          <w:rPr>
            <w:noProof/>
          </w:rPr>
          <w:t>3</w:t>
        </w:r>
        <w:r>
          <w:rPr>
            <w:noProof/>
          </w:rPr>
          <w:fldChar w:fldCharType="end"/>
        </w:r>
      </w:p>
    </w:sdtContent>
  </w:sdt>
  <w:p w14:paraId="20A11EE0" w14:textId="77777777" w:rsidR="005F4F0D" w:rsidRDefault="005F4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ED61" w14:textId="77777777" w:rsidR="005F4F0D" w:rsidRDefault="005F4F0D" w:rsidP="006C3A73">
      <w:pPr>
        <w:spacing w:after="0" w:line="240" w:lineRule="auto"/>
      </w:pPr>
      <w:r>
        <w:separator/>
      </w:r>
    </w:p>
  </w:footnote>
  <w:footnote w:type="continuationSeparator" w:id="0">
    <w:p w14:paraId="7EA24897" w14:textId="77777777" w:rsidR="005F4F0D" w:rsidRDefault="005F4F0D" w:rsidP="006C3A73">
      <w:pPr>
        <w:spacing w:after="0" w:line="240" w:lineRule="auto"/>
      </w:pPr>
      <w:r>
        <w:continuationSeparator/>
      </w:r>
    </w:p>
  </w:footnote>
  <w:footnote w:type="continuationNotice" w:id="1">
    <w:p w14:paraId="43F14D55" w14:textId="77777777" w:rsidR="0068096F" w:rsidRDefault="006809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42A39" w14:textId="079742CC" w:rsidR="005F4F0D" w:rsidRPr="006C3A73" w:rsidRDefault="202C6A97" w:rsidP="202C6A97">
    <w:pPr>
      <w:pStyle w:val="Header"/>
      <w:rPr>
        <w:rFonts w:ascii="Arial" w:eastAsia="Arial" w:hAnsi="Arial" w:cs="Arial"/>
        <w:b/>
        <w:bCs/>
        <w:u w:val="single"/>
      </w:rPr>
    </w:pPr>
    <w:r w:rsidRPr="202C6A97">
      <w:rPr>
        <w:rFonts w:ascii="Arial" w:eastAsia="Arial" w:hAnsi="Arial" w:cs="Arial"/>
        <w:b/>
        <w:bCs/>
        <w:u w:val="single"/>
      </w:rPr>
      <w:t>Ballistic Testing FATS5 Tasking – Evaluation Criteria</w:t>
    </w:r>
  </w:p>
  <w:p w14:paraId="61CDCEAD" w14:textId="77777777" w:rsidR="005F4F0D" w:rsidRDefault="005F4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C4B9B"/>
    <w:multiLevelType w:val="hybridMultilevel"/>
    <w:tmpl w:val="77D8F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4460C"/>
    <w:multiLevelType w:val="hybridMultilevel"/>
    <w:tmpl w:val="4AC03C8E"/>
    <w:lvl w:ilvl="0" w:tplc="0809000F">
      <w:start w:val="1"/>
      <w:numFmt w:val="decimal"/>
      <w:lvlText w:val="%1."/>
      <w:lvlJc w:val="left"/>
      <w:pPr>
        <w:ind w:left="720" w:hanging="360"/>
      </w:pPr>
      <w:rPr>
        <w:rFonts w:hint="default"/>
      </w:rPr>
    </w:lvl>
    <w:lvl w:ilvl="1" w:tplc="8166C348">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AB0473"/>
    <w:multiLevelType w:val="hybridMultilevel"/>
    <w:tmpl w:val="E9A4B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B682B05"/>
    <w:multiLevelType w:val="hybridMultilevel"/>
    <w:tmpl w:val="AE407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771C58"/>
    <w:multiLevelType w:val="hybridMultilevel"/>
    <w:tmpl w:val="00842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6E7D81"/>
    <w:multiLevelType w:val="hybridMultilevel"/>
    <w:tmpl w:val="1C2C2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61FB0"/>
    <w:multiLevelType w:val="hybridMultilevel"/>
    <w:tmpl w:val="9B209CE4"/>
    <w:lvl w:ilvl="0" w:tplc="63C4B5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3F6A49"/>
    <w:multiLevelType w:val="multilevel"/>
    <w:tmpl w:val="358EFD3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C3368DD"/>
    <w:multiLevelType w:val="hybridMultilevel"/>
    <w:tmpl w:val="848E9F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0C4C18"/>
    <w:multiLevelType w:val="hybridMultilevel"/>
    <w:tmpl w:val="089C8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577E8"/>
    <w:multiLevelType w:val="hybridMultilevel"/>
    <w:tmpl w:val="8E3E76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285502"/>
    <w:multiLevelType w:val="hybridMultilevel"/>
    <w:tmpl w:val="9522D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F82EAF"/>
    <w:multiLevelType w:val="hybridMultilevel"/>
    <w:tmpl w:val="E9A4B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5730BC8"/>
    <w:multiLevelType w:val="hybridMultilevel"/>
    <w:tmpl w:val="1BEEF508"/>
    <w:lvl w:ilvl="0" w:tplc="DA78D944">
      <w:start w:val="1"/>
      <w:numFmt w:val="decimal"/>
      <w:lvlText w:val="%1."/>
      <w:lvlJc w:val="left"/>
      <w:pPr>
        <w:ind w:left="1440" w:hanging="360"/>
      </w:pPr>
      <w:rPr>
        <w:rFonts w:ascii="Arial" w:eastAsia="Times New Roman" w:hAnsi="Arial" w:cs="Arial"/>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84421A9"/>
    <w:multiLevelType w:val="hybridMultilevel"/>
    <w:tmpl w:val="9C247B1C"/>
    <w:lvl w:ilvl="0" w:tplc="383486A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2F548A8"/>
    <w:multiLevelType w:val="hybridMultilevel"/>
    <w:tmpl w:val="92AEB2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BEB1C3A"/>
    <w:multiLevelType w:val="hybridMultilevel"/>
    <w:tmpl w:val="338E58EA"/>
    <w:lvl w:ilvl="0" w:tplc="FFFFFFFF">
      <w:start w:val="1"/>
      <w:numFmt w:val="bullet"/>
      <w:lvlText w:val=""/>
      <w:lvlJc w:val="left"/>
      <w:pPr>
        <w:ind w:left="720" w:hanging="360"/>
      </w:pPr>
      <w:rPr>
        <w:rFonts w:ascii="Symbol" w:hAnsi="Symbol" w:hint="default"/>
      </w:rPr>
    </w:lvl>
    <w:lvl w:ilvl="1" w:tplc="E7924DD2">
      <w:numFmt w:val="bullet"/>
      <w:lvlText w:val="•"/>
      <w:lvlJc w:val="left"/>
      <w:pPr>
        <w:ind w:left="1440" w:hanging="36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6B3028"/>
    <w:multiLevelType w:val="hybridMultilevel"/>
    <w:tmpl w:val="C2F48D3C"/>
    <w:lvl w:ilvl="0" w:tplc="6C4AE98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365D4E"/>
    <w:multiLevelType w:val="hybridMultilevel"/>
    <w:tmpl w:val="14208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466C7C"/>
    <w:multiLevelType w:val="hybridMultilevel"/>
    <w:tmpl w:val="E9A4B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5302634"/>
    <w:multiLevelType w:val="hybridMultilevel"/>
    <w:tmpl w:val="C2F48D3C"/>
    <w:lvl w:ilvl="0" w:tplc="6C4AE98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D038B8"/>
    <w:multiLevelType w:val="hybridMultilevel"/>
    <w:tmpl w:val="C0AC0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C0330D"/>
    <w:multiLevelType w:val="hybridMultilevel"/>
    <w:tmpl w:val="DBA04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C671CB"/>
    <w:multiLevelType w:val="hybridMultilevel"/>
    <w:tmpl w:val="A0266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079CF"/>
    <w:multiLevelType w:val="hybridMultilevel"/>
    <w:tmpl w:val="11F8A4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10"/>
  </w:num>
  <w:num w:numId="4">
    <w:abstractNumId w:val="7"/>
  </w:num>
  <w:num w:numId="5">
    <w:abstractNumId w:val="1"/>
  </w:num>
  <w:num w:numId="6">
    <w:abstractNumId w:val="14"/>
  </w:num>
  <w:num w:numId="7">
    <w:abstractNumId w:val="2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9"/>
  </w:num>
  <w:num w:numId="11">
    <w:abstractNumId w:val="6"/>
  </w:num>
  <w:num w:numId="12">
    <w:abstractNumId w:val="13"/>
  </w:num>
  <w:num w:numId="13">
    <w:abstractNumId w:val="24"/>
  </w:num>
  <w:num w:numId="14">
    <w:abstractNumId w:val="21"/>
  </w:num>
  <w:num w:numId="15">
    <w:abstractNumId w:val="0"/>
  </w:num>
  <w:num w:numId="16">
    <w:abstractNumId w:val="11"/>
  </w:num>
  <w:num w:numId="17">
    <w:abstractNumId w:val="16"/>
  </w:num>
  <w:num w:numId="18">
    <w:abstractNumId w:val="20"/>
  </w:num>
  <w:num w:numId="19">
    <w:abstractNumId w:val="8"/>
  </w:num>
  <w:num w:numId="20">
    <w:abstractNumId w:val="4"/>
  </w:num>
  <w:num w:numId="21">
    <w:abstractNumId w:val="23"/>
  </w:num>
  <w:num w:numId="22">
    <w:abstractNumId w:val="17"/>
  </w:num>
  <w:num w:numId="23">
    <w:abstractNumId w:val="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497"/>
    <w:rsid w:val="000026D8"/>
    <w:rsid w:val="000471DD"/>
    <w:rsid w:val="00065D92"/>
    <w:rsid w:val="00074324"/>
    <w:rsid w:val="000758BC"/>
    <w:rsid w:val="000770AE"/>
    <w:rsid w:val="0008405D"/>
    <w:rsid w:val="0008736A"/>
    <w:rsid w:val="000A33EE"/>
    <w:rsid w:val="000B0A7F"/>
    <w:rsid w:val="000B0EE8"/>
    <w:rsid w:val="000B4BD6"/>
    <w:rsid w:val="000D7075"/>
    <w:rsid w:val="000F2FB1"/>
    <w:rsid w:val="00100A5B"/>
    <w:rsid w:val="00100D2A"/>
    <w:rsid w:val="00124067"/>
    <w:rsid w:val="00154744"/>
    <w:rsid w:val="00154F37"/>
    <w:rsid w:val="00156F0C"/>
    <w:rsid w:val="00157D32"/>
    <w:rsid w:val="001B0787"/>
    <w:rsid w:val="001B6649"/>
    <w:rsid w:val="001C4F66"/>
    <w:rsid w:val="001E2DF0"/>
    <w:rsid w:val="001F4139"/>
    <w:rsid w:val="00223078"/>
    <w:rsid w:val="0022370E"/>
    <w:rsid w:val="00227A61"/>
    <w:rsid w:val="00233101"/>
    <w:rsid w:val="002E2E9A"/>
    <w:rsid w:val="002E6B35"/>
    <w:rsid w:val="002F6238"/>
    <w:rsid w:val="00315D50"/>
    <w:rsid w:val="0032510F"/>
    <w:rsid w:val="0034176C"/>
    <w:rsid w:val="00347491"/>
    <w:rsid w:val="00357146"/>
    <w:rsid w:val="0036154A"/>
    <w:rsid w:val="003A0583"/>
    <w:rsid w:val="003C442D"/>
    <w:rsid w:val="003E1B17"/>
    <w:rsid w:val="004038BD"/>
    <w:rsid w:val="00404CB2"/>
    <w:rsid w:val="00432F08"/>
    <w:rsid w:val="00440C6E"/>
    <w:rsid w:val="00461DD4"/>
    <w:rsid w:val="004816F1"/>
    <w:rsid w:val="004A270B"/>
    <w:rsid w:val="004B5D9E"/>
    <w:rsid w:val="0051267E"/>
    <w:rsid w:val="00534B38"/>
    <w:rsid w:val="00572A58"/>
    <w:rsid w:val="00572F38"/>
    <w:rsid w:val="005739DB"/>
    <w:rsid w:val="0057613C"/>
    <w:rsid w:val="005C02F7"/>
    <w:rsid w:val="005C6ED1"/>
    <w:rsid w:val="005E7CCA"/>
    <w:rsid w:val="005F4F0D"/>
    <w:rsid w:val="00603D02"/>
    <w:rsid w:val="00631D34"/>
    <w:rsid w:val="00632E55"/>
    <w:rsid w:val="006369C7"/>
    <w:rsid w:val="0065111F"/>
    <w:rsid w:val="00653C79"/>
    <w:rsid w:val="00673A66"/>
    <w:rsid w:val="006740A0"/>
    <w:rsid w:val="0068096F"/>
    <w:rsid w:val="006C2698"/>
    <w:rsid w:val="006C3A73"/>
    <w:rsid w:val="006C4CC9"/>
    <w:rsid w:val="006E7083"/>
    <w:rsid w:val="006F172F"/>
    <w:rsid w:val="007005CC"/>
    <w:rsid w:val="00706020"/>
    <w:rsid w:val="00706B78"/>
    <w:rsid w:val="0072338D"/>
    <w:rsid w:val="007369D6"/>
    <w:rsid w:val="007777A2"/>
    <w:rsid w:val="00781C1D"/>
    <w:rsid w:val="007C7371"/>
    <w:rsid w:val="007D3895"/>
    <w:rsid w:val="007D4882"/>
    <w:rsid w:val="007D71E0"/>
    <w:rsid w:val="007E4CA5"/>
    <w:rsid w:val="00814620"/>
    <w:rsid w:val="00814AF9"/>
    <w:rsid w:val="0081792E"/>
    <w:rsid w:val="008237BC"/>
    <w:rsid w:val="00823F4B"/>
    <w:rsid w:val="008245D2"/>
    <w:rsid w:val="00830644"/>
    <w:rsid w:val="00831D7C"/>
    <w:rsid w:val="00832A23"/>
    <w:rsid w:val="00836EEF"/>
    <w:rsid w:val="00874C1A"/>
    <w:rsid w:val="00875809"/>
    <w:rsid w:val="00883BA4"/>
    <w:rsid w:val="00891A26"/>
    <w:rsid w:val="008943DA"/>
    <w:rsid w:val="008B49BC"/>
    <w:rsid w:val="008E20C9"/>
    <w:rsid w:val="008E3517"/>
    <w:rsid w:val="008E3AC2"/>
    <w:rsid w:val="008E62C7"/>
    <w:rsid w:val="008F2590"/>
    <w:rsid w:val="008F615D"/>
    <w:rsid w:val="008F712E"/>
    <w:rsid w:val="00903921"/>
    <w:rsid w:val="00903CFF"/>
    <w:rsid w:val="009313B5"/>
    <w:rsid w:val="00942749"/>
    <w:rsid w:val="0094387F"/>
    <w:rsid w:val="00956497"/>
    <w:rsid w:val="00961CED"/>
    <w:rsid w:val="009679AC"/>
    <w:rsid w:val="0097453E"/>
    <w:rsid w:val="00974D28"/>
    <w:rsid w:val="00984B80"/>
    <w:rsid w:val="00985A2A"/>
    <w:rsid w:val="0099107B"/>
    <w:rsid w:val="009931E0"/>
    <w:rsid w:val="00997AE0"/>
    <w:rsid w:val="009D3D05"/>
    <w:rsid w:val="009F3453"/>
    <w:rsid w:val="00A07915"/>
    <w:rsid w:val="00A12293"/>
    <w:rsid w:val="00A32641"/>
    <w:rsid w:val="00A32E36"/>
    <w:rsid w:val="00A5645F"/>
    <w:rsid w:val="00A62DFB"/>
    <w:rsid w:val="00A634F0"/>
    <w:rsid w:val="00A73CE7"/>
    <w:rsid w:val="00A86D06"/>
    <w:rsid w:val="00A91E02"/>
    <w:rsid w:val="00AB11A9"/>
    <w:rsid w:val="00AD36AC"/>
    <w:rsid w:val="00B07127"/>
    <w:rsid w:val="00B1193C"/>
    <w:rsid w:val="00B44365"/>
    <w:rsid w:val="00B4471E"/>
    <w:rsid w:val="00B74054"/>
    <w:rsid w:val="00BB738D"/>
    <w:rsid w:val="00BC1532"/>
    <w:rsid w:val="00BC5123"/>
    <w:rsid w:val="00BD105D"/>
    <w:rsid w:val="00BD6B61"/>
    <w:rsid w:val="00C01818"/>
    <w:rsid w:val="00C06BE1"/>
    <w:rsid w:val="00C2744E"/>
    <w:rsid w:val="00C2757B"/>
    <w:rsid w:val="00C45D4E"/>
    <w:rsid w:val="00C63D46"/>
    <w:rsid w:val="00C855F6"/>
    <w:rsid w:val="00C9131C"/>
    <w:rsid w:val="00C93DB4"/>
    <w:rsid w:val="00CB170E"/>
    <w:rsid w:val="00CB1EBE"/>
    <w:rsid w:val="00CB1F61"/>
    <w:rsid w:val="00CB58D9"/>
    <w:rsid w:val="00CE5DEB"/>
    <w:rsid w:val="00CF55AF"/>
    <w:rsid w:val="00D038E5"/>
    <w:rsid w:val="00D07BC5"/>
    <w:rsid w:val="00D23260"/>
    <w:rsid w:val="00D5515B"/>
    <w:rsid w:val="00D67331"/>
    <w:rsid w:val="00D70E17"/>
    <w:rsid w:val="00D7626F"/>
    <w:rsid w:val="00D85412"/>
    <w:rsid w:val="00D85801"/>
    <w:rsid w:val="00D94D07"/>
    <w:rsid w:val="00DB14EA"/>
    <w:rsid w:val="00DF2189"/>
    <w:rsid w:val="00E04ACE"/>
    <w:rsid w:val="00E06918"/>
    <w:rsid w:val="00E07C4F"/>
    <w:rsid w:val="00E36EF4"/>
    <w:rsid w:val="00E50EA4"/>
    <w:rsid w:val="00E517E8"/>
    <w:rsid w:val="00E678D9"/>
    <w:rsid w:val="00E809B3"/>
    <w:rsid w:val="00E94A15"/>
    <w:rsid w:val="00E97FC7"/>
    <w:rsid w:val="00EE34E6"/>
    <w:rsid w:val="00EE6D93"/>
    <w:rsid w:val="00EF4796"/>
    <w:rsid w:val="00F111B1"/>
    <w:rsid w:val="00F24C89"/>
    <w:rsid w:val="00F61EB0"/>
    <w:rsid w:val="00F75934"/>
    <w:rsid w:val="00F86894"/>
    <w:rsid w:val="00F93781"/>
    <w:rsid w:val="00F97D28"/>
    <w:rsid w:val="00FA3191"/>
    <w:rsid w:val="00FC019C"/>
    <w:rsid w:val="00FC0A05"/>
    <w:rsid w:val="00FC5566"/>
    <w:rsid w:val="00FC6460"/>
    <w:rsid w:val="00FD254C"/>
    <w:rsid w:val="00FF4597"/>
    <w:rsid w:val="00FF5054"/>
    <w:rsid w:val="00FF61A0"/>
    <w:rsid w:val="00FF6C7E"/>
    <w:rsid w:val="1FB33CC1"/>
    <w:rsid w:val="202C6A97"/>
    <w:rsid w:val="24EF7419"/>
    <w:rsid w:val="2F988346"/>
    <w:rsid w:val="3FADC956"/>
    <w:rsid w:val="49041C94"/>
    <w:rsid w:val="56AA3373"/>
    <w:rsid w:val="574BD5F5"/>
    <w:rsid w:val="77F79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0455"/>
  <w15:chartTrackingRefBased/>
  <w15:docId w15:val="{F7A57D92-DD3F-4720-B134-C6525F26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5C02F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Block Label,Third Level Heading,h5,H5,H51,H52,H53,H54,H55,H56,H57,H58,H59,H510,H511,H512,H513,H514,H515,H516,H517,H518,H519,H520,H521,H522,H523,H524,H525,H526,H527,H528,H529,H530,H531,H532,H533,H534,H535,H536,H537,H538,H539,H540,H541,H542,H543"/>
    <w:basedOn w:val="Normal"/>
    <w:next w:val="Normal"/>
    <w:link w:val="Heading5Char"/>
    <w:unhideWhenUsed/>
    <w:qFormat/>
    <w:rsid w:val="005C02F7"/>
    <w:pPr>
      <w:keepNext/>
      <w:spacing w:after="0" w:line="240" w:lineRule="auto"/>
      <w:ind w:left="1701" w:hanging="992"/>
      <w:outlineLvl w:val="4"/>
    </w:pPr>
    <w:rPr>
      <w:rFonts w:ascii="Arial" w:eastAsia="Times New Roman" w:hAnsi="Arial" w:cs="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497"/>
    <w:pPr>
      <w:ind w:left="720"/>
      <w:contextualSpacing/>
    </w:pPr>
  </w:style>
  <w:style w:type="table" w:customStyle="1" w:styleId="TableGrid1">
    <w:name w:val="Table Grid1"/>
    <w:basedOn w:val="TableNormal"/>
    <w:next w:val="TableGrid"/>
    <w:uiPriority w:val="39"/>
    <w:rsid w:val="008B49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Normal"/>
    <w:uiPriority w:val="99"/>
    <w:rsid w:val="008F615D"/>
    <w:pPr>
      <w:framePr w:hSpace="180" w:wrap="around" w:vAnchor="text" w:hAnchor="text" w:x="-105" w:y="655"/>
      <w:spacing w:after="0" w:line="240" w:lineRule="auto"/>
    </w:pPr>
    <w:rPr>
      <w:rFonts w:ascii="Calibri" w:hAnsi="Calibri" w:cs="Calibri"/>
      <w:sz w:val="24"/>
      <w:szCs w:val="24"/>
      <w:u w:val="single"/>
      <w:lang w:eastAsia="en-GB"/>
    </w:rPr>
  </w:style>
  <w:style w:type="paragraph" w:styleId="Header">
    <w:name w:val="header"/>
    <w:basedOn w:val="Normal"/>
    <w:link w:val="HeaderChar"/>
    <w:uiPriority w:val="99"/>
    <w:unhideWhenUsed/>
    <w:rsid w:val="006C3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A73"/>
  </w:style>
  <w:style w:type="paragraph" w:styleId="Footer">
    <w:name w:val="footer"/>
    <w:basedOn w:val="Normal"/>
    <w:link w:val="FooterChar"/>
    <w:uiPriority w:val="99"/>
    <w:unhideWhenUsed/>
    <w:rsid w:val="006C3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A73"/>
  </w:style>
  <w:style w:type="table" w:styleId="MediumList2-Accent1">
    <w:name w:val="Medium List 2 Accent 1"/>
    <w:basedOn w:val="TableNormal"/>
    <w:uiPriority w:val="66"/>
    <w:rsid w:val="000471D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0471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1DD"/>
    <w:rPr>
      <w:rFonts w:ascii="Segoe UI" w:hAnsi="Segoe UI" w:cs="Segoe UI"/>
      <w:sz w:val="18"/>
      <w:szCs w:val="18"/>
    </w:rPr>
  </w:style>
  <w:style w:type="table" w:styleId="ListTable7Colorful-Accent6">
    <w:name w:val="List Table 7 Colorful Accent 6"/>
    <w:basedOn w:val="TableNormal"/>
    <w:uiPriority w:val="52"/>
    <w:rsid w:val="000471D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223078"/>
    <w:rPr>
      <w:sz w:val="16"/>
      <w:szCs w:val="16"/>
    </w:rPr>
  </w:style>
  <w:style w:type="paragraph" w:styleId="CommentText">
    <w:name w:val="annotation text"/>
    <w:basedOn w:val="Normal"/>
    <w:link w:val="CommentTextChar"/>
    <w:uiPriority w:val="99"/>
    <w:semiHidden/>
    <w:unhideWhenUsed/>
    <w:rsid w:val="00223078"/>
    <w:pPr>
      <w:spacing w:line="240" w:lineRule="auto"/>
    </w:pPr>
    <w:rPr>
      <w:sz w:val="20"/>
      <w:szCs w:val="20"/>
    </w:rPr>
  </w:style>
  <w:style w:type="character" w:customStyle="1" w:styleId="CommentTextChar">
    <w:name w:val="Comment Text Char"/>
    <w:basedOn w:val="DefaultParagraphFont"/>
    <w:link w:val="CommentText"/>
    <w:uiPriority w:val="99"/>
    <w:semiHidden/>
    <w:rsid w:val="00223078"/>
    <w:rPr>
      <w:sz w:val="20"/>
      <w:szCs w:val="20"/>
    </w:rPr>
  </w:style>
  <w:style w:type="paragraph" w:styleId="CommentSubject">
    <w:name w:val="annotation subject"/>
    <w:basedOn w:val="CommentText"/>
    <w:next w:val="CommentText"/>
    <w:link w:val="CommentSubjectChar"/>
    <w:uiPriority w:val="99"/>
    <w:semiHidden/>
    <w:unhideWhenUsed/>
    <w:rsid w:val="00223078"/>
    <w:rPr>
      <w:b/>
      <w:bCs/>
    </w:rPr>
  </w:style>
  <w:style w:type="character" w:customStyle="1" w:styleId="CommentSubjectChar">
    <w:name w:val="Comment Subject Char"/>
    <w:basedOn w:val="CommentTextChar"/>
    <w:link w:val="CommentSubject"/>
    <w:uiPriority w:val="99"/>
    <w:semiHidden/>
    <w:rsid w:val="00223078"/>
    <w:rPr>
      <w:b/>
      <w:bCs/>
      <w:sz w:val="20"/>
      <w:szCs w:val="20"/>
    </w:rPr>
  </w:style>
  <w:style w:type="character" w:customStyle="1" w:styleId="Heading4Char">
    <w:name w:val="Heading 4 Char"/>
    <w:basedOn w:val="DefaultParagraphFont"/>
    <w:link w:val="Heading4"/>
    <w:uiPriority w:val="9"/>
    <w:rsid w:val="005C02F7"/>
    <w:rPr>
      <w:rFonts w:asciiTheme="majorHAnsi" w:eastAsiaTheme="majorEastAsia" w:hAnsiTheme="majorHAnsi" w:cstheme="majorBidi"/>
      <w:i/>
      <w:iCs/>
      <w:color w:val="2E74B5" w:themeColor="accent1" w:themeShade="BF"/>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basedOn w:val="DefaultParagraphFont"/>
    <w:link w:val="Heading5"/>
    <w:rsid w:val="005C02F7"/>
    <w:rPr>
      <w:rFonts w:ascii="Arial" w:eastAsia="Times New Roman" w:hAnsi="Arial" w:cs="Times New Roman"/>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08096">
      <w:bodyDiv w:val="1"/>
      <w:marLeft w:val="0"/>
      <w:marRight w:val="0"/>
      <w:marTop w:val="0"/>
      <w:marBottom w:val="0"/>
      <w:divBdr>
        <w:top w:val="none" w:sz="0" w:space="0" w:color="auto"/>
        <w:left w:val="none" w:sz="0" w:space="0" w:color="auto"/>
        <w:bottom w:val="none" w:sz="0" w:space="0" w:color="auto"/>
        <w:right w:val="none" w:sz="0" w:space="0" w:color="auto"/>
      </w:divBdr>
    </w:div>
    <w:div w:id="188379456">
      <w:bodyDiv w:val="1"/>
      <w:marLeft w:val="0"/>
      <w:marRight w:val="0"/>
      <w:marTop w:val="0"/>
      <w:marBottom w:val="0"/>
      <w:divBdr>
        <w:top w:val="none" w:sz="0" w:space="0" w:color="auto"/>
        <w:left w:val="none" w:sz="0" w:space="0" w:color="auto"/>
        <w:bottom w:val="none" w:sz="0" w:space="0" w:color="auto"/>
        <w:right w:val="none" w:sz="0" w:space="0" w:color="auto"/>
      </w:divBdr>
    </w:div>
    <w:div w:id="278345464">
      <w:bodyDiv w:val="1"/>
      <w:marLeft w:val="0"/>
      <w:marRight w:val="0"/>
      <w:marTop w:val="0"/>
      <w:marBottom w:val="0"/>
      <w:divBdr>
        <w:top w:val="none" w:sz="0" w:space="0" w:color="auto"/>
        <w:left w:val="none" w:sz="0" w:space="0" w:color="auto"/>
        <w:bottom w:val="none" w:sz="0" w:space="0" w:color="auto"/>
        <w:right w:val="none" w:sz="0" w:space="0" w:color="auto"/>
      </w:divBdr>
    </w:div>
    <w:div w:id="282420063">
      <w:bodyDiv w:val="1"/>
      <w:marLeft w:val="0"/>
      <w:marRight w:val="0"/>
      <w:marTop w:val="0"/>
      <w:marBottom w:val="0"/>
      <w:divBdr>
        <w:top w:val="none" w:sz="0" w:space="0" w:color="auto"/>
        <w:left w:val="none" w:sz="0" w:space="0" w:color="auto"/>
        <w:bottom w:val="none" w:sz="0" w:space="0" w:color="auto"/>
        <w:right w:val="none" w:sz="0" w:space="0" w:color="auto"/>
      </w:divBdr>
    </w:div>
    <w:div w:id="434324433">
      <w:bodyDiv w:val="1"/>
      <w:marLeft w:val="0"/>
      <w:marRight w:val="0"/>
      <w:marTop w:val="0"/>
      <w:marBottom w:val="0"/>
      <w:divBdr>
        <w:top w:val="none" w:sz="0" w:space="0" w:color="auto"/>
        <w:left w:val="none" w:sz="0" w:space="0" w:color="auto"/>
        <w:bottom w:val="none" w:sz="0" w:space="0" w:color="auto"/>
        <w:right w:val="none" w:sz="0" w:space="0" w:color="auto"/>
      </w:divBdr>
    </w:div>
    <w:div w:id="642581420">
      <w:bodyDiv w:val="1"/>
      <w:marLeft w:val="0"/>
      <w:marRight w:val="0"/>
      <w:marTop w:val="0"/>
      <w:marBottom w:val="0"/>
      <w:divBdr>
        <w:top w:val="none" w:sz="0" w:space="0" w:color="auto"/>
        <w:left w:val="none" w:sz="0" w:space="0" w:color="auto"/>
        <w:bottom w:val="none" w:sz="0" w:space="0" w:color="auto"/>
        <w:right w:val="none" w:sz="0" w:space="0" w:color="auto"/>
      </w:divBdr>
    </w:div>
    <w:div w:id="691880901">
      <w:bodyDiv w:val="1"/>
      <w:marLeft w:val="0"/>
      <w:marRight w:val="0"/>
      <w:marTop w:val="0"/>
      <w:marBottom w:val="0"/>
      <w:divBdr>
        <w:top w:val="none" w:sz="0" w:space="0" w:color="auto"/>
        <w:left w:val="none" w:sz="0" w:space="0" w:color="auto"/>
        <w:bottom w:val="none" w:sz="0" w:space="0" w:color="auto"/>
        <w:right w:val="none" w:sz="0" w:space="0" w:color="auto"/>
      </w:divBdr>
    </w:div>
    <w:div w:id="716440067">
      <w:bodyDiv w:val="1"/>
      <w:marLeft w:val="0"/>
      <w:marRight w:val="0"/>
      <w:marTop w:val="0"/>
      <w:marBottom w:val="0"/>
      <w:divBdr>
        <w:top w:val="none" w:sz="0" w:space="0" w:color="auto"/>
        <w:left w:val="none" w:sz="0" w:space="0" w:color="auto"/>
        <w:bottom w:val="none" w:sz="0" w:space="0" w:color="auto"/>
        <w:right w:val="none" w:sz="0" w:space="0" w:color="auto"/>
      </w:divBdr>
    </w:div>
    <w:div w:id="1054818887">
      <w:bodyDiv w:val="1"/>
      <w:marLeft w:val="0"/>
      <w:marRight w:val="0"/>
      <w:marTop w:val="0"/>
      <w:marBottom w:val="0"/>
      <w:divBdr>
        <w:top w:val="none" w:sz="0" w:space="0" w:color="auto"/>
        <w:left w:val="none" w:sz="0" w:space="0" w:color="auto"/>
        <w:bottom w:val="none" w:sz="0" w:space="0" w:color="auto"/>
        <w:right w:val="none" w:sz="0" w:space="0" w:color="auto"/>
      </w:divBdr>
    </w:div>
    <w:div w:id="1611400918">
      <w:bodyDiv w:val="1"/>
      <w:marLeft w:val="0"/>
      <w:marRight w:val="0"/>
      <w:marTop w:val="0"/>
      <w:marBottom w:val="0"/>
      <w:divBdr>
        <w:top w:val="none" w:sz="0" w:space="0" w:color="auto"/>
        <w:left w:val="none" w:sz="0" w:space="0" w:color="auto"/>
        <w:bottom w:val="none" w:sz="0" w:space="0" w:color="auto"/>
        <w:right w:val="none" w:sz="0" w:space="0" w:color="auto"/>
      </w:divBdr>
    </w:div>
    <w:div w:id="1747261518">
      <w:bodyDiv w:val="1"/>
      <w:marLeft w:val="0"/>
      <w:marRight w:val="0"/>
      <w:marTop w:val="0"/>
      <w:marBottom w:val="0"/>
      <w:divBdr>
        <w:top w:val="none" w:sz="0" w:space="0" w:color="auto"/>
        <w:left w:val="none" w:sz="0" w:space="0" w:color="auto"/>
        <w:bottom w:val="none" w:sz="0" w:space="0" w:color="auto"/>
        <w:right w:val="none" w:sz="0" w:space="0" w:color="auto"/>
      </w:divBdr>
    </w:div>
    <w:div w:id="1754159553">
      <w:bodyDiv w:val="1"/>
      <w:marLeft w:val="0"/>
      <w:marRight w:val="0"/>
      <w:marTop w:val="0"/>
      <w:marBottom w:val="0"/>
      <w:divBdr>
        <w:top w:val="none" w:sz="0" w:space="0" w:color="auto"/>
        <w:left w:val="none" w:sz="0" w:space="0" w:color="auto"/>
        <w:bottom w:val="none" w:sz="0" w:space="0" w:color="auto"/>
        <w:right w:val="none" w:sz="0" w:space="0" w:color="auto"/>
      </w:divBdr>
    </w:div>
    <w:div w:id="178680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02bb3f72-8bfd-446f-9720-e1e2ed389ea5</TermId>
        </TermInfo>
      </Terms>
    </n1f450bd0d644ca798bdc94626fdef4f>
    <SecurityNonUKConstraints xmlns="04738c6d-ecc8-46f1-821f-82e308eab3d9">None</SecurityNonUKConstraints>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LE SSP</TermName>
          <TermId xmlns="http://schemas.microsoft.com/office/infopath/2007/PartnerControls">7e725cf5-c689-42da-9a64-adf99c8239e7</TermId>
        </TermInfo>
      </Terms>
    </m79e07ce3690491db9121a08429fad40>
    <DPAExemption xmlns="04738c6d-ecc8-46f1-821f-82e308eab3d9" xsi:nil="true"/>
    <TaxCatchAll xmlns="04738c6d-ecc8-46f1-821f-82e308eab3d9">
      <Value>6</Value>
      <Value>3</Value>
      <Value>2</Value>
      <Value>1</Value>
    </TaxCatchAll>
    <UKProtectiveMarking xmlns="04738c6d-ecc8-46f1-821f-82e308eab3d9">OFFICIAL-SENSITIVE COMMERCIAL</UKProtectiveMarking>
    <SecurityDescriptors xmlns="http://schemas.microsoft.com/sharepoint/v3">None</SecurityDescriptors>
    <FOIExemption xmlns="04738c6d-ecc8-46f1-821f-82e308eab3d9">No</FOIExemption>
    <CategoryDescription xmlns="http://schemas.microsoft.com/sharepoint.v3" xsi:nil="true"/>
    <EIRDisclosabilityIndicator xmlns="04738c6d-ecc8-46f1-821f-82e308eab3d9" xsi:nil="true"/>
    <RetentionCategory xmlns="http://schemas.microsoft.com/sharepoint/v3">None</RetentionCategory>
    <CreatedOriginated xmlns="04738c6d-ecc8-46f1-821f-82e308eab3d9">2018-05-15T23:00:00+00:00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Equipment systems and materiel</TermName>
          <TermId xmlns="http://schemas.microsoft.com/office/infopath/2007/PartnerControls">8ff4f3c1-ab01-4ad4-8045-bc6618d1bc08</TermId>
        </TermInfo>
      </Terms>
    </i71a74d1f9984201b479cc08077b6323>
    <FOIPublicationDate xmlns="04738c6d-ecc8-46f1-821f-82e308eab3d9" xsi:nil="true"/>
    <Local_x0020_KeywordsOOB xmlns="108a3bda-1858-454c-afbd-a49ca9623574"/>
    <wic_System_Copyright xmlns="http://schemas.microsoft.com/sharepoint/v3/fields" xsi:nil="true"/>
    <Metadata_x0020__x002d_Level_x0020_2 xmlns="2801a27c-fea2-44d1-9fb5-605924363f42"/>
  </documentManagement>
</p:properties>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0F620CABAFFC44FA836EA8DC5AAEF92" ma:contentTypeVersion="62" ma:contentTypeDescription="Designed to facilitate the storage of MOD Documents with a '.doc' or '.docx' extension" ma:contentTypeScope="" ma:versionID="0c6953b43e838c47d76e69bf3bceb8d2">
  <xsd:schema xmlns:xsd="http://www.w3.org/2001/XMLSchema" xmlns:xs="http://www.w3.org/2001/XMLSchema" xmlns:p="http://schemas.microsoft.com/office/2006/metadata/properties" xmlns:ns1="http://schemas.microsoft.com/sharepoint/v3" xmlns:ns2="http://schemas.microsoft.com/sharepoint.v3" xmlns:ns3="04738c6d-ecc8-46f1-821f-82e308eab3d9" xmlns:ns4="108a3bda-1858-454c-afbd-a49ca9623574" xmlns:ns5="http://schemas.microsoft.com/sharepoint/v3/fields" xmlns:ns6="2801a27c-fea2-44d1-9fb5-605924363f42" xmlns:ns7="52c9729f-f1b7-4ab0-b1c9-71820dfa316f" targetNamespace="http://schemas.microsoft.com/office/2006/metadata/properties" ma:root="true" ma:fieldsID="350f98597f008e094c83a5e83e4aea25" ns1:_="" ns2:_="" ns3:_="" ns4:_="" ns5:_="" ns6:_="" ns7:_="">
    <xsd:import namespace="http://schemas.microsoft.com/sharepoint/v3"/>
    <xsd:import namespace="http://schemas.microsoft.com/sharepoint.v3"/>
    <xsd:import namespace="04738c6d-ecc8-46f1-821f-82e308eab3d9"/>
    <xsd:import namespace="108a3bda-1858-454c-afbd-a49ca9623574"/>
    <xsd:import namespace="http://schemas.microsoft.com/sharepoint/v3/fields"/>
    <xsd:import namespace="2801a27c-fea2-44d1-9fb5-605924363f42"/>
    <xsd:import namespace="52c9729f-f1b7-4ab0-b1c9-71820dfa316f"/>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Metadata_x0020__x002d_Level_x0020_2"/>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2" nillable="true" ma:displayName="Taxonomy Catch All Column" ma:description="" ma:hidden="true" ma:list="{74c2d5c5-5496-4840-8f77-5a6bd8bb267a}" ma:internalName="TaxCatchAll" ma:showField="CatchAllData"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TaxKeywordTaxHTField" ma:index="3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4" nillable="true" ma:displayName="Taxonomy Catch All Column1" ma:description="" ma:hidden="true" ma:list="{74c2d5c5-5496-4840-8f77-5a6bd8bb267a}" ma:internalName="TaxCatchAllLabel" ma:readOnly="true" ma:showField="CatchAllDataLabel"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36" ma:taxonomy="true" ma:internalName="d67af1ddf1dc47979d20c0eae491b81b" ma:taxonomyFieldName="fileplanid" ma:displayName="UK Defence File Plan" ma:readOnly="false" ma:default="3;#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3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38" ma:taxonomy="true" ma:internalName="n1f450bd0d644ca798bdc94626fdef4f" ma:taxonomyFieldName="Subject_x0020_Keywords" ma:displayName="Subject Keywords" ma:readOnly="false" ma:default="2;#Project management|02bb3f72-8bfd-446f-9720-e1e2ed389ea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39" ma:taxonomy="true" ma:internalName="i71a74d1f9984201b479cc08077b6323" ma:taxonomyFieldName="Subject_x0020_Category" ma:displayName="Subject Category" ma:readOnly="false" ma:default="7;#Materiel|1d42e6ae-7d03-44d2-a0cb-3706b8c0f954"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8a3bda-1858-454c-afbd-a49ca9623574"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01a27c-fea2-44d1-9fb5-605924363f42" elementFormDefault="qualified">
    <xsd:import namespace="http://schemas.microsoft.com/office/2006/documentManagement/types"/>
    <xsd:import namespace="http://schemas.microsoft.com/office/infopath/2007/PartnerControls"/>
    <xsd:element name="Metadata_x0020__x002d_Level_x0020_2" ma:index="30" ma:displayName="Metadata - Level 2" ma:format="Dropdown" ma:internalName="Metadata_x0020__x002d_Level_x0020_2" ma:readOnly="false">
      <xsd:simpleType>
        <xsd:restriction base="dms:Choice">
          <xsd:enumeration value="Approvals"/>
          <xsd:enumeration value="Clarification Questions"/>
          <xsd:enumeration value="Draft Tasking"/>
          <xsd:enumeration value="Evaluations"/>
          <xsd:enumeration value="File Minutes"/>
          <xsd:enumeration value="Final Tasking"/>
          <xsd:enumeration value="Tender Responses"/>
        </xsd:restriction>
      </xsd:simpleType>
    </xsd:element>
  </xsd:schema>
  <xsd:schema xmlns:xsd="http://www.w3.org/2001/XMLSchema" xmlns:xs="http://www.w3.org/2001/XMLSchema" xmlns:dms="http://schemas.microsoft.com/office/2006/documentManagement/types" xmlns:pc="http://schemas.microsoft.com/office/infopath/2007/PartnerControls" targetNamespace="52c9729f-f1b7-4ab0-b1c9-71820dfa316f"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PolicyDirtyBag xmlns="microsoft.office.server.policy.changes">
  <Microsoft.Office.RecordsManagement.PolicyFeatures.Expiration op="Change"/>
</PolicyDirtyBag>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484B0-07A9-4003-A853-E7CE6D733272}">
  <ds:schemaRefs>
    <ds:schemaRef ds:uri="office.server.policy"/>
  </ds:schemaRefs>
</ds:datastoreItem>
</file>

<file path=customXml/itemProps2.xml><?xml version="1.0" encoding="utf-8"?>
<ds:datastoreItem xmlns:ds="http://schemas.openxmlformats.org/officeDocument/2006/customXml" ds:itemID="{596568E5-7C7F-4568-8105-FA949BC27DCD}">
  <ds:schemaRefs>
    <ds:schemaRef ds:uri="http://schemas.microsoft.com/sharepoint/v3/contenttype/forms"/>
  </ds:schemaRefs>
</ds:datastoreItem>
</file>

<file path=customXml/itemProps3.xml><?xml version="1.0" encoding="utf-8"?>
<ds:datastoreItem xmlns:ds="http://schemas.openxmlformats.org/officeDocument/2006/customXml" ds:itemID="{1822FFF6-DC25-4DDD-A301-31E26B54ACFF}">
  <ds:schemaRefs>
    <ds:schemaRef ds:uri="http://schemas.microsoft.com/sharepoint/events"/>
  </ds:schemaRefs>
</ds:datastoreItem>
</file>

<file path=customXml/itemProps4.xml><?xml version="1.0" encoding="utf-8"?>
<ds:datastoreItem xmlns:ds="http://schemas.openxmlformats.org/officeDocument/2006/customXml" ds:itemID="{EB121ACC-05A8-4755-9F03-84D487337390}">
  <ds:schemaRefs>
    <ds:schemaRef ds:uri="Microsoft.SharePoint.Taxonomy.ContentTypeSync"/>
  </ds:schemaRefs>
</ds:datastoreItem>
</file>

<file path=customXml/itemProps5.xml><?xml version="1.0" encoding="utf-8"?>
<ds:datastoreItem xmlns:ds="http://schemas.openxmlformats.org/officeDocument/2006/customXml" ds:itemID="{99DCF35C-B827-404B-816F-E075E20B7956}">
  <ds:schemaRefs>
    <ds:schemaRef ds:uri="http://www.w3.org/XML/1998/namespace"/>
    <ds:schemaRef ds:uri="108a3bda-1858-454c-afbd-a49ca9623574"/>
    <ds:schemaRef ds:uri="http://schemas.microsoft.com/sharepoint.v3"/>
    <ds:schemaRef ds:uri="2c60c672-674b-4360-895e-33cedc80a637"/>
    <ds:schemaRef ds:uri="52196917-ae92-4061-b00c-65bacb567936"/>
    <ds:schemaRef ds:uri="http://purl.org/dc/elements/1.1/"/>
    <ds:schemaRef ds:uri="http://purl.org/dc/dcmitype/"/>
    <ds:schemaRef ds:uri="http://schemas.microsoft.com/sharepoint/v3"/>
    <ds:schemaRef ds:uri="http://schemas.microsoft.com/office/2006/documentManagement/types"/>
    <ds:schemaRef ds:uri="cc1df51b-159d-421f-9853-6c3da42d725d"/>
    <ds:schemaRef ds:uri="85de4fbe-322d-4ecb-886e-f7296bb7d028"/>
    <ds:schemaRef ds:uri="47aff563-92f9-491d-95f3-30916aaa7097"/>
    <ds:schemaRef ds:uri="http://schemas.openxmlformats.org/package/2006/metadata/core-properties"/>
    <ds:schemaRef ds:uri="http://purl.org/dc/terms/"/>
    <ds:schemaRef ds:uri="http://schemas.microsoft.com/office/infopath/2007/PartnerControls"/>
    <ds:schemaRef ds:uri="04738c6d-ecc8-46f1-821f-82e308eab3d9"/>
    <ds:schemaRef ds:uri="http://schemas.microsoft.com/sharepoint/v3/fields"/>
    <ds:schemaRef ds:uri="http://schemas.microsoft.com/office/2006/metadata/properties"/>
  </ds:schemaRefs>
</ds:datastoreItem>
</file>

<file path=customXml/itemProps6.xml><?xml version="1.0" encoding="utf-8"?>
<ds:datastoreItem xmlns:ds="http://schemas.openxmlformats.org/officeDocument/2006/customXml" ds:itemID="{D13F041F-D53F-44E9-A376-695374FDE50C}"/>
</file>

<file path=customXml/itemProps7.xml><?xml version="1.0" encoding="utf-8"?>
<ds:datastoreItem xmlns:ds="http://schemas.openxmlformats.org/officeDocument/2006/customXml" ds:itemID="{59140B1A-BD9E-4244-9C41-F10D293A171A}">
  <ds:schemaRefs>
    <ds:schemaRef ds:uri="microsoft.office.server.policy.changes"/>
  </ds:schemaRefs>
</ds:datastoreItem>
</file>

<file path=customXml/itemProps8.xml><?xml version="1.0" encoding="utf-8"?>
<ds:datastoreItem xmlns:ds="http://schemas.openxmlformats.org/officeDocument/2006/customXml" ds:itemID="{25C1D027-54BB-46AE-8BC0-2440C118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865</Words>
  <Characters>4935</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DSA-RAVEN FATS5 Evidence Criteria</dc:title>
  <dc:subject/>
  <dc:creator>Jobbins, Laura Ms (DES LE STSP-DCC-CBM3)</dc:creator>
  <cp:keywords/>
  <dc:description/>
  <cp:lastModifiedBy>Bell, Richard D (Def Comrcl DCGP-17-04)</cp:lastModifiedBy>
  <cp:revision>60</cp:revision>
  <cp:lastPrinted>2018-05-16T10:32:00Z</cp:lastPrinted>
  <dcterms:created xsi:type="dcterms:W3CDTF">2018-06-20T07:34:00Z</dcterms:created>
  <dcterms:modified xsi:type="dcterms:W3CDTF">2018-07-12T08:17:00Z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0x010100D9D675D6CDED02438DC7CFF78D2F29E4010050F620CABAFFC44FA836EA8DC5AAEF92</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1;#Equipment systems and materiel|8ff4f3c1-ab01-4ad4-8045-bc6618d1bc08</vt:lpwstr>
  </property>
  <property fmtid="{D5CDD505-2E9C-101B-9397-08002B2CF9AE}" pid="6" name="TaxKeyword">
    <vt:lpwstr/>
  </property>
  <property fmtid="{D5CDD505-2E9C-101B-9397-08002B2CF9AE}" pid="7" name="Business Owner">
    <vt:lpwstr>6;#DES LE SSP|7e725cf5-c689-42da-9a64-adf99c8239e7</vt:lpwstr>
  </property>
  <property fmtid="{D5CDD505-2E9C-101B-9397-08002B2CF9AE}" pid="8" name="fileplanid">
    <vt:lpwstr>3;#04 Deliver the Unit's objectives|954cf193-6423-4137-9b07-8b4f402d8d43</vt:lpwstr>
  </property>
  <property fmtid="{D5CDD505-2E9C-101B-9397-08002B2CF9AE}" pid="9" name="Subject Keywords">
    <vt:lpwstr>2;#Project management|02bb3f72-8bfd-446f-9720-e1e2ed389ea5</vt:lpwstr>
  </property>
</Properties>
</file>