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DPS Schedule 6 (Order Form Template and Order Schedules)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oejk63vlc18q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REFERENCE: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CCZZ25A10</w:t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 BUYER: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Cabinet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 ADDRESS: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70 Whitehall, London, SW1A 2AS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 SUPPLIER: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ab/>
        <w:tab/>
        <w:t xml:space="preserve">Korn Ferry (UK) Limited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 ADDRESS: 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Korn Ferry,</w:t>
      </w:r>
    </w:p>
    <w:p w:rsidR="00000000" w:rsidDel="00000000" w:rsidP="00000000" w:rsidRDefault="00000000" w:rsidRPr="00000000" w14:paraId="0000000E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bookmarkStart w:colFirst="0" w:colLast="0" w:name="_heading=h.59q9vnhouy8c" w:id="1"/>
      <w:bookmarkEnd w:id="1"/>
      <w:r w:rsidDel="00000000" w:rsidR="00000000" w:rsidRPr="00000000">
        <w:rPr>
          <w:rFonts w:ascii="Arial" w:cs="Arial" w:eastAsia="Arial" w:hAnsi="Arial"/>
          <w:rtl w:val="0"/>
        </w:rPr>
        <w:tab/>
        <w:t xml:space="preserve">  Ryder Court, </w:t>
      </w:r>
    </w:p>
    <w:p w:rsidR="00000000" w:rsidDel="00000000" w:rsidP="00000000" w:rsidRDefault="00000000" w:rsidRPr="00000000" w14:paraId="0000000F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bookmarkStart w:colFirst="0" w:colLast="0" w:name="_heading=h.c4judhpxcap9" w:id="2"/>
      <w:bookmarkEnd w:id="2"/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14 Ryder Street, </w:t>
      </w:r>
    </w:p>
    <w:p w:rsidR="00000000" w:rsidDel="00000000" w:rsidP="00000000" w:rsidRDefault="00000000" w:rsidRPr="00000000" w14:paraId="00000010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bookmarkStart w:colFirst="0" w:colLast="0" w:name="_heading=h.qrcwszfrbx0l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London, </w:t>
      </w:r>
    </w:p>
    <w:p w:rsidR="00000000" w:rsidDel="00000000" w:rsidP="00000000" w:rsidRDefault="00000000" w:rsidRPr="00000000" w14:paraId="00000011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bookmarkStart w:colFirst="0" w:colLast="0" w:name="_heading=h.3c2k6xrbrtop" w:id="4"/>
      <w:bookmarkEnd w:id="4"/>
      <w:r w:rsidDel="00000000" w:rsidR="00000000" w:rsidRPr="00000000">
        <w:rPr>
          <w:rFonts w:ascii="Arial" w:cs="Arial" w:eastAsia="Arial" w:hAnsi="Arial"/>
          <w:rtl w:val="0"/>
        </w:rPr>
        <w:tab/>
        <w:t xml:space="preserve">SW1Y 6QB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REGISTRATION NUMBER: </w:t>
        <w:tab/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highlight w:val="white"/>
          <w:rtl w:val="0"/>
        </w:rPr>
        <w:t xml:space="preserve">00763575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DUNS NUMBER: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</w:t>
        <w:tab/>
        <w:tab/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highlight w:val="white"/>
          <w:rtl w:val="0"/>
        </w:rPr>
        <w:t xml:space="preserve">211578638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DPS SUPPLIER REGISTRATION SERVICE ID: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highlight w:val="white"/>
          <w:rtl w:val="0"/>
        </w:rPr>
        <w:t xml:space="preserve">944364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1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Deliverables and dated 20/10/2025 at Contract Award. </w:t>
      </w:r>
    </w:p>
    <w:p w:rsidR="00000000" w:rsidDel="00000000" w:rsidP="00000000" w:rsidRDefault="00000000" w:rsidRPr="00000000" w14:paraId="0000001A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DPS Contract with the reference number CCZZ25A10 for the Provision of Civil Service Pay and Reward – Annual Benchmarking Report 2026.   </w:t>
      </w:r>
    </w:p>
    <w:p w:rsidR="00000000" w:rsidDel="00000000" w:rsidP="00000000" w:rsidRDefault="00000000" w:rsidRPr="00000000" w14:paraId="0000001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DPS FILTER CATEGORY(IES):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TBA at Contract Award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INCORPORATED TERMS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Order Contract. Where numbers are missing, we are not using those schedules. If the documents conflict, the following order of precedence applies: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Order Special Terms and Order Special Schedules.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RM6126 Joint Schedule 1 (Definitions and Interpretation)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DPS Special Terms</w:t>
      </w:r>
    </w:p>
    <w:p w:rsidR="00000000" w:rsidDel="00000000" w:rsidP="00000000" w:rsidRDefault="00000000" w:rsidRPr="00000000" w14:paraId="00000024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RM6126: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  <w:br w:type="textWrapping"/>
        <w:tab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Schedules for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RM6126: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 (Transparency Reports)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3 (Continuous Improvement)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 5 (Pricing Details)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20 (Order Specification)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(DPS version) v1.0.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RM6126 Joint Schedule 5 (Corporate Social Responsibility)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RM6126 Order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Schedule 4 (Order Tender) as long as any parts of the Order Tender that offer a better commercial position for the Buyer (as decided by the Buyer) take precedence over the documents above.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SPECIAL TERMS</w:t>
      </w:r>
    </w:p>
    <w:p w:rsidR="00000000" w:rsidDel="00000000" w:rsidP="00000000" w:rsidRDefault="00000000" w:rsidRPr="00000000" w14:paraId="0000003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Order Contract:</w:t>
      </w:r>
    </w:p>
    <w:p w:rsidR="00000000" w:rsidDel="00000000" w:rsidP="00000000" w:rsidRDefault="00000000" w:rsidRPr="00000000" w14:paraId="0000003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Schedule 16 (Security) Consultancy Security Schedule Attachment 5 Annex A</w:t>
      </w:r>
    </w:p>
    <w:p w:rsidR="00000000" w:rsidDel="00000000" w:rsidP="00000000" w:rsidRDefault="00000000" w:rsidRPr="00000000" w14:paraId="0000003C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START DATE: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21/10/2025</w:t>
      </w:r>
    </w:p>
    <w:p w:rsidR="00000000" w:rsidDel="00000000" w:rsidP="00000000" w:rsidRDefault="00000000" w:rsidRPr="00000000" w14:paraId="0000003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EXPIRY DATE: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ab/>
        <w:tab/>
        <w:t xml:space="preserve">20/10/2026</w:t>
      </w:r>
    </w:p>
    <w:p w:rsidR="00000000" w:rsidDel="00000000" w:rsidP="00000000" w:rsidRDefault="00000000" w:rsidRPr="00000000" w14:paraId="0000004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INITIAL PERIOD: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Twelve (12) months</w:t>
      </w:r>
    </w:p>
    <w:p w:rsidR="00000000" w:rsidDel="00000000" w:rsidP="00000000" w:rsidRDefault="00000000" w:rsidRPr="00000000" w14:paraId="0000004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EXTENSION PERIOD: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Two (2) periods of twelve (12) months</w:t>
      </w:r>
    </w:p>
    <w:p w:rsidR="00000000" w:rsidDel="00000000" w:rsidP="00000000" w:rsidRDefault="00000000" w:rsidRPr="00000000" w14:paraId="0000004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DELIVERABLES </w:t>
      </w:r>
    </w:p>
    <w:p w:rsidR="00000000" w:rsidDel="00000000" w:rsidP="00000000" w:rsidRDefault="00000000" w:rsidRPr="00000000" w14:paraId="0000004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20 (Order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4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Order Contract is stated in Clause 11.2 of the Core Terms.</w:t>
      </w:r>
    </w:p>
    <w:p w:rsidR="00000000" w:rsidDel="00000000" w:rsidP="00000000" w:rsidRDefault="00000000" w:rsidRPr="00000000" w14:paraId="0000004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Contract Duration (12 months) Charges used to calculate liability in the first Contract Year is £70,000.00.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CHARGES</w:t>
      </w:r>
    </w:p>
    <w:p w:rsidR="00000000" w:rsidDel="00000000" w:rsidP="00000000" w:rsidRDefault="00000000" w:rsidRPr="00000000" w14:paraId="0000004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BACS </w:t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INVOICE ADDRESS</w:t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/>
      </w:pPr>
      <w:hyperlink r:id="rId7">
        <w:r w:rsidDel="00000000" w:rsidR="00000000" w:rsidRPr="00000000">
          <w:rPr>
            <w:color w:val="0000ff"/>
            <w:sz w:val="27"/>
            <w:szCs w:val="27"/>
            <w:u w:val="single"/>
            <w:rtl w:val="0"/>
          </w:rPr>
          <w:t xml:space="preserve">APinvoices-CAB-U@gov.sscl.com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before="120" w:line="259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Appended at Order Schedule 9 (Security)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before="120" w:line="259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before="120" w:line="259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TBA at Contract Award</w:t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TBA at Contract Award</w:t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before="120" w:line="259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E-AUCTIONS</w:t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Commercial submission</w:t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Technical proposal  </w:t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8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8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7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Order Contract, that it will comply with the social value commitments in Order Schedule 4 (Order Tender)</w:t>
      </w:r>
    </w:p>
    <w:p w:rsidR="00000000" w:rsidDel="00000000" w:rsidP="00000000" w:rsidRDefault="00000000" w:rsidRPr="00000000" w14:paraId="0000008A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Layout w:type="fixed"/>
        <w:tblLook w:val="0400"/>
      </w:tblPr>
      <w:tblGrid>
        <w:gridCol w:w="9493"/>
        <w:tblGridChange w:id="0">
          <w:tblGrid>
            <w:gridCol w:w="9493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31f20"/>
                <w:sz w:val="21"/>
                <w:szCs w:val="21"/>
                <w:rtl w:val="0"/>
              </w:rPr>
              <w:t xml:space="preserve">Signed - via DocuSign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81818"/>
                <w:sz w:val="32"/>
                <w:szCs w:val="32"/>
                <w:rtl w:val="0"/>
              </w:rPr>
              <w:t xml:space="preserve">Supplier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bfbfbf"/>
                <w:sz w:val="18"/>
                <w:szCs w:val="18"/>
                <w:rtl w:val="0"/>
              </w:rPr>
              <w:t xml:space="preserve">&lt;Supplier Sign Here&gt;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240"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81818"/>
                <w:sz w:val="32"/>
                <w:szCs w:val="32"/>
                <w:rtl w:val="0"/>
              </w:rPr>
              <w:t xml:space="preserve">Buyer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bfbfbf"/>
                <w:sz w:val="18"/>
                <w:szCs w:val="18"/>
                <w:rtl w:val="0"/>
              </w:rPr>
              <w:t xml:space="preserve">&lt;Commercial Sign Here&gt;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before="120" w:line="240" w:lineRule="auto"/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6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RM6126 - Research &amp; Insights DPS</w:t>
      <w:tab/>
      <w:t xml:space="preserve">                                           </w: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DPS Schedule 6 (Order Form Template and Order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2021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00446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Hyperlink">
    <w:name w:val="Hyperlink"/>
    <w:basedOn w:val="DefaultParagraphFont"/>
    <w:uiPriority w:val="99"/>
    <w:semiHidden w:val="1"/>
    <w:unhideWhenUsed w:val="1"/>
    <w:rsid w:val="003F7F45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Pinvoices-CAB-U@gov.ssc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zN9gEMgA0W1SfmT0UYNzDaLRVQ==">CgMxLjAyDmgub2VqazYzdmxjMThxMg5oLjU5cTl2bmhvdXk4YzIOaC5jNGp1ZGhweGNhcDkyDmgucXJjd3N6ZnJieDBsMg5oLjNjMms2eHJicnRvcDgAciExWE43bUU0UWxyRHlrVXdISkJTR2ZDVHBBVkx1YVVqSUk=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2025-08-28T12:44:00Z</dcterms:created>
  <dc:creator>Owen Stark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