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C48" w:rsidRDefault="004C2C48">
      <w:pPr>
        <w:spacing w:after="0" w:line="259" w:lineRule="auto"/>
        <w:ind w:left="109" w:firstLine="0"/>
        <w:jc w:val="center"/>
        <w:rPr>
          <w:b/>
          <w:color w:val="0070C0"/>
          <w:sz w:val="40"/>
        </w:rP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4C2C48" w:rsidRDefault="00CB1151">
      <w:pPr>
        <w:spacing w:after="830" w:line="259" w:lineRule="auto"/>
        <w:ind w:left="108" w:firstLine="0"/>
        <w:jc w:val="center"/>
      </w:pPr>
      <w:r>
        <w:rPr>
          <w:noProof/>
        </w:rPr>
        <w:drawing>
          <wp:inline distT="0" distB="0" distL="0" distR="0">
            <wp:extent cx="1695450" cy="149542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stretch>
                      <a:fillRect/>
                    </a:stretch>
                  </pic:blipFill>
                  <pic:spPr>
                    <a:xfrm>
                      <a:off x="0" y="0"/>
                      <a:ext cx="1695450" cy="1495425"/>
                    </a:xfrm>
                    <a:prstGeom prst="rect">
                      <a:avLst/>
                    </a:prstGeom>
                  </pic:spPr>
                </pic:pic>
              </a:graphicData>
            </a:graphic>
          </wp:inline>
        </w:drawing>
      </w:r>
      <w:r>
        <w:rPr>
          <w:b/>
          <w:sz w:val="40"/>
        </w:rPr>
        <w:t xml:space="preserve"> </w:t>
      </w:r>
    </w:p>
    <w:p w:rsidR="004C2C48" w:rsidRPr="002D5825" w:rsidRDefault="00CB1151">
      <w:pPr>
        <w:spacing w:after="716" w:line="259" w:lineRule="auto"/>
        <w:ind w:left="10" w:right="2" w:hanging="10"/>
        <w:jc w:val="center"/>
        <w:rPr>
          <w:sz w:val="52"/>
          <w:szCs w:val="52"/>
        </w:rPr>
      </w:pPr>
      <w:r w:rsidRPr="002D5825">
        <w:rPr>
          <w:b/>
          <w:sz w:val="52"/>
          <w:szCs w:val="52"/>
        </w:rPr>
        <w:t xml:space="preserve">Quotation for </w:t>
      </w:r>
    </w:p>
    <w:p w:rsidR="004C2C48" w:rsidRPr="002D5825" w:rsidRDefault="002D5825">
      <w:pPr>
        <w:spacing w:after="875" w:line="259" w:lineRule="auto"/>
        <w:ind w:left="0" w:right="6" w:firstLine="0"/>
        <w:jc w:val="center"/>
        <w:rPr>
          <w:color w:val="auto"/>
          <w:sz w:val="52"/>
          <w:szCs w:val="52"/>
        </w:rPr>
      </w:pPr>
      <w:r w:rsidRPr="002D5825">
        <w:rPr>
          <w:b/>
          <w:color w:val="auto"/>
          <w:sz w:val="52"/>
          <w:szCs w:val="52"/>
        </w:rPr>
        <w:t>Tourism Business Support Specialist</w:t>
      </w:r>
      <w:r w:rsidR="00CB1151" w:rsidRPr="002D5825">
        <w:rPr>
          <w:b/>
          <w:color w:val="auto"/>
          <w:sz w:val="52"/>
          <w:szCs w:val="52"/>
        </w:rPr>
        <w:t xml:space="preserve"> </w:t>
      </w:r>
    </w:p>
    <w:p w:rsidR="004C2C48" w:rsidRDefault="00CB1151">
      <w:pPr>
        <w:pStyle w:val="Heading1"/>
        <w:ind w:right="1"/>
      </w:pPr>
      <w:r>
        <w:t xml:space="preserve">Contract Ref No. </w:t>
      </w:r>
      <w:r w:rsidR="003206A5">
        <w:t>HDG/2023/615</w:t>
      </w:r>
      <w:r>
        <w:rPr>
          <w:color w:val="FF0000"/>
        </w:rPr>
        <w:t xml:space="preserve"> </w:t>
      </w:r>
    </w:p>
    <w:p w:rsidR="00935453" w:rsidRDefault="00935453">
      <w:pPr>
        <w:spacing w:after="160" w:line="259" w:lineRule="auto"/>
        <w:ind w:left="0" w:firstLine="0"/>
        <w:jc w:val="left"/>
        <w:rPr>
          <w:b/>
          <w:sz w:val="28"/>
          <w:u w:val="single" w:color="000000"/>
        </w:rPr>
      </w:pPr>
      <w:r>
        <w:rPr>
          <w:u w:color="000000"/>
        </w:rPr>
        <w:br w:type="page"/>
      </w:r>
    </w:p>
    <w:p w:rsidR="004C2C48" w:rsidRDefault="00CB1151" w:rsidP="00FF2BA4">
      <w:pPr>
        <w:pStyle w:val="Heading2"/>
        <w:spacing w:after="184"/>
        <w:ind w:left="0" w:firstLine="0"/>
      </w:pPr>
      <w:r>
        <w:rPr>
          <w:color w:val="000000"/>
          <w:u w:color="000000"/>
        </w:rPr>
        <w:lastRenderedPageBreak/>
        <w:t>COMPANY DETAILS</w:t>
      </w:r>
      <w:r>
        <w:rPr>
          <w:color w:val="000000"/>
          <w:u w:val="none" w:color="000000"/>
        </w:rPr>
        <w:t xml:space="preserve"> </w:t>
      </w:r>
    </w:p>
    <w:p w:rsidR="004C2C48" w:rsidRDefault="00CB1151">
      <w:pPr>
        <w:spacing w:after="0" w:line="259" w:lineRule="auto"/>
        <w:ind w:left="0" w:firstLine="0"/>
        <w:jc w:val="left"/>
      </w:pPr>
      <w:r>
        <w:rPr>
          <w:b/>
        </w:rPr>
        <w:t xml:space="preserve"> </w:t>
      </w:r>
    </w:p>
    <w:tbl>
      <w:tblPr>
        <w:tblStyle w:val="TableGrid"/>
        <w:tblW w:w="9019" w:type="dxa"/>
        <w:tblInd w:w="5" w:type="dxa"/>
        <w:tblCellMar>
          <w:top w:w="20" w:type="dxa"/>
          <w:left w:w="108" w:type="dxa"/>
          <w:right w:w="115" w:type="dxa"/>
        </w:tblCellMar>
        <w:tblLook w:val="04A0" w:firstRow="1" w:lastRow="0" w:firstColumn="1" w:lastColumn="0" w:noHBand="0" w:noVBand="1"/>
      </w:tblPr>
      <w:tblGrid>
        <w:gridCol w:w="4528"/>
        <w:gridCol w:w="4491"/>
      </w:tblGrid>
      <w:tr w:rsidR="004C2C48">
        <w:trPr>
          <w:trHeight w:val="576"/>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Organisation Name: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t xml:space="preserve"> </w:t>
            </w:r>
          </w:p>
        </w:tc>
      </w:tr>
      <w:tr w:rsidR="004C2C48">
        <w:trPr>
          <w:trHeight w:val="576"/>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Address: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t xml:space="preserve"> </w:t>
            </w:r>
          </w:p>
        </w:tc>
      </w:tr>
      <w:tr w:rsidR="004C2C48">
        <w:trPr>
          <w:trHeight w:val="578"/>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Telephone Number (office):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t xml:space="preserve"> </w:t>
            </w:r>
          </w:p>
        </w:tc>
      </w:tr>
      <w:tr w:rsidR="004C2C48">
        <w:trPr>
          <w:trHeight w:val="576"/>
        </w:trPr>
        <w:tc>
          <w:tcPr>
            <w:tcW w:w="4527"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b/>
              </w:rPr>
              <w:t xml:space="preserve">Telephone Number (mobile) if applicable: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sz w:val="22"/>
              </w:rPr>
              <w:t xml:space="preserve"> </w:t>
            </w:r>
          </w:p>
        </w:tc>
      </w:tr>
      <w:tr w:rsidR="004C2C48">
        <w:trPr>
          <w:trHeight w:val="578"/>
        </w:trPr>
        <w:tc>
          <w:tcPr>
            <w:tcW w:w="4527"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b/>
              </w:rPr>
              <w:t xml:space="preserve">Point of Contact in Relation to this Quotation: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sz w:val="22"/>
              </w:rPr>
              <w:t xml:space="preserve"> </w:t>
            </w:r>
          </w:p>
        </w:tc>
      </w:tr>
      <w:tr w:rsidR="004C2C48">
        <w:trPr>
          <w:trHeight w:val="577"/>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E-mail address of Point of Contact: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sz w:val="22"/>
              </w:rPr>
              <w:t xml:space="preserve"> </w:t>
            </w:r>
          </w:p>
        </w:tc>
      </w:tr>
      <w:tr w:rsidR="004C2C48">
        <w:trPr>
          <w:trHeight w:val="578"/>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Name of Project Lead: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sz w:val="22"/>
              </w:rPr>
              <w:t xml:space="preserve"> </w:t>
            </w:r>
          </w:p>
        </w:tc>
      </w:tr>
    </w:tbl>
    <w:p w:rsidR="004C2C48" w:rsidRDefault="00CB1151">
      <w:pPr>
        <w:spacing w:after="0" w:line="259" w:lineRule="auto"/>
        <w:ind w:left="0" w:firstLine="0"/>
        <w:jc w:val="left"/>
      </w:pPr>
      <w:r>
        <w:rPr>
          <w:b/>
        </w:rPr>
        <w:t xml:space="preserve"> </w:t>
      </w:r>
    </w:p>
    <w:p w:rsidR="004C2C48" w:rsidRDefault="00CB1151">
      <w:pPr>
        <w:spacing w:after="17" w:line="259" w:lineRule="auto"/>
        <w:ind w:left="0" w:firstLine="0"/>
        <w:jc w:val="left"/>
      </w:pPr>
      <w:r>
        <w:rPr>
          <w:b/>
        </w:rPr>
        <w:t xml:space="preserve"> </w:t>
      </w:r>
    </w:p>
    <w:p w:rsidR="004C2C48" w:rsidRDefault="00CB1151">
      <w:pPr>
        <w:pStyle w:val="Heading2"/>
        <w:spacing w:after="184"/>
        <w:ind w:left="-5"/>
      </w:pPr>
      <w:r>
        <w:rPr>
          <w:color w:val="000000"/>
          <w:u w:color="000000"/>
        </w:rPr>
        <w:t>REQUIREMENTS/SPECIFICATION</w:t>
      </w:r>
      <w:r>
        <w:rPr>
          <w:rFonts w:ascii="Calibri" w:eastAsia="Calibri" w:hAnsi="Calibri" w:cs="Calibri"/>
          <w:color w:val="000000"/>
          <w:u w:val="none" w:color="000000"/>
          <w:vertAlign w:val="subscript"/>
        </w:rPr>
        <w:t xml:space="preserve"> </w:t>
      </w:r>
    </w:p>
    <w:p w:rsidR="00935453" w:rsidRPr="00DD522D" w:rsidRDefault="00935453">
      <w:pPr>
        <w:spacing w:after="249" w:line="268" w:lineRule="auto"/>
        <w:ind w:left="-5" w:hanging="10"/>
        <w:jc w:val="left"/>
        <w:rPr>
          <w:b/>
          <w:color w:val="auto"/>
        </w:rPr>
      </w:pPr>
      <w:r w:rsidRPr="00DD522D">
        <w:rPr>
          <w:b/>
          <w:color w:val="auto"/>
        </w:rPr>
        <w:t>Introduction</w:t>
      </w:r>
    </w:p>
    <w:p w:rsidR="006C5F42" w:rsidRDefault="006C5F42" w:rsidP="006C5F42">
      <w:pPr>
        <w:spacing w:after="249" w:line="268" w:lineRule="auto"/>
        <w:ind w:left="-5" w:hanging="10"/>
        <w:jc w:val="left"/>
        <w:rPr>
          <w:color w:val="auto"/>
        </w:rPr>
      </w:pPr>
      <w:bookmarkStart w:id="0" w:name="_Hlk149223897"/>
      <w:r w:rsidRPr="00DD522D">
        <w:rPr>
          <w:color w:val="auto"/>
        </w:rPr>
        <w:t xml:space="preserve">Stoke-on-Trent City Council has received £373,000 from the UK Government through the UK Shared Prosperity Fund to deliver a visitor economy programme Visit Stoke-on-Trent: A City of Imagination. This project supports Stoke-on-Trent’s Visitor Economy Strategy 2022 – 2027 which aims to transform the City into one of the region’s most important cultural </w:t>
      </w:r>
      <w:r>
        <w:rPr>
          <w:color w:val="auto"/>
        </w:rPr>
        <w:t>tourism destinations within the next 5 years.</w:t>
      </w:r>
    </w:p>
    <w:p w:rsidR="006C5F42" w:rsidRDefault="006C5F42" w:rsidP="006C5F42">
      <w:pPr>
        <w:spacing w:after="249" w:line="268" w:lineRule="auto"/>
        <w:ind w:left="-5" w:hanging="10"/>
        <w:jc w:val="left"/>
        <w:rPr>
          <w:color w:val="auto"/>
        </w:rPr>
      </w:pPr>
      <w:r>
        <w:rPr>
          <w:color w:val="auto"/>
        </w:rPr>
        <w:t>In line with the Visitor Economy Strategy, the UKSPF funded programme will support:</w:t>
      </w:r>
    </w:p>
    <w:p w:rsidR="006C5F42" w:rsidRDefault="006C5F42" w:rsidP="006C5F42">
      <w:pPr>
        <w:pStyle w:val="ListParagraph"/>
        <w:numPr>
          <w:ilvl w:val="0"/>
          <w:numId w:val="5"/>
        </w:numPr>
        <w:spacing w:after="249" w:line="268" w:lineRule="auto"/>
        <w:jc w:val="left"/>
        <w:rPr>
          <w:color w:val="auto"/>
        </w:rPr>
      </w:pPr>
      <w:r w:rsidRPr="000826F2">
        <w:rPr>
          <w:color w:val="auto"/>
        </w:rPr>
        <w:t>Delivering a small grants scheme (up to 10k, revenue only) to revive the areas leisure, hospitality and tourism service industry to improve performance, capacity and quality of offer. Open to both businesses and organisations subject to meeting the eligibility criteria;</w:t>
      </w:r>
    </w:p>
    <w:p w:rsidR="006C5F42" w:rsidRDefault="006C5F42" w:rsidP="006C5F42">
      <w:pPr>
        <w:pStyle w:val="ListParagraph"/>
        <w:numPr>
          <w:ilvl w:val="0"/>
          <w:numId w:val="5"/>
        </w:numPr>
        <w:spacing w:after="249" w:line="268" w:lineRule="auto"/>
        <w:jc w:val="left"/>
        <w:rPr>
          <w:color w:val="auto"/>
        </w:rPr>
      </w:pPr>
      <w:bookmarkStart w:id="1" w:name="_Hlk149296599"/>
      <w:r>
        <w:rPr>
          <w:color w:val="auto"/>
        </w:rPr>
        <w:t>Support for leisure and tourism SMEs delivered by sector specialists via seminars, workshops, 1-2-1 business advice;</w:t>
      </w:r>
    </w:p>
    <w:bookmarkEnd w:id="1"/>
    <w:p w:rsidR="006C5F42" w:rsidRDefault="006C5F42" w:rsidP="006C5F42">
      <w:pPr>
        <w:pStyle w:val="ListParagraph"/>
        <w:numPr>
          <w:ilvl w:val="0"/>
          <w:numId w:val="5"/>
        </w:numPr>
        <w:spacing w:after="249" w:line="268" w:lineRule="auto"/>
        <w:jc w:val="left"/>
        <w:rPr>
          <w:color w:val="auto"/>
        </w:rPr>
      </w:pPr>
      <w:r>
        <w:rPr>
          <w:color w:val="auto"/>
        </w:rPr>
        <w:t>Building better entertainment programming in the city</w:t>
      </w:r>
    </w:p>
    <w:p w:rsidR="006C5F42" w:rsidRPr="00A30A2F" w:rsidRDefault="006C5F42" w:rsidP="006C5F42">
      <w:pPr>
        <w:spacing w:after="249" w:line="268" w:lineRule="auto"/>
        <w:ind w:left="0" w:firstLine="0"/>
        <w:jc w:val="left"/>
        <w:rPr>
          <w:color w:val="auto"/>
        </w:rPr>
      </w:pPr>
      <w:r>
        <w:rPr>
          <w:color w:val="auto"/>
        </w:rPr>
        <w:t>These activities are designed to fundamentally uplift consumer perceptions of the City and increasing opportunities for engagement with the product, thereby increasing spend in the sector and ultimately generating increased employment for the local community.</w:t>
      </w:r>
    </w:p>
    <w:bookmarkEnd w:id="0"/>
    <w:p w:rsidR="00250C76" w:rsidRDefault="00250C76">
      <w:pPr>
        <w:spacing w:after="249" w:line="268" w:lineRule="auto"/>
        <w:ind w:left="-5" w:hanging="10"/>
        <w:jc w:val="left"/>
        <w:rPr>
          <w:b/>
          <w:color w:val="auto"/>
        </w:rPr>
      </w:pPr>
    </w:p>
    <w:p w:rsidR="00250C76" w:rsidRDefault="00250C76">
      <w:pPr>
        <w:spacing w:after="249" w:line="268" w:lineRule="auto"/>
        <w:ind w:left="-5" w:hanging="10"/>
        <w:jc w:val="left"/>
        <w:rPr>
          <w:b/>
          <w:color w:val="auto"/>
        </w:rPr>
      </w:pPr>
    </w:p>
    <w:p w:rsidR="00935453" w:rsidRPr="00DD522D" w:rsidRDefault="00935453">
      <w:pPr>
        <w:spacing w:after="249" w:line="268" w:lineRule="auto"/>
        <w:ind w:left="-5" w:hanging="10"/>
        <w:jc w:val="left"/>
        <w:rPr>
          <w:b/>
          <w:color w:val="auto"/>
        </w:rPr>
      </w:pPr>
      <w:r w:rsidRPr="00DD522D">
        <w:rPr>
          <w:b/>
          <w:color w:val="auto"/>
        </w:rPr>
        <w:lastRenderedPageBreak/>
        <w:t>Requirements</w:t>
      </w:r>
    </w:p>
    <w:p w:rsidR="00227148" w:rsidRDefault="00155530" w:rsidP="00EF0B5B">
      <w:pPr>
        <w:spacing w:after="249" w:line="268" w:lineRule="auto"/>
        <w:ind w:left="-5" w:hanging="10"/>
        <w:jc w:val="left"/>
        <w:rPr>
          <w:color w:val="auto"/>
        </w:rPr>
      </w:pPr>
      <w:r w:rsidRPr="00155530">
        <w:rPr>
          <w:color w:val="auto"/>
        </w:rPr>
        <w:t>Stoke-on-Trent City Council are</w:t>
      </w:r>
      <w:r>
        <w:rPr>
          <w:color w:val="auto"/>
        </w:rPr>
        <w:t xml:space="preserve"> looking for quotations from </w:t>
      </w:r>
      <w:r w:rsidR="00D92DCA">
        <w:rPr>
          <w:color w:val="auto"/>
        </w:rPr>
        <w:t xml:space="preserve">a </w:t>
      </w:r>
      <w:r w:rsidRPr="00155530">
        <w:rPr>
          <w:color w:val="auto"/>
        </w:rPr>
        <w:t xml:space="preserve">specialist tourism business support/ training consultant to </w:t>
      </w:r>
      <w:r>
        <w:rPr>
          <w:color w:val="auto"/>
        </w:rPr>
        <w:t xml:space="preserve">deliver </w:t>
      </w:r>
      <w:r w:rsidR="00227148">
        <w:rPr>
          <w:color w:val="auto"/>
        </w:rPr>
        <w:t>a</w:t>
      </w:r>
      <w:r>
        <w:rPr>
          <w:color w:val="auto"/>
        </w:rPr>
        <w:t xml:space="preserve"> programme</w:t>
      </w:r>
      <w:r w:rsidR="00227148">
        <w:rPr>
          <w:color w:val="auto"/>
        </w:rPr>
        <w:t xml:space="preserve"> of</w:t>
      </w:r>
      <w:r>
        <w:rPr>
          <w:color w:val="auto"/>
        </w:rPr>
        <w:t xml:space="preserve"> </w:t>
      </w:r>
      <w:r w:rsidRPr="00155530">
        <w:rPr>
          <w:color w:val="auto"/>
        </w:rPr>
        <w:t>work with leisure and tourism related SMEs to provide expert help/advice to grow their business to the tourism market.</w:t>
      </w:r>
    </w:p>
    <w:p w:rsidR="006C5F42" w:rsidRDefault="00553734" w:rsidP="00EF0B5B">
      <w:pPr>
        <w:spacing w:after="249" w:line="268" w:lineRule="auto"/>
        <w:ind w:left="-5" w:hanging="10"/>
        <w:jc w:val="left"/>
        <w:rPr>
          <w:color w:val="auto"/>
        </w:rPr>
      </w:pPr>
      <w:r>
        <w:rPr>
          <w:color w:val="auto"/>
        </w:rPr>
        <w:t>The business support programme should be designed to help improve the competitiveness of businesses, increasing capacity, enhancing product awareness and quality of offer.</w:t>
      </w:r>
    </w:p>
    <w:p w:rsidR="00935453" w:rsidRPr="00DD522D" w:rsidRDefault="00935453">
      <w:pPr>
        <w:spacing w:after="249" w:line="268" w:lineRule="auto"/>
        <w:ind w:left="-5" w:hanging="10"/>
        <w:jc w:val="left"/>
        <w:rPr>
          <w:b/>
          <w:color w:val="auto"/>
        </w:rPr>
      </w:pPr>
      <w:r w:rsidRPr="00DD522D">
        <w:rPr>
          <w:b/>
          <w:color w:val="auto"/>
        </w:rPr>
        <w:t>Outputs</w:t>
      </w:r>
    </w:p>
    <w:p w:rsidR="00227148" w:rsidRDefault="00987C9B">
      <w:pPr>
        <w:spacing w:after="249" w:line="268" w:lineRule="auto"/>
        <w:ind w:left="-5" w:hanging="10"/>
        <w:jc w:val="left"/>
        <w:rPr>
          <w:color w:val="auto"/>
        </w:rPr>
      </w:pPr>
      <w:r w:rsidRPr="00987C9B">
        <w:rPr>
          <w:color w:val="auto"/>
        </w:rPr>
        <w:t xml:space="preserve">Support for leisure and tourism SMEs </w:t>
      </w:r>
      <w:r w:rsidR="00227148">
        <w:rPr>
          <w:color w:val="auto"/>
        </w:rPr>
        <w:t xml:space="preserve">will be </w:t>
      </w:r>
      <w:r w:rsidRPr="00987C9B">
        <w:rPr>
          <w:color w:val="auto"/>
        </w:rPr>
        <w:t>delivered by sector specialists</w:t>
      </w:r>
      <w:r w:rsidR="00227148">
        <w:rPr>
          <w:color w:val="auto"/>
        </w:rPr>
        <w:t xml:space="preserve"> via</w:t>
      </w:r>
      <w:r w:rsidRPr="00987C9B">
        <w:rPr>
          <w:color w:val="auto"/>
        </w:rPr>
        <w:t xml:space="preserve"> </w:t>
      </w:r>
      <w:r w:rsidR="00227148" w:rsidRPr="00987C9B">
        <w:rPr>
          <w:color w:val="auto"/>
        </w:rPr>
        <w:t>1-2-1 business advice</w:t>
      </w:r>
      <w:r w:rsidR="00227148">
        <w:rPr>
          <w:color w:val="auto"/>
        </w:rPr>
        <w:t xml:space="preserve">, </w:t>
      </w:r>
      <w:r w:rsidRPr="00987C9B">
        <w:rPr>
          <w:color w:val="auto"/>
        </w:rPr>
        <w:t xml:space="preserve">seminars, </w:t>
      </w:r>
      <w:r w:rsidR="00227148">
        <w:rPr>
          <w:color w:val="auto"/>
        </w:rPr>
        <w:t>and workshops</w:t>
      </w:r>
      <w:r w:rsidR="00EF0B5B">
        <w:rPr>
          <w:color w:val="auto"/>
        </w:rPr>
        <w:t xml:space="preserve"> covering agreed topics and priorities. </w:t>
      </w:r>
    </w:p>
    <w:p w:rsidR="00227148" w:rsidRPr="00227148" w:rsidRDefault="00227148" w:rsidP="00227148">
      <w:pPr>
        <w:pStyle w:val="ListParagraph"/>
        <w:numPr>
          <w:ilvl w:val="0"/>
          <w:numId w:val="6"/>
        </w:numPr>
        <w:spacing w:after="249" w:line="268" w:lineRule="auto"/>
        <w:jc w:val="left"/>
        <w:rPr>
          <w:color w:val="auto"/>
        </w:rPr>
      </w:pPr>
      <w:r w:rsidRPr="00227148">
        <w:rPr>
          <w:color w:val="auto"/>
        </w:rPr>
        <w:t>Supporting 25 leisure and tourism SMEs with business support</w:t>
      </w:r>
      <w:r w:rsidR="00D47ADC">
        <w:rPr>
          <w:color w:val="auto"/>
        </w:rPr>
        <w:t xml:space="preserve"> (</w:t>
      </w:r>
      <w:r w:rsidR="00250C76">
        <w:rPr>
          <w:color w:val="auto"/>
        </w:rPr>
        <w:t xml:space="preserve">target </w:t>
      </w:r>
      <w:r w:rsidR="00D47ADC">
        <w:rPr>
          <w:color w:val="auto"/>
        </w:rPr>
        <w:t>12 in 2023/24 and 13 in 2024/25)</w:t>
      </w:r>
    </w:p>
    <w:p w:rsidR="00227148" w:rsidRPr="00227148" w:rsidRDefault="00227148" w:rsidP="00227148">
      <w:pPr>
        <w:pStyle w:val="ListParagraph"/>
        <w:numPr>
          <w:ilvl w:val="0"/>
          <w:numId w:val="6"/>
        </w:numPr>
        <w:spacing w:after="249" w:line="268" w:lineRule="auto"/>
        <w:jc w:val="left"/>
        <w:rPr>
          <w:color w:val="auto"/>
        </w:rPr>
      </w:pPr>
      <w:r w:rsidRPr="00227148">
        <w:rPr>
          <w:color w:val="auto"/>
        </w:rPr>
        <w:t xml:space="preserve">Hold 4 seminars/workshops (2 annually) </w:t>
      </w:r>
    </w:p>
    <w:p w:rsidR="00935453" w:rsidRPr="00155530" w:rsidRDefault="00935453">
      <w:pPr>
        <w:spacing w:after="249" w:line="268" w:lineRule="auto"/>
        <w:ind w:left="-5" w:hanging="10"/>
        <w:jc w:val="left"/>
        <w:rPr>
          <w:b/>
          <w:color w:val="auto"/>
        </w:rPr>
      </w:pPr>
      <w:r w:rsidRPr="00155530">
        <w:rPr>
          <w:b/>
          <w:color w:val="auto"/>
        </w:rPr>
        <w:t>Timeframes</w:t>
      </w:r>
    </w:p>
    <w:p w:rsidR="003206A5" w:rsidRPr="003206A5" w:rsidRDefault="00935453" w:rsidP="003206A5">
      <w:pPr>
        <w:spacing w:after="249" w:line="268" w:lineRule="auto"/>
        <w:ind w:left="-5" w:hanging="10"/>
        <w:jc w:val="left"/>
        <w:rPr>
          <w:color w:val="auto"/>
        </w:rPr>
      </w:pPr>
      <w:r w:rsidRPr="00DD522D">
        <w:rPr>
          <w:color w:val="auto"/>
        </w:rPr>
        <w:t>Work is expected to start in December 2023 with programme completion by March 2025.</w:t>
      </w:r>
    </w:p>
    <w:p w:rsidR="003206A5" w:rsidRPr="003206A5" w:rsidRDefault="003206A5" w:rsidP="003206A5">
      <w:pPr>
        <w:spacing w:after="249" w:line="268" w:lineRule="auto"/>
        <w:ind w:left="-5" w:hanging="10"/>
        <w:jc w:val="left"/>
        <w:rPr>
          <w:color w:val="auto"/>
        </w:rPr>
      </w:pPr>
      <w:r w:rsidRPr="003206A5">
        <w:rPr>
          <w:color w:val="auto"/>
        </w:rPr>
        <w:t>Quotation Format &amp; Timeline:</w:t>
      </w:r>
    </w:p>
    <w:p w:rsidR="003206A5" w:rsidRPr="003206A5" w:rsidRDefault="003206A5" w:rsidP="003206A5">
      <w:pPr>
        <w:spacing w:after="249" w:line="268" w:lineRule="auto"/>
        <w:ind w:left="-5" w:hanging="10"/>
        <w:jc w:val="left"/>
        <w:rPr>
          <w:color w:val="auto"/>
        </w:rPr>
      </w:pPr>
      <w:r w:rsidRPr="003206A5">
        <w:rPr>
          <w:color w:val="auto"/>
        </w:rPr>
        <w:t>28 November 2023</w:t>
      </w:r>
      <w:r w:rsidRPr="003206A5">
        <w:rPr>
          <w:color w:val="auto"/>
        </w:rPr>
        <w:tab/>
      </w:r>
      <w:r w:rsidRPr="003206A5">
        <w:rPr>
          <w:color w:val="auto"/>
        </w:rPr>
        <w:tab/>
        <w:t>Deadline for receipt of quotations</w:t>
      </w:r>
    </w:p>
    <w:p w:rsidR="003206A5" w:rsidRPr="003206A5" w:rsidRDefault="003206A5" w:rsidP="003206A5">
      <w:pPr>
        <w:spacing w:after="249" w:line="268" w:lineRule="auto"/>
        <w:ind w:left="-5" w:hanging="10"/>
        <w:jc w:val="left"/>
        <w:rPr>
          <w:color w:val="auto"/>
        </w:rPr>
      </w:pPr>
      <w:r w:rsidRPr="003206A5">
        <w:rPr>
          <w:color w:val="auto"/>
        </w:rPr>
        <w:t>30 November 2023</w:t>
      </w:r>
      <w:r w:rsidRPr="003206A5">
        <w:rPr>
          <w:color w:val="auto"/>
        </w:rPr>
        <w:tab/>
      </w:r>
      <w:r w:rsidRPr="003206A5">
        <w:rPr>
          <w:color w:val="auto"/>
        </w:rPr>
        <w:tab/>
        <w:t>Evaluation of quotations</w:t>
      </w:r>
    </w:p>
    <w:p w:rsidR="003206A5" w:rsidRPr="003206A5" w:rsidRDefault="003206A5" w:rsidP="003206A5">
      <w:pPr>
        <w:spacing w:after="249" w:line="268" w:lineRule="auto"/>
        <w:ind w:left="-5" w:hanging="10"/>
        <w:jc w:val="left"/>
        <w:rPr>
          <w:color w:val="auto"/>
        </w:rPr>
      </w:pPr>
      <w:r w:rsidRPr="003206A5">
        <w:rPr>
          <w:color w:val="auto"/>
        </w:rPr>
        <w:t>1 December 2023</w:t>
      </w:r>
      <w:r w:rsidRPr="003206A5">
        <w:rPr>
          <w:color w:val="auto"/>
        </w:rPr>
        <w:tab/>
      </w:r>
      <w:r w:rsidRPr="003206A5">
        <w:rPr>
          <w:color w:val="auto"/>
        </w:rPr>
        <w:tab/>
        <w:t>Subject to contract, award project</w:t>
      </w:r>
    </w:p>
    <w:p w:rsidR="003206A5" w:rsidRDefault="003206A5" w:rsidP="003206A5">
      <w:pPr>
        <w:spacing w:after="249" w:line="268" w:lineRule="auto"/>
        <w:ind w:left="-5" w:hanging="10"/>
        <w:jc w:val="left"/>
        <w:rPr>
          <w:color w:val="auto"/>
        </w:rPr>
      </w:pPr>
      <w:r w:rsidRPr="003206A5">
        <w:rPr>
          <w:color w:val="auto"/>
        </w:rPr>
        <w:t>w/c 4 December 2023</w:t>
      </w:r>
      <w:r w:rsidRPr="003206A5">
        <w:rPr>
          <w:color w:val="auto"/>
        </w:rPr>
        <w:tab/>
        <w:t>Inception meeting</w:t>
      </w:r>
    </w:p>
    <w:p w:rsidR="003206A5" w:rsidRDefault="003206A5" w:rsidP="003206A5">
      <w:pPr>
        <w:spacing w:after="249" w:line="268" w:lineRule="auto"/>
        <w:ind w:left="-5" w:hanging="10"/>
        <w:jc w:val="left"/>
        <w:rPr>
          <w:color w:val="auto"/>
        </w:rPr>
      </w:pPr>
    </w:p>
    <w:p w:rsidR="004C2C48" w:rsidRDefault="00CB1151">
      <w:pPr>
        <w:spacing w:after="1" w:line="268" w:lineRule="auto"/>
        <w:ind w:left="-5" w:hanging="10"/>
        <w:jc w:val="left"/>
        <w:rPr>
          <w:color w:val="0070C0"/>
        </w:rPr>
      </w:pPr>
      <w:r>
        <w:rPr>
          <w:b/>
          <w:sz w:val="28"/>
          <w:u w:val="single" w:color="000000"/>
        </w:rPr>
        <w:t>INSURANCE</w:t>
      </w:r>
      <w:r>
        <w:rPr>
          <w:i/>
          <w:color w:val="0070C0"/>
          <w:sz w:val="20"/>
        </w:rPr>
        <w:t xml:space="preserve"> </w:t>
      </w:r>
    </w:p>
    <w:p w:rsidR="00EF0B5B" w:rsidRDefault="00EF0B5B">
      <w:pPr>
        <w:spacing w:after="1" w:line="268" w:lineRule="auto"/>
        <w:ind w:left="-5" w:hanging="10"/>
        <w:jc w:val="left"/>
      </w:pPr>
    </w:p>
    <w:p w:rsidR="004C2C48" w:rsidRDefault="00CB1151">
      <w:pPr>
        <w:spacing w:after="150" w:line="240" w:lineRule="auto"/>
        <w:ind w:left="-5" w:hanging="10"/>
        <w:jc w:val="left"/>
      </w:pPr>
      <w:r>
        <w:t xml:space="preserve">Please self-certify whether you already have, or can commit to obtain, prior to the commencement of the contract, the required levels of insurance cover as set from the advice of a regulated Insurance provider or intermediary. </w:t>
      </w:r>
    </w:p>
    <w:p w:rsidR="004C2C48" w:rsidRDefault="00CB1151">
      <w:pPr>
        <w:spacing w:after="127" w:line="259" w:lineRule="auto"/>
        <w:ind w:left="0" w:right="1" w:firstLine="0"/>
        <w:jc w:val="right"/>
      </w:pPr>
      <w:r>
        <w:t xml:space="preserve">YES/NO </w:t>
      </w:r>
    </w:p>
    <w:p w:rsidR="004C2C48" w:rsidRDefault="00CB1151">
      <w:pPr>
        <w:spacing w:after="140"/>
        <w:ind w:left="-15" w:firstLine="0"/>
      </w:pPr>
      <w:r>
        <w:t xml:space="preserve">The insurance provider or intermediary must be duly authorised to provide advice on general insurance under the Financial Services and Markets Act 2000. </w:t>
      </w:r>
    </w:p>
    <w:p w:rsidR="004C2C48" w:rsidRDefault="00CB1151">
      <w:pPr>
        <w:spacing w:after="164"/>
        <w:ind w:left="-15" w:firstLine="0"/>
      </w:pPr>
      <w:r>
        <w:t xml:space="preserve">In order to check whether an advisor or provider is regulated, </w:t>
      </w:r>
      <w:hyperlink r:id="rId12">
        <w:r>
          <w:rPr>
            <w:color w:val="4077A6"/>
          </w:rPr>
          <w:t xml:space="preserve">click here to link to the </w:t>
        </w:r>
      </w:hyperlink>
      <w:hyperlink r:id="rId13">
        <w:r>
          <w:rPr>
            <w:color w:val="4077A6"/>
          </w:rPr>
          <w:t xml:space="preserve">Financial Services Register </w:t>
        </w:r>
      </w:hyperlink>
      <w:hyperlink r:id="rId14">
        <w:r>
          <w:t>m</w:t>
        </w:r>
      </w:hyperlink>
      <w:r>
        <w:t xml:space="preserve">aintained by the FCA. </w:t>
      </w:r>
    </w:p>
    <w:p w:rsidR="004C2C48" w:rsidRDefault="00CB1151">
      <w:pPr>
        <w:spacing w:after="150" w:line="240" w:lineRule="auto"/>
        <w:ind w:left="-5" w:hanging="10"/>
        <w:jc w:val="left"/>
      </w:pPr>
      <w:r>
        <w:lastRenderedPageBreak/>
        <w:t xml:space="preserve">(It is a legal requirement that all companies hold Employer’s (Compulsory) Liability Insurance of £5 million as a minimum. (Please note this requirement is not applicable to Sole Traders) </w:t>
      </w:r>
    </w:p>
    <w:p w:rsidR="004C2C48" w:rsidRDefault="00CB1151">
      <w:pPr>
        <w:spacing w:after="240" w:line="240" w:lineRule="auto"/>
        <w:ind w:left="-5" w:hanging="10"/>
        <w:jc w:val="left"/>
      </w:pPr>
      <w:r>
        <w:t xml:space="preserve">NOTE: The insurance information above will be requested from the successful bidder upon contract award. If this information is either a) not provided upon request or b) after being provided and subsequently scrutinised by the Council’s Risk Management &amp; Insurance Team, is not deemed to be acceptable - the Council reserve the right to withdraw the award and offer to next highest scoring bidder (and so on). </w:t>
      </w:r>
    </w:p>
    <w:p w:rsidR="004C2C48" w:rsidRDefault="00CB1151">
      <w:pPr>
        <w:spacing w:after="221" w:line="259" w:lineRule="auto"/>
        <w:ind w:left="0" w:firstLine="0"/>
        <w:jc w:val="left"/>
      </w:pPr>
      <w:r>
        <w:rPr>
          <w:b/>
          <w:sz w:val="28"/>
        </w:rPr>
        <w:t xml:space="preserve"> </w:t>
      </w:r>
    </w:p>
    <w:p w:rsidR="004C2C48" w:rsidRDefault="00CB1151" w:rsidP="00FF2BA4">
      <w:pPr>
        <w:pStyle w:val="Heading3"/>
        <w:ind w:left="0" w:firstLine="0"/>
      </w:pPr>
      <w:r>
        <w:t>DEADLINES</w:t>
      </w:r>
      <w:r>
        <w:rPr>
          <w:u w:val="none"/>
        </w:rPr>
        <w:t xml:space="preserve"> </w:t>
      </w:r>
    </w:p>
    <w:p w:rsidR="006D7A13" w:rsidRDefault="006D7A13">
      <w:pPr>
        <w:spacing w:after="0" w:line="268" w:lineRule="auto"/>
        <w:ind w:left="-5" w:hanging="10"/>
        <w:jc w:val="left"/>
        <w:rPr>
          <w:color w:val="auto"/>
        </w:rPr>
      </w:pPr>
      <w:r>
        <w:rPr>
          <w:color w:val="auto"/>
        </w:rPr>
        <w:t>To meet funding requirements</w:t>
      </w:r>
      <w:r w:rsidR="00D92DCA">
        <w:rPr>
          <w:color w:val="auto"/>
        </w:rPr>
        <w:t>,</w:t>
      </w:r>
      <w:r>
        <w:rPr>
          <w:color w:val="auto"/>
        </w:rPr>
        <w:t xml:space="preserve"> the following programme delivery deadline</w:t>
      </w:r>
      <w:r w:rsidR="00D92DCA">
        <w:rPr>
          <w:color w:val="auto"/>
        </w:rPr>
        <w:t>s</w:t>
      </w:r>
      <w:r>
        <w:rPr>
          <w:color w:val="auto"/>
        </w:rPr>
        <w:t xml:space="preserve"> </w:t>
      </w:r>
      <w:r w:rsidR="00D92DCA">
        <w:rPr>
          <w:color w:val="auto"/>
        </w:rPr>
        <w:t xml:space="preserve">will </w:t>
      </w:r>
      <w:r>
        <w:rPr>
          <w:color w:val="auto"/>
        </w:rPr>
        <w:t>need to be met…</w:t>
      </w:r>
    </w:p>
    <w:p w:rsidR="006D7A13" w:rsidRDefault="006D7A13">
      <w:pPr>
        <w:spacing w:after="0" w:line="268" w:lineRule="auto"/>
        <w:ind w:left="-5" w:hanging="10"/>
        <w:jc w:val="left"/>
        <w:rPr>
          <w:color w:val="auto"/>
        </w:rPr>
      </w:pPr>
    </w:p>
    <w:p w:rsidR="004C2C48" w:rsidRPr="006D7A13" w:rsidRDefault="00D47ADC" w:rsidP="006D7A13">
      <w:pPr>
        <w:pStyle w:val="ListParagraph"/>
        <w:numPr>
          <w:ilvl w:val="0"/>
          <w:numId w:val="7"/>
        </w:numPr>
        <w:spacing w:after="0" w:line="268" w:lineRule="auto"/>
        <w:jc w:val="left"/>
        <w:rPr>
          <w:color w:val="auto"/>
        </w:rPr>
      </w:pPr>
      <w:r w:rsidRPr="006D7A13">
        <w:rPr>
          <w:color w:val="auto"/>
        </w:rPr>
        <w:t>A minimum of 12 tourism and leisure related SMEs will be provided with business support by the end of March 2024.</w:t>
      </w:r>
    </w:p>
    <w:p w:rsidR="00D47ADC" w:rsidRDefault="00D47ADC">
      <w:pPr>
        <w:spacing w:after="0" w:line="268" w:lineRule="auto"/>
        <w:ind w:left="-5" w:hanging="10"/>
        <w:jc w:val="left"/>
      </w:pPr>
    </w:p>
    <w:p w:rsidR="00D47ADC" w:rsidRDefault="00D47ADC" w:rsidP="006D7A13">
      <w:pPr>
        <w:pStyle w:val="ListParagraph"/>
        <w:numPr>
          <w:ilvl w:val="0"/>
          <w:numId w:val="7"/>
        </w:numPr>
        <w:spacing w:after="0" w:line="268" w:lineRule="auto"/>
        <w:jc w:val="left"/>
      </w:pPr>
      <w:r>
        <w:t xml:space="preserve">2 </w:t>
      </w:r>
      <w:r w:rsidR="006D7A13">
        <w:t xml:space="preserve">business support </w:t>
      </w:r>
      <w:r>
        <w:t xml:space="preserve">seminars/workshops </w:t>
      </w:r>
      <w:r w:rsidR="005905F0">
        <w:t>to</w:t>
      </w:r>
      <w:r>
        <w:t xml:space="preserve"> be delivered by the end of March 2024.</w:t>
      </w:r>
    </w:p>
    <w:p w:rsidR="00D47ADC" w:rsidRDefault="00D47ADC">
      <w:pPr>
        <w:spacing w:after="0" w:line="268" w:lineRule="auto"/>
        <w:ind w:left="-5" w:hanging="10"/>
        <w:jc w:val="left"/>
      </w:pPr>
    </w:p>
    <w:p w:rsidR="00D47ADC" w:rsidRDefault="00D47ADC" w:rsidP="006D7A13">
      <w:pPr>
        <w:pStyle w:val="ListParagraph"/>
        <w:numPr>
          <w:ilvl w:val="0"/>
          <w:numId w:val="7"/>
        </w:numPr>
        <w:spacing w:after="0" w:line="268" w:lineRule="auto"/>
        <w:jc w:val="left"/>
      </w:pPr>
      <w:r>
        <w:t>A minimum of 13 additional tourism and leisure related SMEs will be provided with business support between 1 April 2024 and 31 March 2025.</w:t>
      </w:r>
    </w:p>
    <w:p w:rsidR="00D47ADC" w:rsidRDefault="00D47ADC">
      <w:pPr>
        <w:spacing w:after="0" w:line="268" w:lineRule="auto"/>
        <w:ind w:left="-5" w:hanging="10"/>
        <w:jc w:val="left"/>
      </w:pPr>
    </w:p>
    <w:p w:rsidR="00D47ADC" w:rsidRDefault="00D47ADC" w:rsidP="006D7A13">
      <w:pPr>
        <w:pStyle w:val="ListParagraph"/>
        <w:numPr>
          <w:ilvl w:val="0"/>
          <w:numId w:val="7"/>
        </w:numPr>
        <w:spacing w:after="0" w:line="268" w:lineRule="auto"/>
        <w:jc w:val="left"/>
      </w:pPr>
      <w:r>
        <w:t>An additional 2 seminars/workshops will be delivered between 1 April 2024 and 31 March 2025.</w:t>
      </w:r>
    </w:p>
    <w:p w:rsidR="004C2C48" w:rsidRDefault="00CB1151">
      <w:pPr>
        <w:spacing w:after="259" w:line="259" w:lineRule="auto"/>
        <w:ind w:left="0" w:firstLine="0"/>
        <w:jc w:val="left"/>
      </w:pPr>
      <w:r>
        <w:rPr>
          <w:b/>
          <w:i/>
          <w:sz w:val="20"/>
        </w:rPr>
        <w:t xml:space="preserve"> </w:t>
      </w:r>
    </w:p>
    <w:p w:rsidR="004C2C48" w:rsidRPr="00D47ADC" w:rsidRDefault="00CB1151">
      <w:pPr>
        <w:spacing w:after="186" w:line="293" w:lineRule="auto"/>
        <w:ind w:left="-5" w:right="-13" w:hanging="10"/>
        <w:rPr>
          <w:color w:val="auto"/>
        </w:rPr>
      </w:pPr>
      <w:r w:rsidRPr="00D47ADC">
        <w:rPr>
          <w:b/>
          <w:color w:val="auto"/>
        </w:rPr>
        <w:t>Confirmation Required:</w:t>
      </w:r>
      <w:r w:rsidRPr="00D47ADC">
        <w:rPr>
          <w:color w:val="auto"/>
        </w:rPr>
        <w:t xml:space="preserve"> Please confirm “YES” all you can meet the deadlines specified above.  (Please note: If you indicate “NO” then your quotation will not be considered further). </w:t>
      </w:r>
    </w:p>
    <w:p w:rsidR="004C2C48" w:rsidRPr="00D47ADC" w:rsidRDefault="00CB1151">
      <w:pPr>
        <w:tabs>
          <w:tab w:val="right" w:pos="9028"/>
        </w:tabs>
        <w:spacing w:after="252" w:line="268" w:lineRule="auto"/>
        <w:ind w:left="-15" w:firstLine="0"/>
        <w:jc w:val="left"/>
        <w:rPr>
          <w:color w:val="auto"/>
        </w:rPr>
      </w:pPr>
      <w:r w:rsidRPr="00D47ADC">
        <w:rPr>
          <w:color w:val="auto"/>
          <w:sz w:val="20"/>
        </w:rPr>
        <w:t xml:space="preserve"> </w:t>
      </w:r>
      <w:r w:rsidRPr="00D47ADC">
        <w:rPr>
          <w:color w:val="auto"/>
          <w:sz w:val="20"/>
        </w:rPr>
        <w:tab/>
      </w:r>
      <w:r w:rsidRPr="00D47ADC">
        <w:rPr>
          <w:color w:val="auto"/>
        </w:rPr>
        <w:t>YES / NO</w:t>
      </w:r>
      <w:r w:rsidRPr="00D47ADC">
        <w:rPr>
          <w:color w:val="auto"/>
          <w:sz w:val="20"/>
        </w:rPr>
        <w:t xml:space="preserve"> </w:t>
      </w:r>
    </w:p>
    <w:p w:rsidR="004C2C48" w:rsidRDefault="00CB1151">
      <w:pPr>
        <w:pStyle w:val="Heading3"/>
        <w:spacing w:after="0"/>
        <w:ind w:left="-5"/>
      </w:pPr>
      <w:r>
        <w:t>EVALUATION (max 100%)</w:t>
      </w:r>
      <w:r>
        <w:rPr>
          <w:u w:val="none"/>
        </w:rPr>
        <w:t xml:space="preserve"> </w:t>
      </w:r>
    </w:p>
    <w:p w:rsidR="006D7A13" w:rsidRDefault="006D7A13" w:rsidP="006D7A13">
      <w:pPr>
        <w:spacing w:after="0" w:line="259" w:lineRule="auto"/>
        <w:ind w:left="0" w:firstLine="0"/>
        <w:jc w:val="left"/>
        <w:rPr>
          <w:rFonts w:ascii="Calibri" w:eastAsia="Calibri" w:hAnsi="Calibri" w:cs="Calibri"/>
          <w:sz w:val="22"/>
        </w:rPr>
      </w:pPr>
    </w:p>
    <w:p w:rsidR="004C2C48" w:rsidRDefault="006D7A13" w:rsidP="006D7A13">
      <w:pPr>
        <w:spacing w:after="235" w:line="259" w:lineRule="auto"/>
        <w:ind w:left="0" w:firstLine="0"/>
        <w:jc w:val="left"/>
      </w:pPr>
      <w:r>
        <w:rPr>
          <w:b/>
        </w:rPr>
        <w:t>As</w:t>
      </w:r>
      <w:r w:rsidR="00CB1151">
        <w:rPr>
          <w:b/>
        </w:rPr>
        <w:t xml:space="preserve">sessment of responses to this invitation to quote are broken down as follows: </w:t>
      </w:r>
    </w:p>
    <w:p w:rsidR="004C2C48" w:rsidRPr="006D7A13" w:rsidRDefault="00CB1151">
      <w:pPr>
        <w:spacing w:after="232" w:line="259" w:lineRule="auto"/>
        <w:ind w:left="-5" w:hanging="10"/>
        <w:jc w:val="left"/>
        <w:rPr>
          <w:color w:val="auto"/>
        </w:rPr>
      </w:pPr>
      <w:r w:rsidRPr="006D7A13">
        <w:rPr>
          <w:b/>
          <w:color w:val="auto"/>
        </w:rPr>
        <w:t>Technical Evaluations (</w:t>
      </w:r>
      <w:r w:rsidR="006D7A13" w:rsidRPr="006D7A13">
        <w:rPr>
          <w:b/>
          <w:color w:val="auto"/>
        </w:rPr>
        <w:t>80</w:t>
      </w:r>
      <w:r w:rsidRPr="006D7A13">
        <w:rPr>
          <w:b/>
          <w:color w:val="auto"/>
        </w:rPr>
        <w:t xml:space="preserve">% of marks) broken down between: </w:t>
      </w:r>
    </w:p>
    <w:p w:rsidR="004C2C48" w:rsidRPr="006D7A13" w:rsidRDefault="00CB1151">
      <w:pPr>
        <w:numPr>
          <w:ilvl w:val="0"/>
          <w:numId w:val="1"/>
        </w:numPr>
        <w:spacing w:after="20" w:line="268" w:lineRule="auto"/>
        <w:ind w:hanging="360"/>
        <w:jc w:val="left"/>
        <w:rPr>
          <w:color w:val="auto"/>
        </w:rPr>
      </w:pPr>
      <w:r w:rsidRPr="006D7A13">
        <w:rPr>
          <w:color w:val="auto"/>
        </w:rPr>
        <w:t xml:space="preserve">Previous experience </w:t>
      </w:r>
      <w:r w:rsidR="006D7A13">
        <w:rPr>
          <w:color w:val="auto"/>
        </w:rPr>
        <w:t xml:space="preserve">and past projects </w:t>
      </w:r>
      <w:r w:rsidRPr="006D7A13">
        <w:rPr>
          <w:color w:val="auto"/>
        </w:rPr>
        <w:t xml:space="preserve">- </w:t>
      </w:r>
      <w:r w:rsidR="006D7A13" w:rsidRPr="006D7A13">
        <w:rPr>
          <w:color w:val="auto"/>
        </w:rPr>
        <w:t>40</w:t>
      </w:r>
      <w:r w:rsidRPr="006D7A13">
        <w:rPr>
          <w:color w:val="auto"/>
        </w:rPr>
        <w:t xml:space="preserve">% of marks. </w:t>
      </w:r>
    </w:p>
    <w:p w:rsidR="004C2C48" w:rsidRPr="006D7A13" w:rsidRDefault="00CB1151" w:rsidP="006D7A13">
      <w:pPr>
        <w:numPr>
          <w:ilvl w:val="0"/>
          <w:numId w:val="1"/>
        </w:numPr>
        <w:spacing w:after="10" w:line="268" w:lineRule="auto"/>
        <w:ind w:hanging="360"/>
        <w:jc w:val="left"/>
        <w:rPr>
          <w:color w:val="auto"/>
        </w:rPr>
      </w:pPr>
      <w:r w:rsidRPr="006D7A13">
        <w:rPr>
          <w:color w:val="auto"/>
        </w:rPr>
        <w:t xml:space="preserve">Approach &amp; Methodology - </w:t>
      </w:r>
      <w:r w:rsidR="006D7A13" w:rsidRPr="006D7A13">
        <w:rPr>
          <w:color w:val="auto"/>
        </w:rPr>
        <w:t>40</w:t>
      </w:r>
      <w:r w:rsidRPr="006D7A13">
        <w:rPr>
          <w:color w:val="auto"/>
        </w:rPr>
        <w:t xml:space="preserve">% of marks </w:t>
      </w:r>
    </w:p>
    <w:p w:rsidR="006D7A13" w:rsidRDefault="006D7A13" w:rsidP="006D7A13">
      <w:pPr>
        <w:spacing w:after="10" w:line="268" w:lineRule="auto"/>
        <w:jc w:val="left"/>
      </w:pPr>
    </w:p>
    <w:p w:rsidR="004C2C48" w:rsidRDefault="00CB1151">
      <w:pPr>
        <w:spacing w:after="229"/>
        <w:ind w:left="-15" w:firstLine="0"/>
      </w:pPr>
      <w:r>
        <w:t xml:space="preserve">The technical responses will be evaluated using the following matrix: </w:t>
      </w:r>
    </w:p>
    <w:p w:rsidR="004C2C48" w:rsidRDefault="00CB1151" w:rsidP="006D7A13">
      <w:pPr>
        <w:spacing w:after="29"/>
      </w:pPr>
      <w:r>
        <w:lastRenderedPageBreak/>
        <w:t>Score 5 marks</w:t>
      </w:r>
      <w:r w:rsidR="006D7A13">
        <w:t xml:space="preserve"> -</w:t>
      </w:r>
      <w:r>
        <w:t xml:space="preserve"> if </w:t>
      </w:r>
      <w:r>
        <w:rPr>
          <w:u w:val="single" w:color="000000"/>
        </w:rPr>
        <w:t>all</w:t>
      </w:r>
      <w:r>
        <w:t xml:space="preserve"> requirements are met and response provided is excellent. </w:t>
      </w:r>
    </w:p>
    <w:p w:rsidR="004C2C48" w:rsidRDefault="00CB1151">
      <w:pPr>
        <w:tabs>
          <w:tab w:val="right" w:pos="9028"/>
        </w:tabs>
        <w:spacing w:after="37"/>
        <w:ind w:left="-15" w:firstLine="0"/>
        <w:jc w:val="left"/>
      </w:pPr>
      <w:r>
        <w:t xml:space="preserve">Score 4 marks - if </w:t>
      </w:r>
      <w:r>
        <w:rPr>
          <w:u w:val="single" w:color="000000"/>
        </w:rPr>
        <w:t>most</w:t>
      </w:r>
      <w:r>
        <w:t xml:space="preserve"> requirements are met and response provided is good. </w:t>
      </w:r>
    </w:p>
    <w:p w:rsidR="004C2C48" w:rsidRDefault="00CB1151">
      <w:pPr>
        <w:tabs>
          <w:tab w:val="center" w:pos="4540"/>
        </w:tabs>
        <w:spacing w:after="37"/>
        <w:ind w:left="-15" w:firstLine="0"/>
        <w:jc w:val="left"/>
      </w:pPr>
      <w:r>
        <w:t xml:space="preserve">Score 3 marks - if </w:t>
      </w:r>
      <w:r>
        <w:rPr>
          <w:u w:val="single" w:color="000000"/>
        </w:rPr>
        <w:t>some</w:t>
      </w:r>
      <w:r>
        <w:t xml:space="preserve"> requirements are met and response is average. </w:t>
      </w:r>
    </w:p>
    <w:p w:rsidR="004C2C48" w:rsidRDefault="00CB1151">
      <w:pPr>
        <w:tabs>
          <w:tab w:val="right" w:pos="9028"/>
        </w:tabs>
        <w:spacing w:after="38"/>
        <w:ind w:left="-15" w:firstLine="0"/>
        <w:jc w:val="left"/>
      </w:pPr>
      <w:r>
        <w:t xml:space="preserve">Score 2 marks - if answer provided is not comprehensive and below average. </w:t>
      </w:r>
    </w:p>
    <w:p w:rsidR="004C2C48" w:rsidRDefault="00CB1151">
      <w:pPr>
        <w:tabs>
          <w:tab w:val="center" w:pos="2968"/>
        </w:tabs>
        <w:spacing w:after="39"/>
        <w:ind w:left="-15" w:firstLine="0"/>
        <w:jc w:val="left"/>
      </w:pPr>
      <w:r>
        <w:t>Score 1 mark</w:t>
      </w:r>
      <w:r w:rsidR="006D7A13">
        <w:t xml:space="preserve"> - </w:t>
      </w:r>
      <w:r>
        <w:t xml:space="preserve">if answer provided is poor. </w:t>
      </w:r>
    </w:p>
    <w:p w:rsidR="004C2C48" w:rsidRDefault="00CB1151">
      <w:pPr>
        <w:tabs>
          <w:tab w:val="center" w:pos="2982"/>
        </w:tabs>
        <w:spacing w:after="277"/>
        <w:ind w:left="-15" w:firstLine="0"/>
        <w:jc w:val="left"/>
      </w:pPr>
      <w:r>
        <w:t xml:space="preserve">Score 0 marks - if no information provided. </w:t>
      </w:r>
    </w:p>
    <w:p w:rsidR="004C2C48" w:rsidRPr="00283EE3" w:rsidRDefault="00CB1151">
      <w:pPr>
        <w:spacing w:after="22" w:line="259" w:lineRule="auto"/>
        <w:ind w:left="-5" w:hanging="10"/>
        <w:jc w:val="left"/>
        <w:rPr>
          <w:color w:val="auto"/>
        </w:rPr>
      </w:pPr>
      <w:r w:rsidRPr="00283EE3">
        <w:rPr>
          <w:b/>
          <w:color w:val="auto"/>
        </w:rPr>
        <w:t>Commercial Evaluations (</w:t>
      </w:r>
      <w:r w:rsidR="00283EE3" w:rsidRPr="00283EE3">
        <w:rPr>
          <w:b/>
          <w:color w:val="auto"/>
        </w:rPr>
        <w:t>20</w:t>
      </w:r>
      <w:r w:rsidRPr="00283EE3">
        <w:rPr>
          <w:b/>
          <w:color w:val="auto"/>
        </w:rPr>
        <w:t xml:space="preserve">% of marks): </w:t>
      </w:r>
    </w:p>
    <w:p w:rsidR="004C2C48" w:rsidRPr="00D92DCA" w:rsidRDefault="00CB1151" w:rsidP="00D92DCA">
      <w:pPr>
        <w:numPr>
          <w:ilvl w:val="0"/>
          <w:numId w:val="1"/>
        </w:numPr>
        <w:spacing w:after="210" w:line="268" w:lineRule="auto"/>
        <w:ind w:hanging="360"/>
        <w:jc w:val="left"/>
        <w:rPr>
          <w:color w:val="auto"/>
        </w:rPr>
      </w:pPr>
      <w:r w:rsidRPr="00283EE3">
        <w:rPr>
          <w:color w:val="auto"/>
        </w:rPr>
        <w:t xml:space="preserve">Total Fee - </w:t>
      </w:r>
      <w:r w:rsidR="00283EE3" w:rsidRPr="00283EE3">
        <w:rPr>
          <w:color w:val="auto"/>
        </w:rPr>
        <w:t>20</w:t>
      </w:r>
      <w:r w:rsidRPr="00283EE3">
        <w:rPr>
          <w:color w:val="auto"/>
        </w:rPr>
        <w:t xml:space="preserve">% of marks </w:t>
      </w:r>
    </w:p>
    <w:p w:rsidR="004C2C48" w:rsidRDefault="00CB1151">
      <w:pPr>
        <w:spacing w:after="0" w:line="259" w:lineRule="auto"/>
        <w:ind w:left="0" w:firstLine="0"/>
        <w:jc w:val="left"/>
      </w:pPr>
      <w:r>
        <w:rPr>
          <w:rFonts w:ascii="Calibri" w:eastAsia="Calibri" w:hAnsi="Calibri" w:cs="Calibri"/>
          <w:b/>
          <w:color w:val="0070C0"/>
          <w:sz w:val="28"/>
        </w:rPr>
        <w:t xml:space="preserve"> </w:t>
      </w:r>
      <w:r>
        <w:rPr>
          <w:rFonts w:ascii="Calibri" w:eastAsia="Calibri" w:hAnsi="Calibri" w:cs="Calibri"/>
          <w:b/>
          <w:color w:val="0070C0"/>
          <w:sz w:val="28"/>
        </w:rPr>
        <w:tab/>
        <w:t xml:space="preserve"> </w:t>
      </w:r>
    </w:p>
    <w:p w:rsidR="004C2C48" w:rsidRPr="00283EE3" w:rsidRDefault="00CB1151">
      <w:pPr>
        <w:pStyle w:val="Heading3"/>
        <w:spacing w:after="196"/>
        <w:ind w:left="0" w:firstLine="0"/>
        <w:rPr>
          <w:color w:val="auto"/>
        </w:rPr>
      </w:pPr>
      <w:r w:rsidRPr="00283EE3">
        <w:rPr>
          <w:rFonts w:ascii="Calibri" w:eastAsia="Calibri" w:hAnsi="Calibri" w:cs="Calibri"/>
          <w:color w:val="auto"/>
          <w:u w:val="none"/>
        </w:rPr>
        <w:t>TECHNICAL RESPONSE</w:t>
      </w:r>
      <w:r w:rsidRPr="00283EE3">
        <w:rPr>
          <w:b w:val="0"/>
          <w:color w:val="auto"/>
          <w:sz w:val="20"/>
          <w:u w:val="none"/>
        </w:rPr>
        <w:t xml:space="preserve"> </w:t>
      </w:r>
    </w:p>
    <w:p w:rsidR="004C2C48" w:rsidRPr="00283EE3" w:rsidRDefault="00CB1151">
      <w:pPr>
        <w:numPr>
          <w:ilvl w:val="0"/>
          <w:numId w:val="2"/>
        </w:numPr>
        <w:spacing w:after="19" w:line="259" w:lineRule="auto"/>
        <w:ind w:hanging="360"/>
        <w:jc w:val="left"/>
        <w:rPr>
          <w:color w:val="auto"/>
          <w:u w:val="single"/>
        </w:rPr>
      </w:pPr>
      <w:r w:rsidRPr="00283EE3">
        <w:rPr>
          <w:color w:val="auto"/>
          <w:u w:val="single"/>
        </w:rPr>
        <w:t xml:space="preserve">Previous </w:t>
      </w:r>
      <w:r w:rsidR="00283EE3" w:rsidRPr="00283EE3">
        <w:rPr>
          <w:color w:val="auto"/>
          <w:u w:val="single"/>
        </w:rPr>
        <w:t>e</w:t>
      </w:r>
      <w:r w:rsidRPr="00283EE3">
        <w:rPr>
          <w:color w:val="auto"/>
          <w:u w:val="single"/>
        </w:rPr>
        <w:t>xperience</w:t>
      </w:r>
      <w:r w:rsidR="00283EE3" w:rsidRPr="00283EE3">
        <w:rPr>
          <w:color w:val="auto"/>
          <w:u w:val="single"/>
        </w:rPr>
        <w:t xml:space="preserve"> and past projects</w:t>
      </w:r>
      <w:r w:rsidRPr="00283EE3">
        <w:rPr>
          <w:color w:val="auto"/>
          <w:u w:val="single"/>
        </w:rPr>
        <w:t xml:space="preserve"> </w:t>
      </w:r>
    </w:p>
    <w:p w:rsidR="004C2C48" w:rsidRPr="00283EE3" w:rsidRDefault="00CB1151">
      <w:pPr>
        <w:spacing w:after="21" w:line="259" w:lineRule="auto"/>
        <w:ind w:left="720" w:firstLine="0"/>
        <w:jc w:val="left"/>
        <w:rPr>
          <w:color w:val="auto"/>
        </w:rPr>
      </w:pPr>
      <w:r w:rsidRPr="00283EE3">
        <w:rPr>
          <w:color w:val="auto"/>
        </w:rPr>
        <w:t xml:space="preserve"> </w:t>
      </w:r>
    </w:p>
    <w:p w:rsidR="004C2C48" w:rsidRPr="00283EE3" w:rsidRDefault="00CB1151">
      <w:pPr>
        <w:spacing w:after="8" w:line="268" w:lineRule="auto"/>
        <w:ind w:left="730" w:hanging="10"/>
        <w:jc w:val="left"/>
        <w:rPr>
          <w:color w:val="auto"/>
        </w:rPr>
      </w:pPr>
      <w:r w:rsidRPr="00283EE3">
        <w:rPr>
          <w:color w:val="auto"/>
        </w:rPr>
        <w:t xml:space="preserve">Please provide details of your previous experience </w:t>
      </w:r>
      <w:r w:rsidR="00283EE3">
        <w:rPr>
          <w:color w:val="auto"/>
        </w:rPr>
        <w:t>and relevant past projects that have been carried out</w:t>
      </w:r>
      <w:r w:rsidRPr="00283EE3">
        <w:rPr>
          <w:color w:val="auto"/>
        </w:rPr>
        <w:t xml:space="preserve"> </w:t>
      </w:r>
      <w:r w:rsidRPr="00283EE3">
        <w:rPr>
          <w:b/>
          <w:color w:val="auto"/>
        </w:rPr>
        <w:t xml:space="preserve">(max </w:t>
      </w:r>
      <w:r w:rsidR="00283EE3">
        <w:rPr>
          <w:b/>
          <w:color w:val="auto"/>
        </w:rPr>
        <w:t>40</w:t>
      </w:r>
      <w:r w:rsidRPr="00283EE3">
        <w:rPr>
          <w:b/>
          <w:color w:val="auto"/>
        </w:rPr>
        <w:t>% of marks).</w:t>
      </w:r>
      <w:r w:rsidRPr="00283EE3">
        <w:rPr>
          <w:color w:val="auto"/>
        </w:rPr>
        <w:t xml:space="preserve">  </w:t>
      </w:r>
    </w:p>
    <w:p w:rsidR="004C2C48" w:rsidRPr="00283EE3" w:rsidRDefault="00CB1151">
      <w:pPr>
        <w:spacing w:after="10" w:line="268" w:lineRule="auto"/>
        <w:ind w:left="730" w:hanging="10"/>
        <w:jc w:val="left"/>
        <w:rPr>
          <w:color w:val="auto"/>
        </w:rPr>
      </w:pPr>
      <w:r w:rsidRPr="00283EE3">
        <w:rPr>
          <w:color w:val="auto"/>
        </w:rPr>
        <w:t>Your response should be as an attachment entitled “Previous Experience</w:t>
      </w:r>
      <w:r w:rsidR="00283EE3">
        <w:rPr>
          <w:color w:val="auto"/>
        </w:rPr>
        <w:t xml:space="preserve"> &amp; Past Projects</w:t>
      </w:r>
      <w:r w:rsidRPr="00283EE3">
        <w:rPr>
          <w:color w:val="auto"/>
        </w:rPr>
        <w:t xml:space="preserve">” and is to be a maximum of 750 words. </w:t>
      </w:r>
    </w:p>
    <w:p w:rsidR="004C2C48" w:rsidRPr="00283EE3" w:rsidRDefault="00CB1151">
      <w:pPr>
        <w:spacing w:after="31" w:line="259" w:lineRule="auto"/>
        <w:ind w:left="720" w:firstLine="0"/>
        <w:jc w:val="left"/>
        <w:rPr>
          <w:color w:val="auto"/>
        </w:rPr>
      </w:pPr>
      <w:r w:rsidRPr="00283EE3">
        <w:rPr>
          <w:color w:val="auto"/>
        </w:rPr>
        <w:t xml:space="preserve"> </w:t>
      </w:r>
    </w:p>
    <w:p w:rsidR="004C2C48" w:rsidRPr="00283EE3" w:rsidRDefault="00CB1151">
      <w:pPr>
        <w:numPr>
          <w:ilvl w:val="0"/>
          <w:numId w:val="2"/>
        </w:numPr>
        <w:spacing w:after="19" w:line="259" w:lineRule="auto"/>
        <w:ind w:hanging="360"/>
        <w:jc w:val="left"/>
        <w:rPr>
          <w:color w:val="auto"/>
          <w:u w:val="single"/>
        </w:rPr>
      </w:pPr>
      <w:r w:rsidRPr="00283EE3">
        <w:rPr>
          <w:color w:val="auto"/>
          <w:u w:val="single"/>
        </w:rPr>
        <w:t xml:space="preserve">Approach &amp; Methodology </w:t>
      </w:r>
    </w:p>
    <w:p w:rsidR="004C2C48" w:rsidRPr="00283EE3" w:rsidRDefault="00CB1151">
      <w:pPr>
        <w:spacing w:after="19" w:line="259" w:lineRule="auto"/>
        <w:ind w:left="720" w:firstLine="0"/>
        <w:jc w:val="left"/>
        <w:rPr>
          <w:color w:val="auto"/>
        </w:rPr>
      </w:pPr>
      <w:r w:rsidRPr="00283EE3">
        <w:rPr>
          <w:color w:val="auto"/>
        </w:rPr>
        <w:t xml:space="preserve"> </w:t>
      </w:r>
    </w:p>
    <w:p w:rsidR="004C2C48" w:rsidRPr="00283EE3" w:rsidRDefault="00CB1151">
      <w:pPr>
        <w:spacing w:after="210" w:line="268" w:lineRule="auto"/>
        <w:ind w:left="730" w:hanging="10"/>
        <w:jc w:val="left"/>
        <w:rPr>
          <w:color w:val="auto"/>
        </w:rPr>
      </w:pPr>
      <w:r w:rsidRPr="00283EE3">
        <w:rPr>
          <w:color w:val="auto"/>
        </w:rPr>
        <w:t xml:space="preserve">Please detail your approach and methodology </w:t>
      </w:r>
      <w:r w:rsidRPr="00283EE3">
        <w:rPr>
          <w:b/>
          <w:color w:val="auto"/>
        </w:rPr>
        <w:t xml:space="preserve">(max </w:t>
      </w:r>
      <w:r w:rsidR="00283EE3">
        <w:rPr>
          <w:b/>
          <w:color w:val="auto"/>
        </w:rPr>
        <w:t>40</w:t>
      </w:r>
      <w:r w:rsidRPr="00283EE3">
        <w:rPr>
          <w:b/>
          <w:color w:val="auto"/>
        </w:rPr>
        <w:t>% of marks)</w:t>
      </w:r>
      <w:r w:rsidRPr="00283EE3">
        <w:rPr>
          <w:color w:val="auto"/>
        </w:rPr>
        <w:t xml:space="preserve"> </w:t>
      </w:r>
    </w:p>
    <w:p w:rsidR="004C2C48" w:rsidRPr="00283EE3" w:rsidRDefault="00CB1151">
      <w:pPr>
        <w:spacing w:after="246" w:line="268" w:lineRule="auto"/>
        <w:ind w:left="730" w:hanging="10"/>
        <w:jc w:val="left"/>
        <w:rPr>
          <w:color w:val="auto"/>
        </w:rPr>
      </w:pPr>
      <w:r w:rsidRPr="00283EE3">
        <w:rPr>
          <w:color w:val="auto"/>
        </w:rPr>
        <w:t xml:space="preserve">Your response should be as an attachment entitled “Approach &amp; Methodology” and is to be a maximum of 750 words. </w:t>
      </w:r>
    </w:p>
    <w:p w:rsidR="004C2C48" w:rsidRDefault="00CB1151">
      <w:pPr>
        <w:pStyle w:val="Heading4"/>
      </w:pPr>
      <w:r>
        <w:t xml:space="preserve">COMMERCIAL RESPONSE </w:t>
      </w:r>
    </w:p>
    <w:p w:rsidR="004C2C48" w:rsidRDefault="00CB1151">
      <w:pPr>
        <w:spacing w:after="228"/>
        <w:ind w:left="-15" w:firstLine="0"/>
      </w:pPr>
      <w:r>
        <w:t>Please complete the following pricing schedule</w:t>
      </w:r>
      <w:r w:rsidR="00D92DCA">
        <w:t>.</w:t>
      </w:r>
      <w:r w:rsidR="00CA5AEC">
        <w:t xml:space="preserve"> </w:t>
      </w:r>
      <w:r w:rsidR="00D92DCA">
        <w:t xml:space="preserve">Quotes to be submitted under the value </w:t>
      </w:r>
      <w:r w:rsidR="00CA5AEC">
        <w:t>of £</w:t>
      </w:r>
      <w:r w:rsidR="0012656C">
        <w:t>3</w:t>
      </w:r>
      <w:r w:rsidR="00CA5AEC">
        <w:t>0,000 exclusive of VAT</w:t>
      </w:r>
      <w:r>
        <w:t xml:space="preserve">: </w:t>
      </w:r>
    </w:p>
    <w:p w:rsidR="00C539DD" w:rsidRPr="00C539DD" w:rsidRDefault="00C539DD">
      <w:pPr>
        <w:spacing w:after="0" w:line="259" w:lineRule="auto"/>
        <w:ind w:left="0" w:firstLine="0"/>
        <w:jc w:val="left"/>
      </w:pPr>
      <w:r w:rsidRPr="00C539DD">
        <w:t>Please note that expenditure to accommodate the workshops/seminars does not need to be included</w:t>
      </w:r>
      <w:r w:rsidR="00B11A77">
        <w:t xml:space="preserve"> as there is additional budget allocated for this.</w:t>
      </w:r>
      <w:bookmarkStart w:id="2" w:name="_GoBack"/>
      <w:bookmarkEnd w:id="2"/>
    </w:p>
    <w:p w:rsidR="004C2C48" w:rsidRDefault="00CB1151">
      <w:pPr>
        <w:spacing w:after="0" w:line="259" w:lineRule="auto"/>
        <w:ind w:left="0" w:firstLine="0"/>
        <w:jc w:val="left"/>
      </w:pPr>
      <w:r>
        <w:rPr>
          <w:b/>
        </w:rPr>
        <w:t xml:space="preserve"> </w:t>
      </w:r>
    </w:p>
    <w:p w:rsidR="004C2C48" w:rsidRDefault="00CB1151">
      <w:pPr>
        <w:spacing w:line="250" w:lineRule="auto"/>
        <w:ind w:left="1065" w:hanging="1080"/>
      </w:pPr>
      <w:r>
        <w:rPr>
          <w:b/>
        </w:rPr>
        <w:t xml:space="preserve">NOTES: The price quoted must include all disbursements and costs but be exclusive of VAT.  No additional costs will be accepted by the City Council. </w:t>
      </w:r>
    </w:p>
    <w:p w:rsidR="004C2C48" w:rsidRDefault="00CB1151">
      <w:pPr>
        <w:spacing w:after="0" w:line="259" w:lineRule="auto"/>
        <w:ind w:left="0" w:firstLine="0"/>
        <w:jc w:val="left"/>
      </w:pPr>
      <w:r>
        <w:rPr>
          <w:b/>
        </w:rPr>
        <w:t xml:space="preserve"> </w:t>
      </w:r>
    </w:p>
    <w:p w:rsidR="004C2C48" w:rsidRDefault="00CB1151">
      <w:pPr>
        <w:spacing w:after="0" w:line="259" w:lineRule="auto"/>
        <w:ind w:left="0" w:firstLine="0"/>
        <w:jc w:val="left"/>
      </w:pPr>
      <w:r>
        <w:t xml:space="preserve"> </w:t>
      </w:r>
    </w:p>
    <w:p w:rsidR="004C2C48" w:rsidRDefault="00CB1151">
      <w:pPr>
        <w:spacing w:after="230" w:line="250" w:lineRule="auto"/>
        <w:ind w:left="1088" w:hanging="10"/>
      </w:pPr>
      <w:r>
        <w:rPr>
          <w:b/>
        </w:rPr>
        <w:t xml:space="preserve">The </w:t>
      </w:r>
      <w:r>
        <w:rPr>
          <w:b/>
          <w:u w:val="single" w:color="000000"/>
        </w:rPr>
        <w:t>Total Fee</w:t>
      </w:r>
      <w:r>
        <w:rPr>
          <w:b/>
        </w:rPr>
        <w:t xml:space="preserve"> will be used when assessing the Commercial Submissions.</w:t>
      </w:r>
      <w:r>
        <w:rPr>
          <w:b/>
          <w:i/>
        </w:rPr>
        <w:t xml:space="preserve">  </w:t>
      </w:r>
    </w:p>
    <w:p w:rsidR="004C2C48" w:rsidRDefault="00CB1151">
      <w:pPr>
        <w:spacing w:after="0" w:line="259" w:lineRule="auto"/>
        <w:ind w:left="11" w:hanging="10"/>
        <w:jc w:val="center"/>
      </w:pPr>
      <w:r>
        <w:rPr>
          <w:b/>
          <w:u w:val="single" w:color="000000"/>
        </w:rPr>
        <w:t>Please complete the total fee</w:t>
      </w:r>
      <w:r>
        <w:rPr>
          <w:b/>
        </w:rPr>
        <w:t xml:space="preserve"> </w:t>
      </w:r>
    </w:p>
    <w:p w:rsidR="004C2C48" w:rsidRDefault="00CB1151">
      <w:pPr>
        <w:spacing w:after="0" w:line="259" w:lineRule="auto"/>
        <w:ind w:left="11" w:right="6" w:hanging="10"/>
        <w:jc w:val="center"/>
      </w:pPr>
      <w:r>
        <w:rPr>
          <w:b/>
          <w:u w:val="single" w:color="000000"/>
        </w:rPr>
        <w:t>(which will be used to assess the commercial submissions)</w:t>
      </w:r>
      <w:r>
        <w:rPr>
          <w:b/>
        </w:rPr>
        <w:t xml:space="preserve"> </w:t>
      </w:r>
    </w:p>
    <w:p w:rsidR="004C2C48" w:rsidRDefault="00CB1151">
      <w:pPr>
        <w:spacing w:after="0" w:line="259" w:lineRule="auto"/>
        <w:ind w:left="64" w:firstLine="0"/>
        <w:jc w:val="center"/>
      </w:pPr>
      <w:r>
        <w:rPr>
          <w:b/>
          <w:i/>
        </w:rPr>
        <w:t xml:space="preserve"> </w:t>
      </w:r>
    </w:p>
    <w:p w:rsidR="004C2C48" w:rsidRDefault="00CB1151">
      <w:pPr>
        <w:spacing w:after="0" w:line="259" w:lineRule="auto"/>
        <w:ind w:left="64" w:firstLine="0"/>
        <w:jc w:val="center"/>
      </w:pPr>
      <w:r>
        <w:rPr>
          <w:b/>
          <w:i/>
        </w:rPr>
        <w:t xml:space="preserve"> </w:t>
      </w:r>
    </w:p>
    <w:tbl>
      <w:tblPr>
        <w:tblStyle w:val="TableGrid"/>
        <w:tblW w:w="8524" w:type="dxa"/>
        <w:tblInd w:w="5" w:type="dxa"/>
        <w:tblCellMar>
          <w:top w:w="11" w:type="dxa"/>
          <w:left w:w="108" w:type="dxa"/>
          <w:right w:w="115" w:type="dxa"/>
        </w:tblCellMar>
        <w:tblLook w:val="04A0" w:firstRow="1" w:lastRow="0" w:firstColumn="1" w:lastColumn="0" w:noHBand="0" w:noVBand="1"/>
      </w:tblPr>
      <w:tblGrid>
        <w:gridCol w:w="3932"/>
        <w:gridCol w:w="4592"/>
      </w:tblGrid>
      <w:tr w:rsidR="004C2C48">
        <w:trPr>
          <w:trHeight w:val="1323"/>
        </w:trPr>
        <w:tc>
          <w:tcPr>
            <w:tcW w:w="3932"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b/>
                <w:sz w:val="22"/>
              </w:rPr>
              <w:lastRenderedPageBreak/>
              <w:t xml:space="preserve"> </w:t>
            </w:r>
          </w:p>
          <w:p w:rsidR="004C2C48" w:rsidRDefault="00CB1151">
            <w:pPr>
              <w:spacing w:after="47" w:line="259" w:lineRule="auto"/>
              <w:ind w:left="0" w:firstLine="0"/>
              <w:jc w:val="left"/>
            </w:pPr>
            <w:r>
              <w:rPr>
                <w:b/>
              </w:rPr>
              <w:t>TOTA</w:t>
            </w:r>
            <w:r w:rsidRPr="00283EE3">
              <w:rPr>
                <w:b/>
                <w:color w:val="auto"/>
              </w:rPr>
              <w:t xml:space="preserve">L FEE  </w:t>
            </w:r>
          </w:p>
          <w:p w:rsidR="004C2C48" w:rsidRPr="00283EE3" w:rsidRDefault="00CB1151">
            <w:pPr>
              <w:spacing w:after="0" w:line="259" w:lineRule="auto"/>
              <w:ind w:left="0" w:firstLine="0"/>
              <w:jc w:val="left"/>
              <w:rPr>
                <w:color w:val="auto"/>
              </w:rPr>
            </w:pPr>
            <w:r w:rsidRPr="00283EE3">
              <w:rPr>
                <w:b/>
                <w:color w:val="auto"/>
              </w:rPr>
              <w:t xml:space="preserve">(to provide </w:t>
            </w:r>
            <w:r w:rsidR="00283EE3" w:rsidRPr="00283EE3">
              <w:rPr>
                <w:b/>
                <w:color w:val="auto"/>
              </w:rPr>
              <w:t>a tourism business support programme until March 2025</w:t>
            </w:r>
            <w:r w:rsidRPr="00283EE3">
              <w:rPr>
                <w:b/>
                <w:color w:val="auto"/>
              </w:rPr>
              <w:t>)</w:t>
            </w:r>
            <w:r w:rsidRPr="00283EE3">
              <w:rPr>
                <w:b/>
                <w:color w:val="auto"/>
                <w:sz w:val="32"/>
              </w:rPr>
              <w:t xml:space="preserve"> </w:t>
            </w:r>
          </w:p>
          <w:p w:rsidR="004C2C48" w:rsidRDefault="00CB1151">
            <w:pPr>
              <w:spacing w:after="0" w:line="259" w:lineRule="auto"/>
              <w:ind w:left="0" w:firstLine="0"/>
              <w:jc w:val="left"/>
            </w:pPr>
            <w:r>
              <w:rPr>
                <w:b/>
                <w:sz w:val="22"/>
              </w:rPr>
              <w:t xml:space="preserve"> </w:t>
            </w:r>
          </w:p>
          <w:p w:rsidR="004C2C48" w:rsidRDefault="00CB1151">
            <w:pPr>
              <w:spacing w:after="0" w:line="259" w:lineRule="auto"/>
              <w:ind w:left="0" w:firstLine="0"/>
              <w:jc w:val="left"/>
            </w:pPr>
            <w:r>
              <w:rPr>
                <w:b/>
                <w:sz w:val="22"/>
              </w:rPr>
              <w:t xml:space="preserve"> </w:t>
            </w:r>
          </w:p>
        </w:tc>
        <w:tc>
          <w:tcPr>
            <w:tcW w:w="4592"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b/>
              </w:rPr>
              <w:t xml:space="preserve"> </w:t>
            </w:r>
          </w:p>
          <w:p w:rsidR="004C2C48" w:rsidRDefault="00CB1151">
            <w:pPr>
              <w:spacing w:after="0" w:line="259" w:lineRule="auto"/>
              <w:ind w:left="0" w:firstLine="0"/>
              <w:jc w:val="left"/>
            </w:pPr>
            <w:r>
              <w:rPr>
                <w:b/>
              </w:rPr>
              <w:t xml:space="preserve">£ </w:t>
            </w:r>
          </w:p>
          <w:p w:rsidR="004C2C48" w:rsidRDefault="00CB1151">
            <w:pPr>
              <w:spacing w:after="0" w:line="259" w:lineRule="auto"/>
              <w:ind w:left="0" w:firstLine="0"/>
              <w:jc w:val="left"/>
            </w:pPr>
            <w:r>
              <w:rPr>
                <w:b/>
              </w:rPr>
              <w:t xml:space="preserve"> </w:t>
            </w:r>
          </w:p>
        </w:tc>
      </w:tr>
    </w:tbl>
    <w:p w:rsidR="004C2C48" w:rsidRDefault="00CB1151">
      <w:pPr>
        <w:spacing w:after="0" w:line="259" w:lineRule="auto"/>
        <w:ind w:left="0" w:firstLine="0"/>
        <w:jc w:val="left"/>
      </w:pPr>
      <w:r>
        <w:rPr>
          <w:rFonts w:ascii="Times New Roman" w:eastAsia="Times New Roman" w:hAnsi="Times New Roman" w:cs="Times New Roman"/>
        </w:rPr>
        <w:t xml:space="preserve"> </w:t>
      </w:r>
    </w:p>
    <w:p w:rsidR="004C2C48" w:rsidRDefault="00CB1151">
      <w:pPr>
        <w:spacing w:after="0" w:line="259" w:lineRule="auto"/>
        <w:ind w:left="0" w:firstLine="0"/>
        <w:jc w:val="left"/>
      </w:pPr>
      <w:r>
        <w:rPr>
          <w:rFonts w:ascii="Times New Roman" w:eastAsia="Times New Roman" w:hAnsi="Times New Roman" w:cs="Times New Roman"/>
        </w:rPr>
        <w:t xml:space="preserve"> </w:t>
      </w:r>
    </w:p>
    <w:p w:rsidR="004C2C48" w:rsidRDefault="00CB1151">
      <w:pPr>
        <w:spacing w:after="0" w:line="259" w:lineRule="auto"/>
        <w:ind w:left="0" w:firstLine="0"/>
        <w:jc w:val="left"/>
      </w:pPr>
      <w:r>
        <w:rPr>
          <w:rFonts w:ascii="Times New Roman" w:eastAsia="Times New Roman" w:hAnsi="Times New Roman" w:cs="Times New Roman"/>
        </w:rPr>
        <w:t xml:space="preserve"> </w:t>
      </w:r>
    </w:p>
    <w:p w:rsidR="004C2C48" w:rsidRDefault="00CB1151">
      <w:pPr>
        <w:spacing w:line="250" w:lineRule="auto"/>
        <w:ind w:left="-5" w:hanging="10"/>
      </w:pPr>
      <w:r>
        <w:rPr>
          <w:b/>
        </w:rPr>
        <w:t xml:space="preserve">Should you provide any information beyond what we have requested within this quotation we will NOT take this information into account when assessing your proposal. </w:t>
      </w:r>
    </w:p>
    <w:p w:rsidR="004C2C48" w:rsidRDefault="00CB1151">
      <w:pPr>
        <w:spacing w:after="0" w:line="259" w:lineRule="auto"/>
        <w:ind w:left="0" w:firstLine="0"/>
        <w:jc w:val="left"/>
      </w:pPr>
      <w:r>
        <w:t xml:space="preserve"> </w:t>
      </w:r>
    </w:p>
    <w:p w:rsidR="004C2C48" w:rsidRDefault="00CB1151">
      <w:pPr>
        <w:spacing w:after="16" w:line="259" w:lineRule="auto"/>
        <w:ind w:left="0" w:firstLine="0"/>
        <w:jc w:val="left"/>
      </w:pPr>
      <w:r>
        <w:t xml:space="preserve"> </w:t>
      </w:r>
    </w:p>
    <w:p w:rsidR="004C2C48" w:rsidRDefault="00CB1151">
      <w:pPr>
        <w:pStyle w:val="Heading5"/>
        <w:ind w:left="-5"/>
      </w:pPr>
      <w:r>
        <w:t>RETURN INFORMATION</w:t>
      </w:r>
      <w:r>
        <w:rPr>
          <w:u w:val="none"/>
        </w:rPr>
        <w:t xml:space="preserve"> </w:t>
      </w:r>
    </w:p>
    <w:p w:rsidR="004C2C48" w:rsidRDefault="00CB1151">
      <w:pPr>
        <w:ind w:left="-15" w:firstLine="0"/>
      </w:pPr>
      <w:r>
        <w:t>Please return this completed quotation</w:t>
      </w:r>
      <w:r w:rsidR="00D92DCA">
        <w:t xml:space="preserve"> along with the required supporting information</w:t>
      </w:r>
      <w:r>
        <w:t xml:space="preserve"> to: </w:t>
      </w:r>
    </w:p>
    <w:p w:rsidR="00155530" w:rsidRDefault="00155530">
      <w:pPr>
        <w:ind w:left="-15" w:firstLine="0"/>
      </w:pPr>
    </w:p>
    <w:p w:rsidR="00155530" w:rsidRDefault="00155530">
      <w:pPr>
        <w:ind w:left="-15" w:firstLine="0"/>
      </w:pPr>
      <w:r>
        <w:t>Tim Sharman, Visitor Economy</w:t>
      </w:r>
      <w:r w:rsidR="00D92DCA">
        <w:t>, Culture &amp; Events</w:t>
      </w:r>
      <w:r>
        <w:t xml:space="preserve"> Manager</w:t>
      </w:r>
    </w:p>
    <w:p w:rsidR="004C2C48" w:rsidRDefault="00CB1151">
      <w:pPr>
        <w:spacing w:after="0" w:line="259" w:lineRule="auto"/>
        <w:ind w:left="0" w:firstLine="0"/>
        <w:jc w:val="left"/>
      </w:pPr>
      <w:r>
        <w:t xml:space="preserve"> </w:t>
      </w:r>
    </w:p>
    <w:p w:rsidR="00D92DCA" w:rsidRDefault="00CB1151" w:rsidP="00D92DCA">
      <w:pPr>
        <w:spacing w:after="12" w:line="232" w:lineRule="auto"/>
        <w:ind w:left="-5" w:right="-44" w:hanging="10"/>
        <w:jc w:val="left"/>
        <w:rPr>
          <w:b/>
          <w:color w:val="auto"/>
          <w:szCs w:val="24"/>
        </w:rPr>
      </w:pPr>
      <w:r>
        <w:t>e-mail:</w:t>
      </w:r>
      <w:r w:rsidR="00155530">
        <w:t xml:space="preserve"> </w:t>
      </w:r>
      <w:r w:rsidR="00155530" w:rsidRPr="00D92DCA">
        <w:rPr>
          <w:color w:val="auto"/>
        </w:rPr>
        <w:t>tim.sharman@stoke.gov.uk</w:t>
      </w:r>
      <w:r w:rsidRPr="00D92DCA">
        <w:rPr>
          <w:color w:val="auto"/>
          <w:sz w:val="22"/>
        </w:rPr>
        <w:t xml:space="preserve"> </w:t>
      </w:r>
      <w:r w:rsidRPr="00D92DCA">
        <w:rPr>
          <w:color w:val="auto"/>
          <w:szCs w:val="24"/>
        </w:rPr>
        <w:t>by no later than</w:t>
      </w:r>
      <w:r w:rsidR="00D92DCA" w:rsidRPr="00D92DCA">
        <w:rPr>
          <w:color w:val="auto"/>
          <w:szCs w:val="24"/>
        </w:rPr>
        <w:t>:</w:t>
      </w:r>
      <w:r w:rsidR="00D92DCA" w:rsidRPr="00D92DCA">
        <w:rPr>
          <w:b/>
          <w:color w:val="auto"/>
          <w:szCs w:val="24"/>
        </w:rPr>
        <w:t xml:space="preserve"> </w:t>
      </w:r>
    </w:p>
    <w:p w:rsidR="004C2C48" w:rsidRDefault="00D92DCA" w:rsidP="00D92DCA">
      <w:pPr>
        <w:spacing w:after="12" w:line="232" w:lineRule="auto"/>
        <w:ind w:left="-5" w:right="-44" w:hanging="10"/>
        <w:jc w:val="left"/>
      </w:pPr>
      <w:r>
        <w:rPr>
          <w:b/>
          <w:color w:val="auto"/>
          <w:szCs w:val="24"/>
        </w:rPr>
        <w:t>5</w:t>
      </w:r>
      <w:r w:rsidR="00283EE3" w:rsidRPr="00D92DCA">
        <w:rPr>
          <w:b/>
          <w:color w:val="auto"/>
          <w:szCs w:val="24"/>
        </w:rPr>
        <w:t>.00</w:t>
      </w:r>
      <w:r w:rsidR="00CB1151" w:rsidRPr="00D92DCA">
        <w:rPr>
          <w:b/>
          <w:color w:val="auto"/>
          <w:szCs w:val="24"/>
        </w:rPr>
        <w:t xml:space="preserve">pm on </w:t>
      </w:r>
      <w:r w:rsidR="003206A5">
        <w:rPr>
          <w:b/>
          <w:color w:val="auto"/>
          <w:szCs w:val="24"/>
        </w:rPr>
        <w:t>Tues</w:t>
      </w:r>
      <w:r w:rsidR="00283EE3" w:rsidRPr="00D92DCA">
        <w:rPr>
          <w:b/>
          <w:color w:val="auto"/>
          <w:szCs w:val="24"/>
        </w:rPr>
        <w:t xml:space="preserve">day </w:t>
      </w:r>
      <w:r w:rsidR="003206A5">
        <w:rPr>
          <w:b/>
          <w:color w:val="auto"/>
          <w:szCs w:val="24"/>
        </w:rPr>
        <w:t>28</w:t>
      </w:r>
      <w:r w:rsidR="00283EE3" w:rsidRPr="00D92DCA">
        <w:rPr>
          <w:b/>
          <w:color w:val="auto"/>
          <w:szCs w:val="24"/>
        </w:rPr>
        <w:t xml:space="preserve"> November 2023</w:t>
      </w:r>
      <w:r w:rsidRPr="00D92DCA">
        <w:rPr>
          <w:b/>
          <w:color w:val="auto"/>
          <w:szCs w:val="24"/>
        </w:rPr>
        <w:t>.</w:t>
      </w:r>
      <w:r w:rsidR="00CB1151" w:rsidRPr="00D92DCA">
        <w:rPr>
          <w:b/>
          <w:color w:val="auto"/>
          <w:sz w:val="28"/>
        </w:rPr>
        <w:t xml:space="preserve"> </w:t>
      </w:r>
    </w:p>
    <w:p w:rsidR="004C2C48" w:rsidRDefault="00CB1151">
      <w:pPr>
        <w:spacing w:after="0" w:line="259" w:lineRule="auto"/>
        <w:ind w:left="0" w:firstLine="0"/>
        <w:jc w:val="left"/>
      </w:pPr>
      <w:r>
        <w:rPr>
          <w:b/>
          <w:color w:val="0070C0"/>
          <w:sz w:val="28"/>
        </w:rPr>
        <w:t xml:space="preserve"> </w:t>
      </w:r>
      <w:r>
        <w:rPr>
          <w:b/>
          <w:color w:val="0070C0"/>
          <w:sz w:val="28"/>
        </w:rPr>
        <w:tab/>
        <w:t xml:space="preserve"> </w:t>
      </w:r>
      <w:r>
        <w:br w:type="page"/>
      </w:r>
    </w:p>
    <w:p w:rsidR="004C2C48" w:rsidRDefault="004C2C48">
      <w:pPr>
        <w:spacing w:after="0" w:line="259" w:lineRule="auto"/>
        <w:ind w:left="0" w:firstLine="0"/>
        <w:jc w:val="left"/>
      </w:pPr>
    </w:p>
    <w:p w:rsidR="004C2C48" w:rsidRDefault="00CB1151">
      <w:pPr>
        <w:spacing w:after="0" w:line="259" w:lineRule="auto"/>
        <w:ind w:left="0" w:right="2174" w:firstLine="0"/>
        <w:jc w:val="right"/>
      </w:pPr>
      <w:r>
        <w:rPr>
          <w:b/>
        </w:rPr>
        <w:t xml:space="preserve">The Council of the City of Stoke-on-Trent  </w:t>
      </w:r>
    </w:p>
    <w:p w:rsidR="004C2C48" w:rsidRDefault="00CB1151">
      <w:pPr>
        <w:spacing w:line="250" w:lineRule="auto"/>
        <w:ind w:left="2905" w:hanging="10"/>
      </w:pPr>
      <w:r>
        <w:rPr>
          <w:b/>
        </w:rPr>
        <w:t xml:space="preserve">Terms &amp; Conditions of Order </w:t>
      </w:r>
    </w:p>
    <w:p w:rsidR="004C2C48" w:rsidRDefault="00CB1151">
      <w:pPr>
        <w:spacing w:after="0" w:line="259" w:lineRule="auto"/>
        <w:ind w:left="133" w:firstLine="0"/>
        <w:jc w:val="center"/>
      </w:pPr>
      <w:r>
        <w:rPr>
          <w:b/>
          <w:i/>
          <w:color w:val="0070C0"/>
          <w:sz w:val="28"/>
        </w:rPr>
        <w:t xml:space="preserve"> </w:t>
      </w:r>
    </w:p>
    <w:p w:rsidR="004C2C48" w:rsidRDefault="004C2C48">
      <w:pPr>
        <w:sectPr w:rsidR="004C2C48" w:rsidSect="00935453">
          <w:footerReference w:type="even" r:id="rId15"/>
          <w:footerReference w:type="default" r:id="rId16"/>
          <w:footerReference w:type="first" r:id="rId17"/>
          <w:pgSz w:w="11906" w:h="16838"/>
          <w:pgMar w:top="1135" w:right="1438" w:bottom="1346" w:left="1440" w:header="720" w:footer="709" w:gutter="0"/>
          <w:cols w:space="720"/>
        </w:sectPr>
      </w:pPr>
    </w:p>
    <w:p w:rsidR="004C2C48" w:rsidRDefault="00CB1151">
      <w:pPr>
        <w:pStyle w:val="Heading6"/>
        <w:ind w:left="118"/>
      </w:pPr>
      <w:r>
        <w:t xml:space="preserve">GENERAL </w:t>
      </w:r>
    </w:p>
    <w:p w:rsidR="004C2C48" w:rsidRDefault="00CB1151">
      <w:pPr>
        <w:ind w:left="401" w:right="130"/>
      </w:pPr>
      <w:r>
        <w:t xml:space="preserve">1. These terms and conditions apply to every order placed by the Council of the City of Stoke-on-Trent (“the </w:t>
      </w:r>
    </w:p>
    <w:p w:rsidR="004C2C48" w:rsidRDefault="00CB1151">
      <w:pPr>
        <w:ind w:left="108" w:right="129" w:firstLine="283"/>
      </w:pPr>
      <w:r>
        <w:t xml:space="preserve">Council”) with any individual or Company (“the Supplier”) each a “Party” and together the “Parties”. No terms and conditions of the Supplier whether stated on a delivery note, invoice, catalogue or other literature shall apply override or supersede any of the Council’s terms and conditions unless expressly agreed by the Council in writing. Acceptance of any goods by the Council shall not constitute acceptance by the Council of the Supplier’s terms and conditions </w:t>
      </w:r>
      <w:r>
        <w:rPr>
          <w:b/>
        </w:rPr>
        <w:t xml:space="preserve">PRICE </w:t>
      </w:r>
    </w:p>
    <w:p w:rsidR="004C2C48" w:rsidRDefault="00CB1151">
      <w:pPr>
        <w:tabs>
          <w:tab w:val="right" w:pos="4427"/>
        </w:tabs>
        <w:ind w:left="0" w:firstLine="0"/>
        <w:jc w:val="left"/>
      </w:pPr>
      <w:r>
        <w:t xml:space="preserve">2.1 </w:t>
      </w:r>
      <w:r>
        <w:tab/>
        <w:t xml:space="preserve">Any price quoted at the time of the </w:t>
      </w:r>
    </w:p>
    <w:p w:rsidR="004C2C48" w:rsidRDefault="00CB1151">
      <w:pPr>
        <w:ind w:left="391" w:right="133" w:firstLine="0"/>
      </w:pPr>
      <w:r>
        <w:t xml:space="preserve">Council’s order shall be the price that the Council pays and cannot be increased by the Supplier prior to delivery of the goods or execution of the services </w:t>
      </w:r>
    </w:p>
    <w:p w:rsidR="004C2C48" w:rsidRDefault="00CB1151">
      <w:pPr>
        <w:ind w:left="401" w:right="132"/>
      </w:pPr>
      <w:r>
        <w:t xml:space="preserve">2.2 The Supplier shall invoice the Council in arrears in respect of goods or services </w:t>
      </w:r>
      <w:proofErr w:type="gramStart"/>
      <w:r>
        <w:t>delivered  in</w:t>
      </w:r>
      <w:proofErr w:type="gramEnd"/>
      <w:r>
        <w:t xml:space="preserve"> compliance with the order upon completion of the delivery of the goods or services (or, if the order specifies otherwise, in accordance with the payment schedule set out in the order).   </w:t>
      </w:r>
    </w:p>
    <w:p w:rsidR="004C2C48" w:rsidRDefault="00CB1151">
      <w:pPr>
        <w:ind w:left="401" w:right="130"/>
      </w:pPr>
      <w:r>
        <w:t xml:space="preserve">2.3 The Council shall verify and pay each valid and undisputed invoice received in accordance clause 2.2 within 30 days of receipt of the invoice.  </w:t>
      </w:r>
    </w:p>
    <w:p w:rsidR="004C2C48" w:rsidRDefault="00CB1151">
      <w:pPr>
        <w:ind w:left="391" w:right="131" w:firstLine="0"/>
      </w:pPr>
      <w:r>
        <w:t xml:space="preserve">Undue delay by the Council in considering and verifying an invoice shall not be sufficient justification for the Council failing to regard it as valid and undisputed for these purposes. </w:t>
      </w:r>
    </w:p>
    <w:p w:rsidR="004C2C48" w:rsidRDefault="00CB1151">
      <w:pPr>
        <w:ind w:left="401" w:right="129"/>
      </w:pPr>
      <w:r>
        <w:t xml:space="preserve">2.4 Provided always that the Council reserves the right to set-off any monies due to the Council from the Supplier against any monies due to </w:t>
      </w:r>
      <w:r>
        <w:t xml:space="preserve">the Supplier from the Council pursuant to the order </w:t>
      </w:r>
    </w:p>
    <w:p w:rsidR="004C2C48" w:rsidRDefault="00CB1151">
      <w:pPr>
        <w:ind w:left="278"/>
      </w:pPr>
      <w:r>
        <w:t xml:space="preserve">6.2 The Supplier shall maintain all the appropriate insurances to cover their liabilities including but not limited to public liability, product liability and </w:t>
      </w:r>
    </w:p>
    <w:p w:rsidR="004C2C48" w:rsidRDefault="00CB1151">
      <w:pPr>
        <w:ind w:left="283" w:firstLine="0"/>
      </w:pPr>
      <w:r>
        <w:t xml:space="preserve">employee liability insurance </w:t>
      </w:r>
    </w:p>
    <w:p w:rsidR="004C2C48" w:rsidRDefault="00CB1151">
      <w:pPr>
        <w:pStyle w:val="Heading6"/>
        <w:ind w:left="-5"/>
      </w:pPr>
      <w:r>
        <w:t xml:space="preserve">CONFIDENTIALITY </w:t>
      </w:r>
    </w:p>
    <w:p w:rsidR="004C2C48" w:rsidRDefault="00CB1151">
      <w:pPr>
        <w:ind w:left="278"/>
      </w:pPr>
      <w:r>
        <w:t xml:space="preserve">9. The Supplier shall treat all confidential information belonging to the Council as confidential and shall safeguard it </w:t>
      </w:r>
    </w:p>
    <w:p w:rsidR="004C2C48" w:rsidRDefault="00CB1151">
      <w:pPr>
        <w:ind w:left="283" w:firstLine="0"/>
      </w:pPr>
      <w:r>
        <w:t xml:space="preserve">accordingly </w:t>
      </w:r>
    </w:p>
    <w:p w:rsidR="004C2C48" w:rsidRDefault="00CB1151">
      <w:pPr>
        <w:pStyle w:val="Heading6"/>
        <w:ind w:left="-5"/>
      </w:pPr>
      <w:r>
        <w:t xml:space="preserve">FORCE MAJEURE </w:t>
      </w:r>
    </w:p>
    <w:p w:rsidR="004C2C48" w:rsidRDefault="00CB1151">
      <w:pPr>
        <w:ind w:left="278"/>
      </w:pPr>
      <w:r>
        <w:t xml:space="preserve">10.  In the event of that either Party is prevented or restricted in the performance of their obligations by reason of an event beyond their control (not being a strike by its employees or those of its subcontractor/s) the Party so affected shall be excused to the extent of the prevention or restriction but shall use all reasonable endeavours to avoid or remove the source of prevention or restriction and shall continue performance of the order with the utmost dispatch.   </w:t>
      </w:r>
    </w:p>
    <w:p w:rsidR="004C2C48" w:rsidRDefault="00CB1151">
      <w:pPr>
        <w:pStyle w:val="Heading6"/>
        <w:ind w:left="-5"/>
      </w:pPr>
      <w:r>
        <w:t xml:space="preserve">TERMINATION </w:t>
      </w:r>
    </w:p>
    <w:p w:rsidR="004C2C48" w:rsidRDefault="00CB1151">
      <w:pPr>
        <w:ind w:left="278"/>
      </w:pPr>
      <w:r>
        <w:t xml:space="preserve">11. If at any time after an order has been placed but not yet fulfilled the Supplier is declared bankrupt or insolvent or calls a meeting of its creditors then the Council shall be entitled to treat the contract order as </w:t>
      </w:r>
    </w:p>
    <w:p w:rsidR="004C2C48" w:rsidRDefault="00CB1151">
      <w:pPr>
        <w:ind w:left="283" w:firstLine="0"/>
      </w:pPr>
      <w:r>
        <w:t xml:space="preserve">repudiated and cancelled </w:t>
      </w:r>
    </w:p>
    <w:p w:rsidR="004C2C48" w:rsidRDefault="00CB1151">
      <w:pPr>
        <w:pStyle w:val="Heading6"/>
        <w:ind w:left="-5"/>
      </w:pPr>
      <w:r>
        <w:t xml:space="preserve">ADDITIONAL ORDERS </w:t>
      </w:r>
    </w:p>
    <w:p w:rsidR="004C2C48" w:rsidRDefault="00CB1151">
      <w:pPr>
        <w:ind w:left="278"/>
      </w:pPr>
      <w:r>
        <w:t xml:space="preserve">13. The Council reserves the right to request additional goods or services under an order that has already been made but must supply a further order number to the Supplier for the additional goods or services and these </w:t>
      </w:r>
    </w:p>
    <w:p w:rsidR="004C2C48" w:rsidRDefault="00CB1151">
      <w:pPr>
        <w:ind w:left="283" w:firstLine="0"/>
      </w:pPr>
      <w:r>
        <w:t xml:space="preserve">Terms and Conditions shall apply  </w:t>
      </w:r>
    </w:p>
    <w:p w:rsidR="004C2C48" w:rsidRDefault="00CB1151">
      <w:pPr>
        <w:pStyle w:val="Heading6"/>
        <w:ind w:left="-5"/>
      </w:pPr>
      <w:r>
        <w:t xml:space="preserve">CORRUPTION </w:t>
      </w:r>
    </w:p>
    <w:p w:rsidR="004C2C48" w:rsidRDefault="00CB1151">
      <w:pPr>
        <w:ind w:left="278"/>
      </w:pPr>
      <w:r>
        <w:t xml:space="preserve">14. The Supplier (including its employees, servants, agents or subcontractors) </w:t>
      </w:r>
      <w:r>
        <w:lastRenderedPageBreak/>
        <w:t xml:space="preserve">shall not directly offer, promise or give to any person working for or engaged by the Council a </w:t>
      </w:r>
    </w:p>
    <w:p w:rsidR="004C2C48" w:rsidRDefault="00CB1151">
      <w:pPr>
        <w:ind w:left="401"/>
      </w:pPr>
      <w:r>
        <w:t xml:space="preserve">2.5 The Council shall not be responsible for payment for any goods or services that have not been given an order number. </w:t>
      </w:r>
    </w:p>
    <w:p w:rsidR="004C2C48" w:rsidRDefault="00CB1151">
      <w:pPr>
        <w:pStyle w:val="Heading6"/>
        <w:ind w:left="118"/>
      </w:pPr>
      <w:r>
        <w:t xml:space="preserve">DELIVERY </w:t>
      </w:r>
      <w:r>
        <w:tab/>
        <w:t xml:space="preserve">OF </w:t>
      </w:r>
      <w:r>
        <w:tab/>
        <w:t xml:space="preserve">GOODS </w:t>
      </w:r>
      <w:r>
        <w:tab/>
        <w:t xml:space="preserve">/ PERFORMANCE OF SERVICES </w:t>
      </w:r>
    </w:p>
    <w:p w:rsidR="004C2C48" w:rsidRDefault="00CB1151">
      <w:pPr>
        <w:ind w:left="401"/>
      </w:pPr>
      <w:r>
        <w:t xml:space="preserve">3.1 Time shall be of the essence in respect of the performance by the Supplier of its obligations. </w:t>
      </w:r>
    </w:p>
    <w:p w:rsidR="004C2C48" w:rsidRDefault="00CB1151">
      <w:pPr>
        <w:ind w:left="401"/>
      </w:pPr>
      <w:proofErr w:type="gramStart"/>
      <w:r>
        <w:t>3.2  All</w:t>
      </w:r>
      <w:proofErr w:type="gramEnd"/>
      <w:r>
        <w:t xml:space="preserve"> goods ordered by the Council shall be delivered at the cost of the Supplier and shall remain at the risk of the Supplier until the goods are accepted by the Council. Signing for receipt of the delivery of goods shall not constitute acceptance by the Council of the goods </w:t>
      </w:r>
    </w:p>
    <w:p w:rsidR="004C2C48" w:rsidRDefault="00CB1151">
      <w:pPr>
        <w:ind w:left="401"/>
      </w:pPr>
      <w:r>
        <w:t xml:space="preserve">3.3 The Council will not be deemed to have accepted any goods until it has had a reasonable period of time (or such period of time as may be specified in the order) following delivery to inspect them or, in the case of a latent defect in any goods, following the latent defect becoming apparent. </w:t>
      </w:r>
    </w:p>
    <w:p w:rsidR="004C2C48" w:rsidRDefault="00CB1151">
      <w:pPr>
        <w:ind w:left="401"/>
      </w:pPr>
      <w:r>
        <w:t xml:space="preserve">3.4 Upon acceptance or, if earlier, upon payment being made by the Council, the goods shall become the property of the Council free of any lien or claim by the Supplier </w:t>
      </w:r>
    </w:p>
    <w:p w:rsidR="004C2C48" w:rsidRDefault="00CB1151">
      <w:pPr>
        <w:ind w:left="401"/>
      </w:pPr>
      <w:r>
        <w:t xml:space="preserve">3.5 If the Supplier is performing a service the Council shall be entitled to inspect the Supplier’s work at any time during the execution of the service </w:t>
      </w:r>
    </w:p>
    <w:p w:rsidR="004C2C48" w:rsidRDefault="00CB1151">
      <w:pPr>
        <w:ind w:left="401"/>
      </w:pPr>
      <w:r>
        <w:t xml:space="preserve">3.6 In the event that the Supplier fails to deliver goods or perform a service or fails to re-place rejected goods or remedy a defective service then the Council shall be entitled to obtain the goods or service in lieu of those not delivered or performed from an alternative source and any excess of cost incurred by the Council shall be repaid to the Council by the Supplier </w:t>
      </w:r>
    </w:p>
    <w:p w:rsidR="004C2C48" w:rsidRDefault="00CB1151">
      <w:pPr>
        <w:ind w:left="401"/>
      </w:pPr>
      <w:r>
        <w:t xml:space="preserve">3.7. The Supplier shall adequately pack and secure the goods to avoid </w:t>
      </w:r>
    </w:p>
    <w:p w:rsidR="004C2C48" w:rsidRDefault="00CB1151">
      <w:pPr>
        <w:spacing w:after="0" w:line="259" w:lineRule="auto"/>
        <w:ind w:left="10" w:right="34" w:hanging="10"/>
        <w:jc w:val="center"/>
      </w:pPr>
      <w:r>
        <w:t xml:space="preserve">damage whilst in storage or transit </w:t>
      </w:r>
    </w:p>
    <w:p w:rsidR="004C2C48" w:rsidRDefault="00CB1151">
      <w:pPr>
        <w:pStyle w:val="Heading6"/>
        <w:ind w:left="118"/>
      </w:pPr>
      <w:r>
        <w:t xml:space="preserve">DELIVERY NOTES </w:t>
      </w:r>
    </w:p>
    <w:p w:rsidR="004C2C48" w:rsidRDefault="00CB1151">
      <w:pPr>
        <w:ind w:left="401"/>
      </w:pPr>
      <w:r>
        <w:t xml:space="preserve">4.1 All goods should be accompanied by a delivery note giving the name of the Supplier, an adequate description of the goods, the number of packages financial or other advantage to induce that person to perform improperly a relevant function or activity or reward that person for improper performance of a relevant function or activity or directly or indirectly request agree to receive or accept any financial or other advantage as an inducement or a reward for improper performance of a relevant function or activity in connection with this Agreement. The attention of the Supplier is drawn to the criminal offences under the </w:t>
      </w:r>
    </w:p>
    <w:p w:rsidR="004C2C48" w:rsidRDefault="00CB1151">
      <w:pPr>
        <w:ind w:left="283" w:firstLine="0"/>
      </w:pPr>
      <w:r>
        <w:t xml:space="preserve">Bribery Act 2010. If the Supplier (or its employees, servants, agents or subcontractors) acts in the aforementioned manner the Council shall be entitled to cancel any orders placed with the Supplier and recover from the Supplier any losses incurred from such cancellation </w:t>
      </w:r>
    </w:p>
    <w:p w:rsidR="004C2C48" w:rsidRDefault="00CB1151">
      <w:pPr>
        <w:pStyle w:val="Heading6"/>
        <w:ind w:left="-5"/>
      </w:pPr>
      <w:r>
        <w:t xml:space="preserve">AUDIT </w:t>
      </w:r>
    </w:p>
    <w:p w:rsidR="004C2C48" w:rsidRDefault="00CB1151">
      <w:pPr>
        <w:ind w:left="278"/>
      </w:pPr>
      <w:r>
        <w:t xml:space="preserve">15. The Supplier shall maintain records of all orders carried out for the Council and shall make such records available for inspection upon request </w:t>
      </w:r>
    </w:p>
    <w:p w:rsidR="004C2C48" w:rsidRDefault="00CB1151">
      <w:pPr>
        <w:ind w:left="283" w:firstLine="0"/>
      </w:pPr>
      <w:r>
        <w:t xml:space="preserve">by the Council </w:t>
      </w:r>
    </w:p>
    <w:p w:rsidR="004C2C48" w:rsidRDefault="00CB1151">
      <w:pPr>
        <w:pStyle w:val="Heading6"/>
        <w:ind w:left="-5"/>
      </w:pPr>
      <w:r>
        <w:t xml:space="preserve">STANDARDS </w:t>
      </w:r>
    </w:p>
    <w:p w:rsidR="004C2C48" w:rsidRDefault="00CB1151">
      <w:pPr>
        <w:ind w:left="278"/>
      </w:pPr>
      <w:r>
        <w:t xml:space="preserve">16. All goods and materials used or supplied and all workmanship performed shall be in accordance with the relevant Kitemark and/or British Standard Code of Practice (or equivalent) which is current at the date on which the supply or performance </w:t>
      </w:r>
    </w:p>
    <w:p w:rsidR="004C2C48" w:rsidRDefault="00CB1151">
      <w:pPr>
        <w:ind w:left="283" w:firstLine="0"/>
      </w:pPr>
      <w:r>
        <w:t xml:space="preserve">takes place </w:t>
      </w:r>
    </w:p>
    <w:p w:rsidR="004C2C48" w:rsidRDefault="00CB1151">
      <w:pPr>
        <w:pStyle w:val="Heading6"/>
        <w:ind w:left="-5"/>
      </w:pPr>
      <w:r>
        <w:t xml:space="preserve">HEALTH AND SAFETY </w:t>
      </w:r>
    </w:p>
    <w:p w:rsidR="004C2C48" w:rsidRDefault="00CB1151">
      <w:pPr>
        <w:ind w:left="278"/>
      </w:pPr>
      <w:r>
        <w:t xml:space="preserve">17.1 The Supplier must at all times comply with the Health and Safety at Work Act 1974 and all other relevant health and safety legislation including but not limited to the Control of Substances Hazardous to Health Regulations 2002, the Environmental Protection Act 1990, the Construction </w:t>
      </w:r>
    </w:p>
    <w:p w:rsidR="004C2C48" w:rsidRDefault="00CB1151">
      <w:pPr>
        <w:ind w:left="283" w:firstLine="0"/>
      </w:pPr>
      <w:r>
        <w:lastRenderedPageBreak/>
        <w:t xml:space="preserve">(Design and Management) Regulations 2015 and the </w:t>
      </w:r>
    </w:p>
    <w:p w:rsidR="004C2C48" w:rsidRDefault="00CB1151">
      <w:pPr>
        <w:ind w:left="283" w:firstLine="0"/>
      </w:pPr>
      <w:r>
        <w:t xml:space="preserve">Management of Health and Safety at Work Regulations 1999. The Supplier must also comply with the Council’s current health and safety policy (available on request) and any other instructions issued by the </w:t>
      </w:r>
      <w:proofErr w:type="gramStart"/>
      <w:r>
        <w:t>Council  that</w:t>
      </w:r>
      <w:proofErr w:type="gramEnd"/>
      <w:r>
        <w:t xml:space="preserve"> make up the order and the Council’s order number </w:t>
      </w:r>
    </w:p>
    <w:p w:rsidR="004C2C48" w:rsidRDefault="00CB1151">
      <w:pPr>
        <w:ind w:left="401"/>
      </w:pPr>
      <w:r>
        <w:t xml:space="preserve">4.2 Where goods are to be delivered by a </w:t>
      </w:r>
      <w:proofErr w:type="gramStart"/>
      <w:r>
        <w:t>third party</w:t>
      </w:r>
      <w:proofErr w:type="gramEnd"/>
      <w:r>
        <w:t xml:space="preserve"> carrier and not the Supplier the Supplier must advise the Council of despatch prior to delivery quoting the Council’s order number(s) </w:t>
      </w:r>
    </w:p>
    <w:p w:rsidR="004C2C48" w:rsidRDefault="00CB1151">
      <w:pPr>
        <w:ind w:left="391" w:firstLine="0"/>
      </w:pPr>
      <w:r>
        <w:t xml:space="preserve">and the number of packages </w:t>
      </w:r>
    </w:p>
    <w:p w:rsidR="004C2C48" w:rsidRDefault="00CB1151">
      <w:pPr>
        <w:pStyle w:val="Heading6"/>
        <w:ind w:left="118"/>
      </w:pPr>
      <w:r>
        <w:t xml:space="preserve">CONFORMITY TO ORDER </w:t>
      </w:r>
    </w:p>
    <w:p w:rsidR="004C2C48" w:rsidRDefault="00CB1151">
      <w:pPr>
        <w:ind w:left="401"/>
      </w:pPr>
      <w:r>
        <w:t xml:space="preserve">5.1 Prior to acceptance, the Council reserves the right to reject any goods delivered which do not match the description by which they were ordered or which are damaged, in which case the Supplier must remove the goods within 2 days of such a notification. If the Supplier fails to remove the goods the Council may cause the same to be removed sold or otherwise disposed of and charge the Supplier for all expenses incurred in such removal sale or disposal and the Council shall not be responsible for any damage or loss thereby sustained by the Supplier </w:t>
      </w:r>
    </w:p>
    <w:p w:rsidR="004C2C48" w:rsidRDefault="00CB1151">
      <w:pPr>
        <w:ind w:left="401"/>
      </w:pPr>
      <w:r>
        <w:t xml:space="preserve">5.2 The Council reserves the right to require that a service that is not carried out in accordance with an order or the Council’s instructions or is sub-standard is re-performed by the Supplier to the satisfaction of the </w:t>
      </w:r>
    </w:p>
    <w:p w:rsidR="004C2C48" w:rsidRDefault="00CB1151">
      <w:pPr>
        <w:ind w:left="391" w:firstLine="0"/>
      </w:pPr>
      <w:r>
        <w:t xml:space="preserve">Council </w:t>
      </w:r>
    </w:p>
    <w:p w:rsidR="004C2C48" w:rsidRDefault="00CB1151">
      <w:pPr>
        <w:pStyle w:val="Heading6"/>
        <w:ind w:left="118"/>
      </w:pPr>
      <w:r>
        <w:t xml:space="preserve">INDEMNITY </w:t>
      </w:r>
    </w:p>
    <w:p w:rsidR="004C2C48" w:rsidRDefault="00CB1151">
      <w:pPr>
        <w:ind w:left="401"/>
      </w:pPr>
      <w:r>
        <w:t xml:space="preserve">6.1 The Supplier shall indemnify the Council against any loss damage personal injury death or expenses suffered or incurred whether directly or indirectly as a result of; </w:t>
      </w:r>
    </w:p>
    <w:p w:rsidR="004C2C48" w:rsidRDefault="00CB1151">
      <w:pPr>
        <w:numPr>
          <w:ilvl w:val="0"/>
          <w:numId w:val="3"/>
        </w:numPr>
        <w:ind w:hanging="425"/>
      </w:pPr>
      <w:r>
        <w:t xml:space="preserve">Any infringement of any intellectual property trademark copyright patent or registered design arising out of the sale or </w:t>
      </w:r>
      <w:r>
        <w:t xml:space="preserve">use of the goods supplied by the Supplier </w:t>
      </w:r>
    </w:p>
    <w:p w:rsidR="004C2C48" w:rsidRDefault="00CB1151">
      <w:pPr>
        <w:numPr>
          <w:ilvl w:val="0"/>
          <w:numId w:val="3"/>
        </w:numPr>
        <w:ind w:hanging="425"/>
      </w:pPr>
      <w:r>
        <w:t xml:space="preserve">Any defect in the services or in the goods whether in the materials design or construction thereof or any combination thereof however caused  </w:t>
      </w:r>
    </w:p>
    <w:p w:rsidR="004C2C48" w:rsidRDefault="00CB1151">
      <w:pPr>
        <w:numPr>
          <w:ilvl w:val="0"/>
          <w:numId w:val="3"/>
        </w:numPr>
        <w:ind w:hanging="425"/>
      </w:pPr>
      <w:r>
        <w:t xml:space="preserve">Failure of the goods or services to comply with the requirements of any statute statutory instrument or other law generally applicable in </w:t>
      </w:r>
    </w:p>
    <w:p w:rsidR="004C2C48" w:rsidRDefault="00CB1151">
      <w:pPr>
        <w:ind w:left="816" w:firstLine="0"/>
      </w:pPr>
      <w:r>
        <w:t xml:space="preserve">England and Wales  </w:t>
      </w:r>
    </w:p>
    <w:p w:rsidR="004C2C48" w:rsidRDefault="00CB1151">
      <w:pPr>
        <w:ind w:left="278"/>
      </w:pPr>
      <w:r>
        <w:t xml:space="preserve">17.2 The Supplier must undertake to provide all documentation required by the Council including but not limited to operating and maintenance instructions, product information data, </w:t>
      </w:r>
    </w:p>
    <w:p w:rsidR="004C2C48" w:rsidRDefault="00CB1151">
      <w:pPr>
        <w:ind w:left="283" w:firstLine="0"/>
      </w:pPr>
      <w:r>
        <w:t xml:space="preserve">COSHH </w:t>
      </w:r>
      <w:r>
        <w:tab/>
        <w:t xml:space="preserve">data </w:t>
      </w:r>
      <w:r>
        <w:tab/>
        <w:t xml:space="preserve">sheets </w:t>
      </w:r>
      <w:r>
        <w:tab/>
        <w:t xml:space="preserve">and </w:t>
      </w:r>
      <w:r>
        <w:tab/>
        <w:t xml:space="preserve">risk assessments </w:t>
      </w:r>
    </w:p>
    <w:p w:rsidR="004C2C48" w:rsidRDefault="00CB1151">
      <w:pPr>
        <w:pStyle w:val="Heading6"/>
        <w:ind w:left="-5"/>
      </w:pPr>
      <w:r>
        <w:t xml:space="preserve">GENERAL </w:t>
      </w:r>
    </w:p>
    <w:p w:rsidR="004C2C48" w:rsidRDefault="00CB1151">
      <w:pPr>
        <w:ind w:left="278"/>
      </w:pPr>
      <w:r>
        <w:t xml:space="preserve">18. The Supplier shall not assign subcontract or transfer any order from the Council or benefit thereof to any third party except with the consent in writing of the Council </w:t>
      </w:r>
    </w:p>
    <w:p w:rsidR="004C2C48" w:rsidRDefault="00CB1151">
      <w:pPr>
        <w:ind w:left="278"/>
      </w:pPr>
      <w:r>
        <w:t xml:space="preserve">19 If any provision of this Agreement is held invalid illegal or unenforceable for any reason by any court of competent jurisdiction such provision shall be severed and the remainder of the provisions of this Agreement shall continue in full force and effect as if this Agreement had been executed with the invalid illegal or </w:t>
      </w:r>
    </w:p>
    <w:p w:rsidR="004C2C48" w:rsidRDefault="00CB1151">
      <w:pPr>
        <w:spacing w:after="0" w:line="259" w:lineRule="auto"/>
        <w:ind w:left="10" w:right="30" w:hanging="10"/>
        <w:jc w:val="center"/>
      </w:pPr>
      <w:r>
        <w:t xml:space="preserve">unenforceable provision eliminated </w:t>
      </w:r>
    </w:p>
    <w:p w:rsidR="004C2C48" w:rsidRDefault="00CB1151">
      <w:pPr>
        <w:numPr>
          <w:ilvl w:val="0"/>
          <w:numId w:val="4"/>
        </w:numPr>
      </w:pPr>
      <w:r>
        <w:t xml:space="preserve">This Agreement incorporates all terms, conditions or warranties implied by law in favour of the Council as purchaser of goods and services </w:t>
      </w:r>
    </w:p>
    <w:p w:rsidR="004C2C48" w:rsidRDefault="00CB1151">
      <w:pPr>
        <w:numPr>
          <w:ilvl w:val="0"/>
          <w:numId w:val="4"/>
        </w:numPr>
      </w:pPr>
      <w:r>
        <w:t xml:space="preserve">Each right or remedy of the Council is without prejudice to any other right or remedy of the Council elsewhere in these terms and </w:t>
      </w:r>
    </w:p>
    <w:p w:rsidR="004C2C48" w:rsidRDefault="00CB1151">
      <w:pPr>
        <w:ind w:left="283" w:firstLine="0"/>
      </w:pPr>
      <w:r>
        <w:t xml:space="preserve">conditions or otherwise at law </w:t>
      </w:r>
    </w:p>
    <w:p w:rsidR="004C2C48" w:rsidRDefault="00CB1151">
      <w:pPr>
        <w:numPr>
          <w:ilvl w:val="0"/>
          <w:numId w:val="4"/>
        </w:numPr>
      </w:pPr>
      <w:r>
        <w:t xml:space="preserve">All communications between the Parties must be in writing and sent by email, fax or pre-paid post  </w:t>
      </w:r>
    </w:p>
    <w:p w:rsidR="004C2C48" w:rsidRDefault="00CB1151">
      <w:pPr>
        <w:numPr>
          <w:ilvl w:val="0"/>
          <w:numId w:val="4"/>
        </w:numPr>
      </w:pPr>
      <w:r>
        <w:t xml:space="preserve">Nothing in this Agreement shall confer or purport to confer the right to enforce any term hereunder upon any person or legal entity that is not a party </w:t>
      </w:r>
      <w:r>
        <w:lastRenderedPageBreak/>
        <w:t xml:space="preserve">to it and the Contracts (Rights of Third Parties) Act 1999 shall not apply  </w:t>
      </w:r>
    </w:p>
    <w:p w:rsidR="004C2C48" w:rsidRDefault="00CB1151">
      <w:pPr>
        <w:numPr>
          <w:ilvl w:val="0"/>
          <w:numId w:val="4"/>
        </w:numPr>
      </w:pPr>
      <w:r>
        <w:t xml:space="preserve">Any waiver or relaxation either partly, or wholly of any of the terms and conditions of this Agreement shall be valid only if it is communicated to the other Party in writing and expressly stated to be a waiver. </w:t>
      </w:r>
    </w:p>
    <w:p w:rsidR="004C2C48" w:rsidRDefault="00CB1151">
      <w:pPr>
        <w:ind w:left="278"/>
      </w:pPr>
      <w:r>
        <w:t xml:space="preserve">25 These Terms and Conditions shall be governed by and interpreted in accordance with English law and the Parties submit to the exclusive jurisdiction of the courts of England. </w:t>
      </w:r>
    </w:p>
    <w:p w:rsidR="004C2C48" w:rsidRDefault="00CB1151">
      <w:pPr>
        <w:ind w:left="816" w:hanging="425"/>
      </w:pPr>
      <w:r>
        <w:t xml:space="preserve">d. The negligence of the Supplier their </w:t>
      </w:r>
      <w:proofErr w:type="gramStart"/>
      <w:r>
        <w:t>employees</w:t>
      </w:r>
      <w:proofErr w:type="gramEnd"/>
      <w:r>
        <w:t xml:space="preserve"> agents or servants in the performance of their obligations under an order </w:t>
      </w:r>
    </w:p>
    <w:p w:rsidR="004C2C48" w:rsidRDefault="00CB1151">
      <w:pPr>
        <w:ind w:left="816" w:firstLine="0"/>
      </w:pPr>
      <w:r>
        <w:t xml:space="preserve">placed by the Council </w:t>
      </w:r>
    </w:p>
    <w:p w:rsidR="004C2C48" w:rsidRDefault="00CB1151">
      <w:pPr>
        <w:spacing w:after="0" w:line="259" w:lineRule="auto"/>
        <w:ind w:left="0" w:firstLine="0"/>
        <w:jc w:val="left"/>
      </w:pPr>
      <w:r>
        <w:rPr>
          <w:b/>
          <w:sz w:val="28"/>
        </w:rPr>
        <w:t xml:space="preserve">  </w:t>
      </w:r>
    </w:p>
    <w:sectPr w:rsidR="004C2C48">
      <w:type w:val="continuous"/>
      <w:pgSz w:w="11906" w:h="16838"/>
      <w:pgMar w:top="632" w:right="1542" w:bottom="1493" w:left="1440" w:header="720" w:footer="720" w:gutter="0"/>
      <w:cols w:num="2" w:space="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151" w:rsidRDefault="00CB1151">
      <w:pPr>
        <w:spacing w:after="0" w:line="240" w:lineRule="auto"/>
      </w:pPr>
      <w:r>
        <w:separator/>
      </w:r>
    </w:p>
  </w:endnote>
  <w:endnote w:type="continuationSeparator" w:id="0">
    <w:p w:rsidR="00CB1151" w:rsidRDefault="00CB1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C48" w:rsidRDefault="00CB1151">
    <w:pPr>
      <w:spacing w:after="0" w:line="259" w:lineRule="auto"/>
      <w:ind w:left="1"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C2C48" w:rsidRDefault="00CB1151">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C48" w:rsidRDefault="00CB1151">
    <w:pPr>
      <w:spacing w:after="0" w:line="259" w:lineRule="auto"/>
      <w:ind w:left="1"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C2C48" w:rsidRDefault="00CB1151">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C48" w:rsidRDefault="00CB1151">
    <w:pPr>
      <w:spacing w:after="0" w:line="259" w:lineRule="auto"/>
      <w:ind w:left="1"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C2C48" w:rsidRDefault="00CB1151">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151" w:rsidRDefault="00CB1151">
      <w:pPr>
        <w:spacing w:after="0" w:line="240" w:lineRule="auto"/>
      </w:pPr>
      <w:r>
        <w:separator/>
      </w:r>
    </w:p>
  </w:footnote>
  <w:footnote w:type="continuationSeparator" w:id="0">
    <w:p w:rsidR="00CB1151" w:rsidRDefault="00CB1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DA5"/>
    <w:multiLevelType w:val="hybridMultilevel"/>
    <w:tmpl w:val="92EE372A"/>
    <w:lvl w:ilvl="0" w:tplc="D2DCDA6E">
      <w:start w:val="20"/>
      <w:numFmt w:val="decimal"/>
      <w:lvlText w:val="%1."/>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74BD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74C6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E6BD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A99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9CFA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8066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6448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F609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890D78"/>
    <w:multiLevelType w:val="hybridMultilevel"/>
    <w:tmpl w:val="BA10707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2FB1D61"/>
    <w:multiLevelType w:val="hybridMultilevel"/>
    <w:tmpl w:val="AD7E5DD8"/>
    <w:lvl w:ilvl="0" w:tplc="7F848422">
      <w:start w:val="1"/>
      <w:numFmt w:val="decimal"/>
      <w:lvlText w:val="%1."/>
      <w:lvlJc w:val="left"/>
      <w:pPr>
        <w:ind w:left="705"/>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tplc="38DA83E6">
      <w:start w:val="1"/>
      <w:numFmt w:val="lowerLetter"/>
      <w:lvlText w:val="%2"/>
      <w:lvlJc w:val="left"/>
      <w:pPr>
        <w:ind w:left="14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2" w:tplc="91EC8B48">
      <w:start w:val="1"/>
      <w:numFmt w:val="lowerRoman"/>
      <w:lvlText w:val="%3"/>
      <w:lvlJc w:val="left"/>
      <w:pPr>
        <w:ind w:left="21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tplc="ACDCF318">
      <w:start w:val="1"/>
      <w:numFmt w:val="decimal"/>
      <w:lvlText w:val="%4"/>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A28A24E2">
      <w:start w:val="1"/>
      <w:numFmt w:val="lowerLetter"/>
      <w:lvlText w:val="%5"/>
      <w:lvlJc w:val="left"/>
      <w:pPr>
        <w:ind w:left="360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tplc="6F44FFBE">
      <w:start w:val="1"/>
      <w:numFmt w:val="lowerRoman"/>
      <w:lvlText w:val="%6"/>
      <w:lvlJc w:val="left"/>
      <w:pPr>
        <w:ind w:left="43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tplc="D93A0618">
      <w:start w:val="1"/>
      <w:numFmt w:val="decimal"/>
      <w:lvlText w:val="%7"/>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1E76F074">
      <w:start w:val="1"/>
      <w:numFmt w:val="lowerLetter"/>
      <w:lvlText w:val="%8"/>
      <w:lvlJc w:val="left"/>
      <w:pPr>
        <w:ind w:left="57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tplc="1F38074E">
      <w:start w:val="1"/>
      <w:numFmt w:val="lowerRoman"/>
      <w:lvlText w:val="%9"/>
      <w:lvlJc w:val="left"/>
      <w:pPr>
        <w:ind w:left="64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3" w15:restartNumberingAfterBreak="0">
    <w:nsid w:val="3A447714"/>
    <w:multiLevelType w:val="hybridMultilevel"/>
    <w:tmpl w:val="25B4EAA4"/>
    <w:lvl w:ilvl="0" w:tplc="4F4A380A">
      <w:start w:val="1"/>
      <w:numFmt w:val="lowerLetter"/>
      <w:lvlText w:val="%1."/>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0C8B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A6349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5666F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CCF6C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AEA4C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78986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4231D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788A6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293852"/>
    <w:multiLevelType w:val="hybridMultilevel"/>
    <w:tmpl w:val="A6C2FAA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6EEB6F3B"/>
    <w:multiLevelType w:val="hybridMultilevel"/>
    <w:tmpl w:val="D724FA26"/>
    <w:lvl w:ilvl="0" w:tplc="4A1C93EA">
      <w:start w:val="1"/>
      <w:numFmt w:val="bullet"/>
      <w:lvlText w:val="-"/>
      <w:lvlJc w:val="left"/>
      <w:pPr>
        <w:ind w:left="72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A520A2C">
      <w:start w:val="1"/>
      <w:numFmt w:val="bullet"/>
      <w:lvlText w:val="o"/>
      <w:lvlJc w:val="left"/>
      <w:pPr>
        <w:ind w:left="144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A3F67EEE">
      <w:start w:val="1"/>
      <w:numFmt w:val="bullet"/>
      <w:lvlText w:val="▪"/>
      <w:lvlJc w:val="left"/>
      <w:pPr>
        <w:ind w:left="21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E5C0B3B2">
      <w:start w:val="1"/>
      <w:numFmt w:val="bullet"/>
      <w:lvlText w:val="•"/>
      <w:lvlJc w:val="left"/>
      <w:pPr>
        <w:ind w:left="288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5B401654">
      <w:start w:val="1"/>
      <w:numFmt w:val="bullet"/>
      <w:lvlText w:val="o"/>
      <w:lvlJc w:val="left"/>
      <w:pPr>
        <w:ind w:left="360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17625F5E">
      <w:start w:val="1"/>
      <w:numFmt w:val="bullet"/>
      <w:lvlText w:val="▪"/>
      <w:lvlJc w:val="left"/>
      <w:pPr>
        <w:ind w:left="432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F8E86090">
      <w:start w:val="1"/>
      <w:numFmt w:val="bullet"/>
      <w:lvlText w:val="•"/>
      <w:lvlJc w:val="left"/>
      <w:pPr>
        <w:ind w:left="504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EB641708">
      <w:start w:val="1"/>
      <w:numFmt w:val="bullet"/>
      <w:lvlText w:val="o"/>
      <w:lvlJc w:val="left"/>
      <w:pPr>
        <w:ind w:left="57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110EB66E">
      <w:start w:val="1"/>
      <w:numFmt w:val="bullet"/>
      <w:lvlText w:val="▪"/>
      <w:lvlJc w:val="left"/>
      <w:pPr>
        <w:ind w:left="648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6" w15:restartNumberingAfterBreak="0">
    <w:nsid w:val="7EE26CE0"/>
    <w:multiLevelType w:val="hybridMultilevel"/>
    <w:tmpl w:val="1B8885C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C48"/>
    <w:rsid w:val="000826F2"/>
    <w:rsid w:val="0012656C"/>
    <w:rsid w:val="00155530"/>
    <w:rsid w:val="00227148"/>
    <w:rsid w:val="00250C76"/>
    <w:rsid w:val="00283EE3"/>
    <w:rsid w:val="002D5825"/>
    <w:rsid w:val="003206A5"/>
    <w:rsid w:val="004C2C48"/>
    <w:rsid w:val="00553734"/>
    <w:rsid w:val="005905F0"/>
    <w:rsid w:val="006C5F42"/>
    <w:rsid w:val="006D7A13"/>
    <w:rsid w:val="00935453"/>
    <w:rsid w:val="00987C9B"/>
    <w:rsid w:val="009E0A1D"/>
    <w:rsid w:val="00A30A2F"/>
    <w:rsid w:val="00B11A77"/>
    <w:rsid w:val="00C539DD"/>
    <w:rsid w:val="00C7591A"/>
    <w:rsid w:val="00CA5AEC"/>
    <w:rsid w:val="00CB1151"/>
    <w:rsid w:val="00D47ADC"/>
    <w:rsid w:val="00D92DCA"/>
    <w:rsid w:val="00DD522D"/>
    <w:rsid w:val="00E87C21"/>
    <w:rsid w:val="00EF0B5B"/>
    <w:rsid w:val="00FF2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D6F4"/>
  <w15:docId w15:val="{4CD3E3C5-96F6-4B2F-888B-CAC4E831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293" w:hanging="293"/>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716"/>
      <w:ind w:left="10" w:right="2" w:hanging="10"/>
      <w:jc w:val="center"/>
      <w:outlineLvl w:val="0"/>
    </w:pPr>
    <w:rPr>
      <w:rFonts w:ascii="Arial" w:eastAsia="Arial" w:hAnsi="Arial" w:cs="Arial"/>
      <w:b/>
      <w:color w:val="000000"/>
      <w:sz w:val="52"/>
    </w:rPr>
  </w:style>
  <w:style w:type="paragraph" w:styleId="Heading2">
    <w:name w:val="heading 2"/>
    <w:next w:val="Normal"/>
    <w:link w:val="Heading2Char"/>
    <w:uiPriority w:val="9"/>
    <w:unhideWhenUsed/>
    <w:qFormat/>
    <w:pPr>
      <w:keepNext/>
      <w:keepLines/>
      <w:spacing w:after="177"/>
      <w:ind w:left="10" w:hanging="10"/>
      <w:outlineLvl w:val="1"/>
    </w:pPr>
    <w:rPr>
      <w:rFonts w:ascii="Arial" w:eastAsia="Arial" w:hAnsi="Arial" w:cs="Arial"/>
      <w:b/>
      <w:color w:val="0070C0"/>
      <w:sz w:val="28"/>
      <w:u w:val="single" w:color="0070C0"/>
    </w:rPr>
  </w:style>
  <w:style w:type="paragraph" w:styleId="Heading3">
    <w:name w:val="heading 3"/>
    <w:next w:val="Normal"/>
    <w:link w:val="Heading3Char"/>
    <w:uiPriority w:val="9"/>
    <w:unhideWhenUsed/>
    <w:qFormat/>
    <w:pPr>
      <w:keepNext/>
      <w:keepLines/>
      <w:spacing w:after="184"/>
      <w:ind w:left="10" w:hanging="10"/>
      <w:outlineLvl w:val="2"/>
    </w:pPr>
    <w:rPr>
      <w:rFonts w:ascii="Arial" w:eastAsia="Arial" w:hAnsi="Arial" w:cs="Arial"/>
      <w:b/>
      <w:color w:val="000000"/>
      <w:sz w:val="28"/>
      <w:u w:val="single" w:color="000000"/>
    </w:rPr>
  </w:style>
  <w:style w:type="paragraph" w:styleId="Heading4">
    <w:name w:val="heading 4"/>
    <w:next w:val="Normal"/>
    <w:link w:val="Heading4Char"/>
    <w:uiPriority w:val="9"/>
    <w:unhideWhenUsed/>
    <w:qFormat/>
    <w:pPr>
      <w:keepNext/>
      <w:keepLines/>
      <w:spacing w:after="182"/>
      <w:outlineLvl w:val="3"/>
    </w:pPr>
    <w:rPr>
      <w:rFonts w:ascii="Calibri" w:eastAsia="Calibri" w:hAnsi="Calibri" w:cs="Calibri"/>
      <w:b/>
      <w:color w:val="000000"/>
      <w:sz w:val="28"/>
    </w:rPr>
  </w:style>
  <w:style w:type="paragraph" w:styleId="Heading5">
    <w:name w:val="heading 5"/>
    <w:next w:val="Normal"/>
    <w:link w:val="Heading5Char"/>
    <w:uiPriority w:val="9"/>
    <w:unhideWhenUsed/>
    <w:qFormat/>
    <w:pPr>
      <w:keepNext/>
      <w:keepLines/>
      <w:spacing w:after="184"/>
      <w:ind w:left="10" w:hanging="10"/>
      <w:outlineLvl w:val="4"/>
    </w:pPr>
    <w:rPr>
      <w:rFonts w:ascii="Arial" w:eastAsia="Arial" w:hAnsi="Arial" w:cs="Arial"/>
      <w:b/>
      <w:color w:val="000000"/>
      <w:sz w:val="28"/>
      <w:u w:val="single" w:color="000000"/>
    </w:rPr>
  </w:style>
  <w:style w:type="paragraph" w:styleId="Heading6">
    <w:name w:val="heading 6"/>
    <w:next w:val="Normal"/>
    <w:link w:val="Heading6Char"/>
    <w:uiPriority w:val="9"/>
    <w:unhideWhenUsed/>
    <w:qFormat/>
    <w:pPr>
      <w:keepNext/>
      <w:keepLines/>
      <w:spacing w:after="5" w:line="250" w:lineRule="auto"/>
      <w:ind w:left="10" w:hanging="10"/>
      <w:jc w:val="both"/>
      <w:outlineLvl w:val="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Arial" w:eastAsia="Arial" w:hAnsi="Arial" w:cs="Arial"/>
      <w:b/>
      <w:color w:val="000000"/>
      <w:sz w:val="24"/>
    </w:rPr>
  </w:style>
  <w:style w:type="character" w:customStyle="1" w:styleId="Heading4Char">
    <w:name w:val="Heading 4 Char"/>
    <w:link w:val="Heading4"/>
    <w:rPr>
      <w:rFonts w:ascii="Calibri" w:eastAsia="Calibri" w:hAnsi="Calibri" w:cs="Calibri"/>
      <w:b/>
      <w:color w:val="000000"/>
      <w:sz w:val="28"/>
    </w:rPr>
  </w:style>
  <w:style w:type="character" w:customStyle="1" w:styleId="Heading2Char">
    <w:name w:val="Heading 2 Char"/>
    <w:link w:val="Heading2"/>
    <w:rPr>
      <w:rFonts w:ascii="Arial" w:eastAsia="Arial" w:hAnsi="Arial" w:cs="Arial"/>
      <w:b/>
      <w:color w:val="0070C0"/>
      <w:sz w:val="28"/>
      <w:u w:val="single" w:color="0070C0"/>
    </w:rPr>
  </w:style>
  <w:style w:type="character" w:customStyle="1" w:styleId="Heading1Char">
    <w:name w:val="Heading 1 Char"/>
    <w:link w:val="Heading1"/>
    <w:rPr>
      <w:rFonts w:ascii="Arial" w:eastAsia="Arial" w:hAnsi="Arial" w:cs="Arial"/>
      <w:b/>
      <w:color w:val="000000"/>
      <w:sz w:val="52"/>
    </w:rPr>
  </w:style>
  <w:style w:type="character" w:customStyle="1" w:styleId="Heading3Char">
    <w:name w:val="Heading 3 Char"/>
    <w:link w:val="Heading3"/>
    <w:rPr>
      <w:rFonts w:ascii="Arial" w:eastAsia="Arial" w:hAnsi="Arial" w:cs="Arial"/>
      <w:b/>
      <w:color w:val="000000"/>
      <w:sz w:val="28"/>
      <w:u w:val="single" w:color="000000"/>
    </w:rPr>
  </w:style>
  <w:style w:type="character" w:customStyle="1" w:styleId="Heading5Char">
    <w:name w:val="Heading 5 Char"/>
    <w:link w:val="Heading5"/>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2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ca.org.uk/firms/financial-services-regis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ca.org.uk/firms/financial-services-registe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ca.org.uk/firms/financial-servic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eyWordSearch xmlns="8376bcc4-3f8c-47f3-8267-8d0534d7813b" xsi:nil="true"/>
    <Directorate xmlns="8376bcc4-3f8c-47f3-8267-8d0534d7813b">Strategy &amp; Resources</Directorate>
    <DocumentOwners xmlns="8376bcc4-3f8c-47f3-8267-8d0534d7813b">
      <UserInfo>
        <DisplayName>i:0#.f|membership|sharpe001s@corporate.stoke.gov.uk</DisplayName>
        <AccountId>82</AccountId>
        <AccountType/>
      </UserInfo>
    </DocumentOwners>
    <_dlc_DocIdUrl xmlns="b22981b5-646f-47bc-b472-f6ccf914da5f">
      <Url>https://stokegovuk.sharepoint.com/sites/TheHub/_layouts/15/DocIdRedir.aspx?ID=THEHUB-638727790-520</Url>
      <Description>THEHUB-638727790-520</Description>
    </_dlc_DocIdUrl>
    <TaxCatchAll xmlns="b22981b5-646f-47bc-b472-f6ccf914da5f" xsi:nil="true"/>
    <_dlc_DocIdPersistId xmlns="b22981b5-646f-47bc-b472-f6ccf914da5f" xsi:nil="true"/>
    <Current xmlns="8376bcc4-3f8c-47f3-8267-8d0534d7813b" xsi:nil="true"/>
    <Department xmlns="8376bcc4-3f8c-47f3-8267-8d0534d7813b">Procurement</Department>
    <DocumentType xmlns="8376bcc4-3f8c-47f3-8267-8d0534d7813b">Templates</DocumentType>
    <SubDepartment xmlns="8376bcc4-3f8c-47f3-8267-8d0534d7813b" xsi:nil="true"/>
    <lcf76f155ced4ddcb4097134ff3c332f xmlns="8376bcc4-3f8c-47f3-8267-8d0534d7813b">
      <Terms xmlns="http://schemas.microsoft.com/office/infopath/2007/PartnerControls"/>
    </lcf76f155ced4ddcb4097134ff3c332f>
    <_dlc_DocId xmlns="b22981b5-646f-47bc-b472-f6ccf914da5f">THEHUB-638727790-520</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1875E9EB2EDD4285483DB09704EBD1" ma:contentTypeVersion="22" ma:contentTypeDescription="Create a new document." ma:contentTypeScope="" ma:versionID="52ba45403f1731d86feb997154f0a7b7">
  <xsd:schema xmlns:xsd="http://www.w3.org/2001/XMLSchema" xmlns:xs="http://www.w3.org/2001/XMLSchema" xmlns:p="http://schemas.microsoft.com/office/2006/metadata/properties" xmlns:ns2="8376bcc4-3f8c-47f3-8267-8d0534d7813b" xmlns:ns3="b22981b5-646f-47bc-b472-f6ccf914da5f" targetNamespace="http://schemas.microsoft.com/office/2006/metadata/properties" ma:root="true" ma:fieldsID="c031053c4b5f97bac8eac27ed843e7b0" ns2:_="" ns3:_="">
    <xsd:import namespace="8376bcc4-3f8c-47f3-8267-8d0534d7813b"/>
    <xsd:import namespace="b22981b5-646f-47bc-b472-f6ccf914da5f"/>
    <xsd:element name="properties">
      <xsd:complexType>
        <xsd:sequence>
          <xsd:element name="documentManagement">
            <xsd:complexType>
              <xsd:all>
                <xsd:element ref="ns2:Current" minOccurs="0"/>
                <xsd:element ref="ns3:_dlc_DocIdUrl" minOccurs="0"/>
                <xsd:element ref="ns2:Directorate"/>
                <xsd:element ref="ns2:Department"/>
                <xsd:element ref="ns2:DocumentType"/>
                <xsd:element ref="ns2:DocumentOwners" minOccurs="0"/>
                <xsd:element ref="ns2:MediaServiceMetadata" minOccurs="0"/>
                <xsd:element ref="ns2:MediaServiceFastMetadata" minOccurs="0"/>
                <xsd:element ref="ns3:_dlc_DocId" minOccurs="0"/>
                <xsd:element ref="ns3:_dlc_DocIdPersistId" minOccurs="0"/>
                <xsd:element ref="ns2:MediaServiceDateTaken" minOccurs="0"/>
                <xsd:element ref="ns2:MediaServiceObjectDetectorVersions" minOccurs="0"/>
                <xsd:element ref="ns2:MediaLengthInSeconds" minOccurs="0"/>
                <xsd:element ref="ns2:SubDepartment" minOccurs="0"/>
                <xsd:element ref="ns2:KeyWordSearch"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6bcc4-3f8c-47f3-8267-8d0534d7813b" elementFormDefault="qualified">
    <xsd:import namespace="http://schemas.microsoft.com/office/2006/documentManagement/types"/>
    <xsd:import namespace="http://schemas.microsoft.com/office/infopath/2007/PartnerControls"/>
    <xsd:element name="Current" ma:index="2" nillable="true" ma:displayName="Current" ma:description="Is this folder still in use? &#10;Use this for when directorates change / rename etc" ma:format="Dropdown" ma:internalName="Current" ma:readOnly="false">
      <xsd:simpleType>
        <xsd:restriction base="dms:Choice">
          <xsd:enumeration value="No"/>
          <xsd:enumeration value="Yes"/>
        </xsd:restriction>
      </xsd:simpleType>
    </xsd:element>
    <xsd:element name="Directorate" ma:index="4" ma:displayName="Directorate" ma:format="Dropdown" ma:internalName="Directorate">
      <xsd:simpleType>
        <xsd:restriction base="dms:Choice">
          <xsd:enumeration value="Strategy &amp; Resources"/>
          <xsd:enumeration value="Adult Social Care, Health Integration and Wellbeing (ASCHIW)"/>
          <xsd:enumeration value="Childrens &amp; Family Services CAF's)"/>
          <xsd:enumeration value="Housing Growth &amp; Development (HDG)"/>
          <xsd:enumeration value="Public Health (PL)"/>
          <xsd:enumeration value="City Director"/>
        </xsd:restriction>
      </xsd:simpleType>
    </xsd:element>
    <xsd:element name="Department" ma:index="5" ma:displayName="Department" ma:format="Dropdown" ma:internalName="Department">
      <xsd:simpleType>
        <xsd:restriction base="dms:Choice">
          <xsd:enumeration value="ASC Workforce Development"/>
          <xsd:enumeration value="Assessment Teams"/>
          <xsd:enumeration value="Audit, Fraud and Risk"/>
          <xsd:enumeration value="City Director"/>
          <xsd:enumeration value="CQC Resources"/>
          <xsd:enumeration value="Coroners"/>
          <xsd:enumeration value="Customer Services"/>
          <xsd:enumeration value="Digital / IT"/>
          <xsd:enumeration value="Finance"/>
          <xsd:enumeration value="Governance"/>
          <xsd:enumeration value="Health and Safety"/>
          <xsd:enumeration value="Marketing and Communications"/>
          <xsd:enumeration value="Learning"/>
          <xsd:enumeration value="Legal"/>
          <xsd:enumeration value="Procedures"/>
          <xsd:enumeration value="Procurement"/>
          <xsd:enumeration value="Registration"/>
          <xsd:enumeration value="Revenue, Benefits and Financial Assessments"/>
          <xsd:enumeration value="Adult Safeguarding Team"/>
          <xsd:enumeration value="Provider Services"/>
          <xsd:enumeration value="Strategy, Performance &amp; Business Change"/>
          <xsd:enumeration value="STAR homepage"/>
          <xsd:enumeration value="Transformation"/>
          <xsd:enumeration value="WorkForce"/>
          <xsd:enumeration value="Community Lounges"/>
          <xsd:enumeration value="Forms Repository"/>
          <xsd:enumeration value="ASCHIW Home Page"/>
        </xsd:restriction>
      </xsd:simpleType>
    </xsd:element>
    <xsd:element name="DocumentType" ma:index="6" ma:displayName="Document Type" ma:format="Dropdown" ma:internalName="DocumentType">
      <xsd:simpleType>
        <xsd:restriction base="dms:Choice">
          <xsd:enumeration value="Consent Forms"/>
          <xsd:enumeration value="Forms"/>
          <xsd:enumeration value="Policies"/>
          <xsd:enumeration value="Processes"/>
          <xsd:enumeration value="Templates"/>
          <xsd:enumeration value="Information article"/>
          <xsd:enumeration value="Guides"/>
          <xsd:enumeration value="Procedures"/>
          <xsd:enumeration value="Training"/>
          <xsd:enumeration value="Terms and Conditions"/>
          <xsd:enumeration value="logo"/>
          <xsd:enumeration value="Regulatory Act"/>
        </xsd:restriction>
      </xsd:simpleType>
    </xsd:element>
    <xsd:element name="DocumentOwners" ma:index="7" nillable="true" ma:displayName="Document Owners" ma:list="UserInfo" ma:SearchPeopleOnly="false" ma:SharePointGroup="0" ma:internalName="DocumentOwn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SubDepartment" ma:index="21" nillable="true" ma:displayName="Sub Department " ma:format="Dropdown" ma:internalName="SubDepartment">
      <xsd:simpleType>
        <xsd:restriction base="dms:Choice">
          <xsd:enumeration value="Finance - Grants"/>
          <xsd:enumeration value="Finance - Publications"/>
          <xsd:enumeration value="Finance - Purchasing"/>
          <xsd:enumeration value="Finance Closedown"/>
          <xsd:enumeration value="Social Care Occupational Therapy"/>
          <xsd:enumeration value="Marrow House"/>
          <xsd:enumeration value="Sensory Service"/>
          <xsd:enumeration value="Telecare and Lifeline Services"/>
          <xsd:enumeration value="Community Wellbeing Enablement Team"/>
          <xsd:enumeration value="LD and MH Provider Services"/>
          <xsd:enumeration value="Shared Lives"/>
          <xsd:enumeration value="Community Lounges"/>
          <xsd:enumeration value="Procedures"/>
          <xsd:enumeration value="Forms Repository"/>
        </xsd:restriction>
      </xsd:simpleType>
    </xsd:element>
    <xsd:element name="KeyWordSearch" ma:index="22" nillable="true" ma:displayName="Key Word Search " ma:format="Dropdown" ma:internalName="KeyWordSearch">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0347e-df34-415a-a2ea-9526639adb8f"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981b5-646f-47bc-b472-f6ccf914da5f" elementFormDefault="qualified">
    <xsd:import namespace="http://schemas.microsoft.com/office/2006/documentManagement/types"/>
    <xsd:import namespace="http://schemas.microsoft.com/office/infopath/2007/PartnerControls"/>
    <xsd:element name="_dlc_DocIdUrl" ma:index="3"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1"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5" nillable="true" ma:displayName="Taxonomy Catch All Column" ma:hidden="true" ma:list="{537b0686-80b2-45bf-a8a2-414a40b34cf9}" ma:internalName="TaxCatchAll" ma:showField="CatchAllData" ma:web="b22981b5-646f-47bc-b472-f6ccf914d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B2A1F-C4AD-44C2-BC20-CE2C9F6ADBCA}">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22981b5-646f-47bc-b472-f6ccf914da5f"/>
    <ds:schemaRef ds:uri="8376bcc4-3f8c-47f3-8267-8d0534d7813b"/>
    <ds:schemaRef ds:uri="http://www.w3.org/XML/1998/namespace"/>
  </ds:schemaRefs>
</ds:datastoreItem>
</file>

<file path=customXml/itemProps2.xml><?xml version="1.0" encoding="utf-8"?>
<ds:datastoreItem xmlns:ds="http://schemas.openxmlformats.org/officeDocument/2006/customXml" ds:itemID="{A6048C69-DE2D-4822-ADC4-66AD6E2B007E}">
  <ds:schemaRefs>
    <ds:schemaRef ds:uri="http://schemas.microsoft.com/sharepoint/v3/contenttype/forms"/>
  </ds:schemaRefs>
</ds:datastoreItem>
</file>

<file path=customXml/itemProps3.xml><?xml version="1.0" encoding="utf-8"?>
<ds:datastoreItem xmlns:ds="http://schemas.openxmlformats.org/officeDocument/2006/customXml" ds:itemID="{5C7C8BB2-081C-44D6-A6EF-04D6B928DD29}">
  <ds:schemaRefs>
    <ds:schemaRef ds:uri="http://schemas.microsoft.com/sharepoint/events"/>
  </ds:schemaRefs>
</ds:datastoreItem>
</file>

<file path=customXml/itemProps4.xml><?xml version="1.0" encoding="utf-8"?>
<ds:datastoreItem xmlns:ds="http://schemas.openxmlformats.org/officeDocument/2006/customXml" ds:itemID="{51368458-2B99-463D-8FFE-1AABFEBF6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6bcc4-3f8c-47f3-8267-8d0534d7813b"/>
    <ds:schemaRef ds:uri="b22981b5-646f-47bc-b472-f6ccf914d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10</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Sharpe</dc:creator>
  <cp:keywords/>
  <cp:lastModifiedBy>Tim Sharman</cp:lastModifiedBy>
  <cp:revision>8</cp:revision>
  <dcterms:created xsi:type="dcterms:W3CDTF">2023-10-26T15:49:00Z</dcterms:created>
  <dcterms:modified xsi:type="dcterms:W3CDTF">2023-11-10T12:33:00Z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0x0101004A1875E9EB2EDD4285483DB09704EBD1</vt:lpwstr>
  </property>
  <property fmtid="{D5CDD505-2E9C-101B-9397-08002B2CF9AE}" pid="3" name="_dlc_DocIdItemGuid">
    <vt:lpwstr>6e64191b-4154-41c3-bdc0-2a1a3c1f306d</vt:lpwstr>
  </property>
  <property fmtid="{D5CDD505-2E9C-101B-9397-08002B2CF9AE}" pid="4" name="MediaServiceImageTags">
    <vt:lpwstr/>
  </property>
</Properties>
</file>