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6E9A" w:rsidRDefault="00AB6E9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AB6E9A" w:rsidRDefault="00AB6E9A" w:rsidP="00014683"/>
                          <w:p w:rsidR="00AB6E9A" w:rsidRDefault="00AB6E9A" w:rsidP="00014683"/>
                          <w:p w:rsidR="00AB6E9A" w:rsidRDefault="00AB6E9A" w:rsidP="00014683"/>
                          <w:p w:rsidR="00AB6E9A" w:rsidRDefault="00AB6E9A" w:rsidP="00014683"/>
                          <w:p w:rsidR="00AB6E9A" w:rsidRDefault="00AB6E9A" w:rsidP="00014683"/>
                          <w:p w:rsidR="00AB6E9A" w:rsidRDefault="00AB6E9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AB6E9A" w:rsidRDefault="00AB6E9A" w:rsidP="00014683"/>
                          <w:p w:rsidR="00AB6E9A" w:rsidRDefault="00AB6E9A" w:rsidP="00014683">
                            <w:pPr>
                              <w:rPr>
                                <w:sz w:val="12"/>
                                <w:szCs w:val="12"/>
                              </w:rPr>
                            </w:pPr>
                          </w:p>
                          <w:p w:rsidR="00AB6E9A" w:rsidRDefault="00AB6E9A" w:rsidP="00014683">
                            <w:pPr>
                              <w:rPr>
                                <w:sz w:val="12"/>
                                <w:szCs w:val="12"/>
                              </w:rPr>
                            </w:pPr>
                          </w:p>
                          <w:p w:rsidR="00AB6E9A" w:rsidRPr="00CF0E13" w:rsidRDefault="00AB6E9A" w:rsidP="00014683">
                            <w:pPr>
                              <w:rPr>
                                <w:sz w:val="12"/>
                                <w:szCs w:val="12"/>
                              </w:rPr>
                            </w:pPr>
                          </w:p>
                          <w:p w:rsidR="00AB6E9A" w:rsidRDefault="00AB6E9A" w:rsidP="00014683">
                            <w:pPr>
                              <w:rPr>
                                <w:sz w:val="16"/>
                                <w:szCs w:val="16"/>
                              </w:rPr>
                            </w:pPr>
                          </w:p>
                          <w:p w:rsidR="00AB6E9A" w:rsidRPr="00CF0E13" w:rsidRDefault="00AB6E9A" w:rsidP="00014683">
                            <w:pPr>
                              <w:rPr>
                                <w:sz w:val="12"/>
                                <w:szCs w:val="12"/>
                              </w:rPr>
                            </w:pPr>
                          </w:p>
                          <w:p w:rsidR="00AB6E9A" w:rsidRDefault="00AB6E9A" w:rsidP="00014683"/>
                          <w:p w:rsidR="00AB6E9A" w:rsidRPr="00613154" w:rsidRDefault="00AB6E9A" w:rsidP="00014683">
                            <w:pPr>
                              <w:rPr>
                                <w:sz w:val="16"/>
                                <w:szCs w:val="16"/>
                              </w:rPr>
                            </w:pPr>
                          </w:p>
                          <w:p w:rsidR="00AB6E9A" w:rsidRDefault="00AB6E9A" w:rsidP="00014683"/>
                          <w:p w:rsidR="00AB6E9A" w:rsidRDefault="00AB6E9A"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AB6E9A" w:rsidRDefault="00AB6E9A"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AB6E9A" w:rsidRDefault="00AB6E9A" w:rsidP="00014683"/>
                    <w:p w:rsidR="00AB6E9A" w:rsidRDefault="00AB6E9A" w:rsidP="00014683"/>
                    <w:p w:rsidR="00AB6E9A" w:rsidRDefault="00AB6E9A" w:rsidP="00014683"/>
                    <w:p w:rsidR="00AB6E9A" w:rsidRDefault="00AB6E9A" w:rsidP="00014683"/>
                    <w:p w:rsidR="00AB6E9A" w:rsidRDefault="00AB6E9A" w:rsidP="00014683"/>
                    <w:p w:rsidR="00AB6E9A" w:rsidRDefault="00AB6E9A"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AB6E9A" w:rsidRDefault="00AB6E9A" w:rsidP="00014683"/>
                    <w:p w:rsidR="00AB6E9A" w:rsidRDefault="00AB6E9A" w:rsidP="00014683">
                      <w:pPr>
                        <w:rPr>
                          <w:sz w:val="12"/>
                          <w:szCs w:val="12"/>
                        </w:rPr>
                      </w:pPr>
                    </w:p>
                    <w:p w:rsidR="00AB6E9A" w:rsidRDefault="00AB6E9A" w:rsidP="00014683">
                      <w:pPr>
                        <w:rPr>
                          <w:sz w:val="12"/>
                          <w:szCs w:val="12"/>
                        </w:rPr>
                      </w:pPr>
                    </w:p>
                    <w:p w:rsidR="00AB6E9A" w:rsidRPr="00CF0E13" w:rsidRDefault="00AB6E9A" w:rsidP="00014683">
                      <w:pPr>
                        <w:rPr>
                          <w:sz w:val="12"/>
                          <w:szCs w:val="12"/>
                        </w:rPr>
                      </w:pPr>
                    </w:p>
                    <w:p w:rsidR="00AB6E9A" w:rsidRDefault="00AB6E9A" w:rsidP="00014683">
                      <w:pPr>
                        <w:rPr>
                          <w:sz w:val="16"/>
                          <w:szCs w:val="16"/>
                        </w:rPr>
                      </w:pPr>
                    </w:p>
                    <w:p w:rsidR="00AB6E9A" w:rsidRPr="00CF0E13" w:rsidRDefault="00AB6E9A" w:rsidP="00014683">
                      <w:pPr>
                        <w:rPr>
                          <w:sz w:val="12"/>
                          <w:szCs w:val="12"/>
                        </w:rPr>
                      </w:pPr>
                    </w:p>
                    <w:p w:rsidR="00AB6E9A" w:rsidRDefault="00AB6E9A" w:rsidP="00014683"/>
                    <w:p w:rsidR="00AB6E9A" w:rsidRPr="00613154" w:rsidRDefault="00AB6E9A" w:rsidP="00014683">
                      <w:pPr>
                        <w:rPr>
                          <w:sz w:val="16"/>
                          <w:szCs w:val="16"/>
                        </w:rPr>
                      </w:pPr>
                    </w:p>
                    <w:p w:rsidR="00AB6E9A" w:rsidRDefault="00AB6E9A" w:rsidP="00014683"/>
                    <w:p w:rsidR="00AB6E9A" w:rsidRDefault="00AB6E9A"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DC7F62" w:rsidRPr="0056679A" w:rsidRDefault="00DC7F62" w:rsidP="00535C01">
      <w:pPr>
        <w:tabs>
          <w:tab w:val="left" w:pos="3969"/>
          <w:tab w:val="left" w:pos="6946"/>
        </w:tabs>
        <w:ind w:left="3969" w:right="1319"/>
        <w:jc w:val="left"/>
        <w:rPr>
          <w:rFonts w:cs="Arial"/>
          <w:color w:val="000000" w:themeColor="text1"/>
          <w:sz w:val="22"/>
          <w:szCs w:val="22"/>
        </w:rPr>
      </w:pPr>
      <w:r w:rsidRPr="0056679A">
        <w:rPr>
          <w:rFonts w:cs="Arial"/>
          <w:color w:val="000000" w:themeColor="text1"/>
          <w:sz w:val="22"/>
          <w:szCs w:val="22"/>
        </w:rPr>
        <w:t>Terracotta Warrior</w:t>
      </w:r>
    </w:p>
    <w:p w:rsidR="00F309AD" w:rsidRPr="0056679A" w:rsidRDefault="00E90B83" w:rsidP="00535C01">
      <w:pPr>
        <w:tabs>
          <w:tab w:val="left" w:pos="3969"/>
          <w:tab w:val="left" w:pos="6946"/>
        </w:tabs>
        <w:ind w:left="3969" w:right="1319"/>
        <w:jc w:val="left"/>
        <w:rPr>
          <w:rFonts w:cs="Arial"/>
          <w:color w:val="000000" w:themeColor="text1"/>
          <w:sz w:val="22"/>
          <w:szCs w:val="22"/>
        </w:rPr>
      </w:pPr>
      <w:r>
        <w:rPr>
          <w:rFonts w:cs="Arial"/>
          <w:color w:val="000000" w:themeColor="text1"/>
          <w:sz w:val="22"/>
          <w:szCs w:val="22"/>
        </w:rPr>
        <w:t>Exhibition Display Case Plinths</w:t>
      </w:r>
    </w:p>
    <w:p w:rsidR="00F309AD" w:rsidRPr="0056679A" w:rsidRDefault="00F309AD" w:rsidP="005B2B0D">
      <w:pPr>
        <w:pStyle w:val="Appendixtext"/>
        <w:spacing w:after="0" w:line="288" w:lineRule="auto"/>
        <w:rPr>
          <w:rFonts w:cs="Arial"/>
          <w:color w:val="000000" w:themeColor="text1"/>
          <w:sz w:val="22"/>
          <w:szCs w:val="22"/>
        </w:rPr>
      </w:pPr>
    </w:p>
    <w:p w:rsidR="00012C91" w:rsidRPr="0056679A" w:rsidRDefault="00012C91" w:rsidP="003F7D70">
      <w:pPr>
        <w:spacing w:line="288" w:lineRule="auto"/>
        <w:rPr>
          <w:rFonts w:cs="Arial"/>
          <w:color w:val="000000" w:themeColor="text1"/>
          <w:sz w:val="22"/>
          <w:szCs w:val="22"/>
        </w:rPr>
      </w:pPr>
    </w:p>
    <w:p w:rsidR="00012C91" w:rsidRPr="0056679A" w:rsidRDefault="00E746AC" w:rsidP="005B2B0D">
      <w:pPr>
        <w:spacing w:before="120" w:line="288" w:lineRule="auto"/>
        <w:ind w:left="3969"/>
        <w:rPr>
          <w:rFonts w:cs="Arial"/>
          <w:color w:val="000000" w:themeColor="text1"/>
          <w:sz w:val="22"/>
          <w:szCs w:val="22"/>
        </w:rPr>
      </w:pPr>
      <w:r w:rsidRPr="0056679A">
        <w:rPr>
          <w:rFonts w:cs="Arial"/>
          <w:b/>
          <w:color w:val="000000" w:themeColor="text1"/>
          <w:sz w:val="22"/>
          <w:szCs w:val="22"/>
        </w:rPr>
        <w:t>Author:</w:t>
      </w:r>
      <w:r w:rsidRPr="0056679A">
        <w:rPr>
          <w:rFonts w:cs="Arial"/>
          <w:color w:val="000000" w:themeColor="text1"/>
          <w:sz w:val="22"/>
          <w:szCs w:val="22"/>
        </w:rPr>
        <w:t xml:space="preserve"> </w:t>
      </w:r>
      <w:r w:rsidR="00F4504F" w:rsidRPr="0056679A">
        <w:rPr>
          <w:rFonts w:cs="Arial"/>
          <w:color w:val="000000" w:themeColor="text1"/>
          <w:sz w:val="22"/>
          <w:szCs w:val="22"/>
        </w:rPr>
        <w:t>Lucy Johnson</w:t>
      </w:r>
    </w:p>
    <w:p w:rsidR="00012C91" w:rsidRPr="00AE299A" w:rsidRDefault="00E746AC" w:rsidP="005B2B0D">
      <w:pPr>
        <w:spacing w:before="120" w:line="288" w:lineRule="auto"/>
        <w:ind w:left="3969"/>
        <w:rPr>
          <w:rFonts w:cs="Arial"/>
          <w:color w:val="000000" w:themeColor="text1"/>
          <w:sz w:val="22"/>
          <w:szCs w:val="22"/>
        </w:rPr>
      </w:pPr>
      <w:r w:rsidRPr="0056679A">
        <w:rPr>
          <w:rFonts w:cs="Arial"/>
          <w:b/>
          <w:color w:val="000000" w:themeColor="text1"/>
          <w:sz w:val="22"/>
          <w:szCs w:val="22"/>
        </w:rPr>
        <w:t>Date:</w:t>
      </w:r>
      <w:r w:rsidR="0056679A" w:rsidRPr="0056679A">
        <w:rPr>
          <w:rFonts w:cs="Arial"/>
          <w:b/>
          <w:color w:val="000000" w:themeColor="text1"/>
          <w:sz w:val="22"/>
          <w:szCs w:val="22"/>
        </w:rPr>
        <w:t xml:space="preserve"> </w:t>
      </w:r>
      <w:r w:rsidR="00E2453E">
        <w:rPr>
          <w:rFonts w:cs="Arial"/>
          <w:color w:val="000000" w:themeColor="text1"/>
          <w:sz w:val="22"/>
          <w:szCs w:val="22"/>
        </w:rPr>
        <w:t>02 October</w:t>
      </w:r>
      <w:r w:rsidR="00E90B83">
        <w:rPr>
          <w:rFonts w:cs="Arial"/>
          <w:color w:val="000000" w:themeColor="text1"/>
          <w:sz w:val="22"/>
          <w:szCs w:val="22"/>
        </w:rPr>
        <w:t xml:space="preserve"> 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B41F88" w:rsidRDefault="003D10E0" w:rsidP="003D10E0">
      <w:pPr>
        <w:pStyle w:val="ListParagraph"/>
        <w:numPr>
          <w:ilvl w:val="0"/>
          <w:numId w:val="18"/>
        </w:numPr>
      </w:pPr>
      <w:r>
        <w:t>Introduction</w:t>
      </w:r>
      <w:r>
        <w:tab/>
      </w:r>
      <w:r>
        <w:tab/>
      </w:r>
      <w:r>
        <w:tab/>
      </w:r>
      <w:r>
        <w:tab/>
      </w:r>
      <w:r>
        <w:tab/>
      </w:r>
      <w:r>
        <w:tab/>
      </w:r>
      <w:r>
        <w:tab/>
      </w:r>
      <w:r w:rsidR="00F165FD">
        <w:t>3</w:t>
      </w:r>
    </w:p>
    <w:p w:rsidR="003D10E0" w:rsidRDefault="003D10E0" w:rsidP="00C57AC6">
      <w:pPr>
        <w:pStyle w:val="ListParagraph"/>
      </w:pPr>
      <w:r>
        <w:t>1.1</w:t>
      </w:r>
      <w:r>
        <w:tab/>
        <w:t>Company Background</w:t>
      </w:r>
      <w:r>
        <w:tab/>
      </w:r>
      <w:r>
        <w:tab/>
      </w:r>
      <w:r>
        <w:tab/>
      </w:r>
      <w:r>
        <w:tab/>
      </w:r>
      <w:r>
        <w:tab/>
      </w:r>
      <w:r w:rsidR="00B41F88">
        <w:t>3</w:t>
      </w:r>
    </w:p>
    <w:p w:rsidR="003D10E0" w:rsidRDefault="001633F4" w:rsidP="003D10E0">
      <w:pPr>
        <w:pStyle w:val="ListParagraph"/>
      </w:pPr>
      <w:r>
        <w:t>1.2</w:t>
      </w:r>
      <w:r>
        <w:tab/>
        <w:t>Project Background</w:t>
      </w:r>
      <w:r>
        <w:tab/>
      </w:r>
      <w:r>
        <w:tab/>
      </w:r>
      <w:r>
        <w:tab/>
      </w:r>
      <w:r>
        <w:tab/>
      </w:r>
      <w:r>
        <w:tab/>
      </w:r>
      <w:r w:rsidR="00B41F88">
        <w:t>3</w:t>
      </w:r>
    </w:p>
    <w:p w:rsidR="003D10E0" w:rsidRDefault="003D10E0" w:rsidP="003D10E0">
      <w:pPr>
        <w:pStyle w:val="ListParagraph"/>
      </w:pPr>
      <w:r>
        <w:t>1.3</w:t>
      </w:r>
      <w:r>
        <w:tab/>
        <w:t>High Level Overview of Re</w:t>
      </w:r>
      <w:r w:rsidR="00F165FD">
        <w:t>quirements</w:t>
      </w:r>
      <w:r w:rsidR="00F165FD">
        <w:tab/>
      </w:r>
      <w:r w:rsidR="00F165FD">
        <w:tab/>
      </w:r>
      <w:r w:rsidR="00F165FD">
        <w:tab/>
        <w:t>4</w:t>
      </w:r>
    </w:p>
    <w:p w:rsidR="00083F40" w:rsidRDefault="00097D5A" w:rsidP="00710432">
      <w:pPr>
        <w:pStyle w:val="ListParagraph"/>
      </w:pPr>
      <w:r>
        <w:t>1.4</w:t>
      </w:r>
      <w:r>
        <w:tab/>
      </w:r>
      <w:r w:rsidR="008048E0">
        <w:t>Existing Solution</w:t>
      </w:r>
      <w:r w:rsidR="007D2610">
        <w:tab/>
      </w:r>
      <w:r w:rsidR="007D2610">
        <w:tab/>
      </w:r>
      <w:r w:rsidR="007D2610">
        <w:tab/>
      </w:r>
      <w:r w:rsidR="007D2610">
        <w:tab/>
      </w:r>
      <w:r w:rsidR="007D2610">
        <w:tab/>
      </w:r>
      <w:r w:rsidR="007D2610">
        <w:tab/>
      </w:r>
      <w:r w:rsidR="00F165FD">
        <w:t>4</w:t>
      </w:r>
    </w:p>
    <w:p w:rsidR="008048E0" w:rsidRDefault="008048E0" w:rsidP="008048E0">
      <w:pPr>
        <w:pStyle w:val="ListParagraph"/>
        <w:numPr>
          <w:ilvl w:val="0"/>
          <w:numId w:val="18"/>
        </w:numPr>
      </w:pPr>
      <w:r>
        <w:t>Tender Instruction</w:t>
      </w:r>
      <w:r>
        <w:tab/>
        <w:t>s</w:t>
      </w:r>
      <w:r>
        <w:tab/>
      </w:r>
      <w:r>
        <w:tab/>
      </w:r>
      <w:r>
        <w:tab/>
      </w:r>
      <w:r>
        <w:tab/>
      </w:r>
      <w:r>
        <w:tab/>
      </w:r>
      <w:r>
        <w:tab/>
      </w:r>
      <w:r w:rsidR="001633F4">
        <w:t>5</w:t>
      </w:r>
    </w:p>
    <w:p w:rsidR="008048E0" w:rsidRDefault="008048E0" w:rsidP="008048E0">
      <w:pPr>
        <w:pStyle w:val="ListParagraph"/>
      </w:pPr>
      <w:r>
        <w:t>2.1</w:t>
      </w:r>
      <w:r>
        <w:tab/>
        <w:t>Introduction</w:t>
      </w:r>
      <w:r>
        <w:tab/>
      </w:r>
      <w:r>
        <w:tab/>
      </w:r>
      <w:r>
        <w:tab/>
      </w:r>
      <w:r>
        <w:tab/>
      </w:r>
      <w:r>
        <w:tab/>
      </w:r>
      <w:r>
        <w:tab/>
      </w:r>
      <w:r w:rsidR="001633F4">
        <w:t>5</w:t>
      </w:r>
    </w:p>
    <w:p w:rsidR="009F4167" w:rsidRDefault="009F4167" w:rsidP="009F4167">
      <w:pPr>
        <w:pStyle w:val="ListParagraph"/>
      </w:pPr>
      <w:r>
        <w:t>2.2</w:t>
      </w:r>
      <w:r>
        <w:tab/>
        <w:t>General</w:t>
      </w:r>
      <w:r>
        <w:tab/>
      </w:r>
      <w:r>
        <w:tab/>
      </w:r>
      <w:r>
        <w:tab/>
      </w:r>
      <w:r>
        <w:tab/>
      </w:r>
      <w:r>
        <w:tab/>
      </w:r>
      <w:r>
        <w:tab/>
      </w:r>
      <w:r>
        <w:tab/>
        <w:t>5</w:t>
      </w:r>
    </w:p>
    <w:p w:rsidR="00822A95" w:rsidRDefault="008048E0" w:rsidP="008048E0">
      <w:pPr>
        <w:pStyle w:val="ListParagraph"/>
      </w:pPr>
      <w:r>
        <w:t>2.</w:t>
      </w:r>
      <w:r w:rsidR="009F4167">
        <w:t>3</w:t>
      </w:r>
      <w:r>
        <w:tab/>
        <w:t>Confidentiality and Non-Disclosure</w:t>
      </w:r>
      <w:r>
        <w:tab/>
      </w:r>
      <w:r>
        <w:tab/>
      </w:r>
      <w:r>
        <w:tab/>
      </w:r>
      <w:r>
        <w:tab/>
      </w:r>
      <w:r w:rsidR="00F165FD">
        <w:t>6</w:t>
      </w:r>
    </w:p>
    <w:p w:rsidR="008048E0" w:rsidRDefault="008048E0" w:rsidP="008048E0">
      <w:pPr>
        <w:pStyle w:val="ListParagraph"/>
      </w:pPr>
      <w:r>
        <w:t>2.</w:t>
      </w:r>
      <w:r w:rsidR="009F4167">
        <w:t>4</w:t>
      </w:r>
      <w:r>
        <w:tab/>
        <w:t>Accuracy of Information and Liability of NML</w:t>
      </w:r>
      <w:r>
        <w:tab/>
      </w:r>
      <w:r>
        <w:tab/>
      </w:r>
      <w:r>
        <w:tab/>
      </w:r>
      <w:r w:rsidR="00B132D5">
        <w:t>6</w:t>
      </w:r>
    </w:p>
    <w:p w:rsidR="008048E0" w:rsidRDefault="008048E0" w:rsidP="008048E0">
      <w:pPr>
        <w:pStyle w:val="ListParagraph"/>
      </w:pPr>
      <w:r>
        <w:t>2.</w:t>
      </w:r>
      <w:r w:rsidR="009F4167">
        <w:t>5</w:t>
      </w:r>
      <w:r>
        <w:tab/>
      </w:r>
      <w:r w:rsidR="00EB7FAE">
        <w:t>Cost of Preparation</w:t>
      </w:r>
      <w:r>
        <w:tab/>
      </w:r>
      <w:r>
        <w:tab/>
      </w:r>
      <w:r>
        <w:tab/>
      </w:r>
      <w:r>
        <w:tab/>
      </w:r>
      <w:r>
        <w:tab/>
      </w:r>
      <w:r w:rsidR="00F165FD">
        <w:t>7</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B132D5">
        <w:t>7</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B132D5">
        <w:t>7</w:t>
      </w:r>
    </w:p>
    <w:p w:rsidR="00EB7FAE" w:rsidRDefault="00EB7FAE" w:rsidP="00EB7FAE">
      <w:pPr>
        <w:pStyle w:val="ListParagraph"/>
      </w:pPr>
      <w:r>
        <w:t>2.</w:t>
      </w:r>
      <w:r w:rsidR="009F4167">
        <w:t>8</w:t>
      </w:r>
      <w:r>
        <w:tab/>
        <w:t>Payments Against a Contract Award</w:t>
      </w:r>
      <w:r>
        <w:tab/>
      </w:r>
      <w:r>
        <w:tab/>
      </w:r>
      <w:r>
        <w:tab/>
      </w:r>
      <w:r>
        <w:tab/>
      </w:r>
      <w:r w:rsidR="00B132D5">
        <w:t>7</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B132D5">
        <w:t>7</w:t>
      </w:r>
    </w:p>
    <w:p w:rsidR="00EB7FAE" w:rsidRDefault="00EB7FAE" w:rsidP="00EB7FAE">
      <w:pPr>
        <w:pStyle w:val="ListParagraph"/>
      </w:pPr>
      <w:r>
        <w:t>2.</w:t>
      </w:r>
      <w:r w:rsidR="009F4167">
        <w:t>10</w:t>
      </w:r>
      <w:r>
        <w:tab/>
        <w:t>Amendments to the Tender</w:t>
      </w:r>
      <w:r>
        <w:tab/>
      </w:r>
      <w:r>
        <w:tab/>
      </w:r>
      <w:r>
        <w:tab/>
      </w:r>
      <w:r>
        <w:tab/>
      </w:r>
      <w:r>
        <w:tab/>
      </w:r>
      <w:r w:rsidR="00B132D5">
        <w:t>7</w:t>
      </w:r>
    </w:p>
    <w:p w:rsidR="00083F40" w:rsidRDefault="009F4167" w:rsidP="00710432">
      <w:pPr>
        <w:pStyle w:val="ListParagraph"/>
      </w:pPr>
      <w:r>
        <w:t>2.11</w:t>
      </w:r>
      <w:r>
        <w:tab/>
        <w:t>Responding to the Tender</w:t>
      </w:r>
      <w:r>
        <w:tab/>
      </w:r>
      <w:r>
        <w:tab/>
      </w:r>
      <w:r>
        <w:tab/>
      </w:r>
      <w:r>
        <w:tab/>
      </w:r>
      <w:r>
        <w:tab/>
      </w:r>
      <w:r w:rsidR="00B132D5">
        <w:t>7</w:t>
      </w:r>
    </w:p>
    <w:p w:rsidR="006F0DF0" w:rsidRDefault="006F0DF0" w:rsidP="006F0DF0">
      <w:pPr>
        <w:pStyle w:val="ListParagraph"/>
        <w:numPr>
          <w:ilvl w:val="0"/>
          <w:numId w:val="18"/>
        </w:numPr>
      </w:pPr>
      <w:r>
        <w:t>Tender Timing, Scoring and Process</w:t>
      </w:r>
      <w:r>
        <w:tab/>
      </w:r>
      <w:r>
        <w:tab/>
      </w:r>
      <w:r>
        <w:tab/>
      </w:r>
      <w:r>
        <w:tab/>
      </w:r>
      <w:r>
        <w:tab/>
      </w:r>
      <w:r w:rsidR="00F165FD">
        <w:t>9</w:t>
      </w:r>
    </w:p>
    <w:p w:rsidR="00535C01" w:rsidRDefault="00535C01" w:rsidP="00535C01">
      <w:pPr>
        <w:pStyle w:val="ListParagraph"/>
      </w:pPr>
      <w:r>
        <w:t>3.1</w:t>
      </w:r>
      <w:r w:rsidR="006F0DF0">
        <w:tab/>
        <w:t>Quest</w:t>
      </w:r>
      <w:r w:rsidR="005D63B3">
        <w:t xml:space="preserve">ions and Additional Information   </w:t>
      </w:r>
      <w:r w:rsidR="006F0DF0">
        <w:tab/>
      </w:r>
      <w:r w:rsidR="006F0DF0">
        <w:tab/>
      </w:r>
      <w:r w:rsidR="006F0DF0">
        <w:tab/>
      </w:r>
      <w:r w:rsidR="00F165FD">
        <w:t>9</w:t>
      </w:r>
    </w:p>
    <w:p w:rsidR="00E34909" w:rsidRDefault="00535C01" w:rsidP="006F0DF0">
      <w:pPr>
        <w:pStyle w:val="ListParagraph"/>
      </w:pPr>
      <w:r>
        <w:t>3.</w:t>
      </w:r>
      <w:r w:rsidR="005D63B3">
        <w:t>2</w:t>
      </w:r>
      <w:r w:rsidR="006F0DF0">
        <w:tab/>
      </w:r>
      <w:r w:rsidR="00E34909">
        <w:t>Site Visit                                                                                           9</w:t>
      </w:r>
    </w:p>
    <w:p w:rsidR="006F0DF0" w:rsidRDefault="00E34909" w:rsidP="006F0DF0">
      <w:pPr>
        <w:pStyle w:val="ListParagraph"/>
      </w:pPr>
      <w:r>
        <w:t xml:space="preserve">3.3         </w:t>
      </w:r>
      <w:r w:rsidR="006F0DF0">
        <w:t>Target Timetable</w:t>
      </w:r>
      <w:r w:rsidR="006F0DF0">
        <w:tab/>
      </w:r>
      <w:r w:rsidR="006F0DF0">
        <w:tab/>
      </w:r>
      <w:r w:rsidR="006F0DF0">
        <w:tab/>
      </w:r>
      <w:r w:rsidR="006F0DF0">
        <w:tab/>
      </w:r>
      <w:r w:rsidR="006F0DF0">
        <w:tab/>
      </w:r>
      <w:r w:rsidR="001633F4">
        <w:tab/>
      </w:r>
      <w:r w:rsidR="00F165FD">
        <w:t>9</w:t>
      </w:r>
      <w:r w:rsidR="006F0DF0">
        <w:tab/>
      </w:r>
    </w:p>
    <w:p w:rsidR="006F0DF0" w:rsidRDefault="005D63B3" w:rsidP="006F0DF0">
      <w:pPr>
        <w:pStyle w:val="ListParagraph"/>
      </w:pPr>
      <w:r>
        <w:t>3.3</w:t>
      </w:r>
      <w:r w:rsidR="006F0DF0">
        <w:tab/>
      </w:r>
      <w:r w:rsidR="00F165FD">
        <w:t>Timing and Delivery</w:t>
      </w:r>
      <w:r w:rsidR="00F165FD">
        <w:tab/>
      </w:r>
      <w:r w:rsidR="00F165FD">
        <w:tab/>
      </w:r>
      <w:r w:rsidR="00F165FD">
        <w:tab/>
      </w:r>
      <w:r w:rsidR="00F165FD">
        <w:tab/>
        <w:t xml:space="preserve">               9</w:t>
      </w:r>
      <w:r w:rsidR="00084C2C">
        <w:tab/>
      </w:r>
    </w:p>
    <w:p w:rsidR="00083F40" w:rsidRDefault="005D63B3" w:rsidP="00710432">
      <w:pPr>
        <w:pStyle w:val="ListParagraph"/>
      </w:pPr>
      <w:r>
        <w:t>3.4</w:t>
      </w:r>
      <w:r w:rsidR="001633F4">
        <w:tab/>
        <w:t>Evaluation</w:t>
      </w:r>
      <w:r w:rsidR="001633F4">
        <w:tab/>
      </w:r>
      <w:r w:rsidR="001633F4">
        <w:tab/>
      </w:r>
      <w:r w:rsidR="001633F4">
        <w:tab/>
      </w:r>
      <w:r w:rsidR="001633F4">
        <w:tab/>
      </w:r>
      <w:r w:rsidR="001633F4">
        <w:tab/>
      </w:r>
      <w:r w:rsidR="001633F4">
        <w:tab/>
      </w:r>
      <w:r w:rsidR="00F165FD">
        <w:t>10</w:t>
      </w: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F165FD">
        <w:t>11</w:t>
      </w:r>
    </w:p>
    <w:p w:rsidR="00084C2C" w:rsidRDefault="001633F4" w:rsidP="00EB7FAE">
      <w:pPr>
        <w:pStyle w:val="ListParagraph"/>
      </w:pPr>
      <w:r>
        <w:t>4.1</w:t>
      </w:r>
      <w:r>
        <w:tab/>
        <w:t>Introduction</w:t>
      </w:r>
      <w:r>
        <w:tab/>
      </w:r>
      <w:r>
        <w:tab/>
      </w:r>
      <w:r>
        <w:tab/>
      </w:r>
      <w:r>
        <w:tab/>
      </w:r>
      <w:r>
        <w:tab/>
      </w:r>
      <w:r>
        <w:tab/>
      </w:r>
      <w:r w:rsidR="00B132D5">
        <w:t>11</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B132D5">
        <w:t>11</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F165FD">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F165FD">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F165FD">
        <w:t>2</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F165FD">
        <w:t>2</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F165FD">
        <w:t>2</w:t>
      </w:r>
    </w:p>
    <w:p w:rsidR="00EB7FAE" w:rsidRDefault="001633F4" w:rsidP="001633F4">
      <w:pPr>
        <w:ind w:firstLine="709"/>
      </w:pPr>
      <w:r>
        <w:t>4.4</w:t>
      </w:r>
      <w:r w:rsidR="00EB7FAE">
        <w:tab/>
        <w:t>NML Security and Health &amp; Safety Requirements</w:t>
      </w:r>
      <w:r w:rsidR="00EB7FAE">
        <w:tab/>
      </w:r>
      <w:r>
        <w:tab/>
        <w:t>1</w:t>
      </w:r>
      <w:r w:rsidR="00F165FD">
        <w:t>2</w:t>
      </w:r>
    </w:p>
    <w:p w:rsidR="009C597D" w:rsidRDefault="009C597D" w:rsidP="009C597D">
      <w:pPr>
        <w:ind w:firstLine="709"/>
      </w:pPr>
      <w:r>
        <w:t>4.5</w:t>
      </w:r>
      <w:r>
        <w:tab/>
        <w:t>NML Procurement P</w:t>
      </w:r>
      <w:r w:rsidR="00E36462">
        <w:t>rotocol</w:t>
      </w:r>
      <w:r w:rsidR="00B41F88">
        <w:tab/>
      </w:r>
      <w:r w:rsidR="00B41F88">
        <w:tab/>
      </w:r>
      <w:r w:rsidR="00B41F88">
        <w:tab/>
      </w:r>
      <w:r w:rsidR="00B41F88">
        <w:tab/>
      </w:r>
      <w:r w:rsidR="00B41F88">
        <w:tab/>
        <w:t>1</w:t>
      </w:r>
      <w:r w:rsidR="00F165FD">
        <w:t>2</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F165FD">
        <w:t>3</w:t>
      </w:r>
    </w:p>
    <w:p w:rsidR="00EB7FAE" w:rsidRDefault="001633F4" w:rsidP="00084C2C">
      <w:pPr>
        <w:ind w:firstLine="709"/>
      </w:pPr>
      <w:r>
        <w:t>4.</w:t>
      </w:r>
      <w:r w:rsidR="009C597D">
        <w:t>7</w:t>
      </w:r>
      <w:r w:rsidR="00EB7FAE">
        <w:tab/>
      </w:r>
      <w:r w:rsidR="00B41F88">
        <w:t>Costs</w:t>
      </w:r>
      <w:r w:rsidR="00EB7FAE">
        <w:tab/>
      </w:r>
      <w:r w:rsidR="00EB7FAE">
        <w:tab/>
      </w:r>
      <w:r w:rsidR="00EB7FAE">
        <w:tab/>
      </w:r>
      <w:r w:rsidR="00084C2C">
        <w:tab/>
      </w:r>
      <w:r w:rsidR="00F165FD">
        <w:t xml:space="preserve">                                             13</w:t>
      </w:r>
    </w:p>
    <w:p w:rsidR="001633F4" w:rsidRDefault="001633F4" w:rsidP="00084C2C">
      <w:pPr>
        <w:ind w:firstLine="709"/>
      </w:pPr>
      <w:r>
        <w:t>4.</w:t>
      </w:r>
      <w:r w:rsidR="009C597D">
        <w:t>8</w:t>
      </w:r>
      <w:r w:rsidR="00B41F88">
        <w:tab/>
        <w:t>Cont</w:t>
      </w:r>
      <w:r w:rsidR="00A217FD">
        <w:t>r</w:t>
      </w:r>
      <w:r w:rsidR="00B41F88">
        <w:t>act</w:t>
      </w:r>
      <w:r w:rsidR="00A217FD">
        <w:t>ual considerations</w:t>
      </w:r>
      <w:r>
        <w:tab/>
      </w:r>
      <w:r>
        <w:tab/>
      </w:r>
      <w:r>
        <w:tab/>
      </w:r>
      <w:r>
        <w:tab/>
      </w:r>
      <w:r>
        <w:tab/>
        <w:t>1</w:t>
      </w:r>
      <w:r w:rsidR="00F165FD">
        <w:t>3</w:t>
      </w:r>
    </w:p>
    <w:p w:rsidR="00B41F88" w:rsidRPr="00B41F88" w:rsidRDefault="00841D15" w:rsidP="00B41F88">
      <w:pPr>
        <w:ind w:firstLine="709"/>
        <w:rPr>
          <w:rFonts w:cs="Arial"/>
          <w:szCs w:val="18"/>
        </w:rPr>
      </w:pPr>
      <w:r>
        <w:t>4.</w:t>
      </w:r>
      <w:r w:rsidR="009C597D">
        <w:t>9</w:t>
      </w:r>
      <w:r>
        <w:t xml:space="preserve"> </w:t>
      </w:r>
      <w:r>
        <w:tab/>
      </w:r>
      <w:r w:rsidR="00A217FD" w:rsidRPr="00B41F88">
        <w:rPr>
          <w:rFonts w:cs="Arial"/>
          <w:szCs w:val="18"/>
        </w:rPr>
        <w:t>Attachments included as part of tender documentation</w:t>
      </w:r>
      <w:r w:rsidR="00A217FD">
        <w:rPr>
          <w:rFonts w:cs="Arial"/>
          <w:szCs w:val="18"/>
        </w:rPr>
        <w:t xml:space="preserve">             </w:t>
      </w:r>
      <w:r w:rsidR="00F165FD">
        <w:rPr>
          <w:rFonts w:cs="Arial"/>
          <w:szCs w:val="18"/>
        </w:rPr>
        <w:t>13</w:t>
      </w:r>
    </w:p>
    <w:p w:rsidR="000D53B9" w:rsidRPr="00710432" w:rsidRDefault="00B41F88" w:rsidP="00710432">
      <w:pPr>
        <w:ind w:firstLine="709"/>
        <w:rPr>
          <w:rFonts w:cs="Arial"/>
          <w:szCs w:val="18"/>
        </w:rPr>
      </w:pPr>
      <w:r w:rsidRPr="00B41F88">
        <w:rPr>
          <w:rFonts w:cs="Arial"/>
          <w:szCs w:val="18"/>
        </w:rPr>
        <w:t xml:space="preserve">4.10        </w:t>
      </w:r>
      <w:r w:rsidR="00A217FD" w:rsidRPr="00B41F88">
        <w:rPr>
          <w:rFonts w:cs="Arial"/>
          <w:szCs w:val="18"/>
        </w:rPr>
        <w:t>Summary of Documents to be returned as part of Submission</w:t>
      </w:r>
      <w:r w:rsidR="00A217FD">
        <w:rPr>
          <w:rFonts w:cs="Arial"/>
          <w:szCs w:val="18"/>
        </w:rPr>
        <w:tab/>
      </w:r>
      <w:r w:rsidR="00F165FD">
        <w:rPr>
          <w:rFonts w:cs="Arial"/>
          <w:szCs w:val="18"/>
        </w:rPr>
        <w:t>13</w:t>
      </w:r>
    </w:p>
    <w:p w:rsidR="00EB7FAE" w:rsidRDefault="00EB7FAE" w:rsidP="000D53B9">
      <w:pPr>
        <w:pStyle w:val="ListParagraph"/>
        <w:numPr>
          <w:ilvl w:val="0"/>
          <w:numId w:val="18"/>
        </w:numPr>
      </w:pPr>
      <w:r>
        <w:t>Requirements Specification</w:t>
      </w:r>
      <w:r>
        <w:tab/>
      </w:r>
      <w:r>
        <w:tab/>
      </w:r>
      <w:r>
        <w:tab/>
      </w:r>
      <w:r>
        <w:tab/>
      </w:r>
      <w:r>
        <w:tab/>
      </w:r>
      <w:r>
        <w:tab/>
      </w:r>
      <w:r w:rsidR="001633F4">
        <w:t>1</w:t>
      </w:r>
      <w:r w:rsidR="00F165FD">
        <w:t>4</w:t>
      </w:r>
    </w:p>
    <w:p w:rsidR="00EB7FAE" w:rsidRDefault="001633F4" w:rsidP="005D63B3">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F165FD">
        <w:t>4</w:t>
      </w:r>
      <w:r w:rsidR="005D63B3">
        <w:tab/>
      </w:r>
    </w:p>
    <w:p w:rsidR="00EB7FAE" w:rsidRDefault="001633F4" w:rsidP="00EB7FAE">
      <w:pPr>
        <w:pStyle w:val="ListParagraph"/>
      </w:pPr>
      <w:r>
        <w:t>5</w:t>
      </w:r>
      <w:r w:rsidR="005D63B3">
        <w:t>.2</w:t>
      </w:r>
      <w:r w:rsidR="00EB7FAE">
        <w:tab/>
      </w:r>
      <w:r w:rsidR="00AB54B5">
        <w:t xml:space="preserve">Detailed Specification of </w:t>
      </w:r>
      <w:r w:rsidR="00EB7FAE">
        <w:t xml:space="preserve">Requirements </w:t>
      </w:r>
      <w:r w:rsidR="00EB7FAE">
        <w:tab/>
      </w:r>
      <w:r w:rsidR="00EB7FAE">
        <w:tab/>
      </w:r>
      <w:r w:rsidR="00EB7FAE">
        <w:tab/>
      </w:r>
      <w:r>
        <w:t>1</w:t>
      </w:r>
      <w:r w:rsidR="00F165FD">
        <w:t>4</w:t>
      </w:r>
    </w:p>
    <w:p w:rsidR="000214D8" w:rsidRDefault="001633F4" w:rsidP="000214D8">
      <w:pPr>
        <w:pStyle w:val="ListParagraph"/>
      </w:pPr>
      <w:r>
        <w:t>5</w:t>
      </w:r>
      <w:r w:rsidR="00710432">
        <w:t>.3</w:t>
      </w:r>
      <w:r w:rsidR="00EB7FAE">
        <w:tab/>
      </w:r>
      <w:r w:rsidR="00AB54B5">
        <w:t xml:space="preserve">Implementation / Installation </w:t>
      </w:r>
      <w:r>
        <w:tab/>
      </w:r>
      <w:r w:rsidR="00EB7FAE">
        <w:t xml:space="preserve"> </w:t>
      </w:r>
      <w:r w:rsidR="00EB7FAE">
        <w:tab/>
      </w:r>
      <w:r w:rsidR="00A61D4E">
        <w:t xml:space="preserve">                              14</w:t>
      </w:r>
    </w:p>
    <w:p w:rsidR="000214D8" w:rsidRDefault="00EB7FAE" w:rsidP="000214D8">
      <w:pPr>
        <w:pStyle w:val="ListParagraph"/>
      </w:pPr>
      <w:r>
        <w:tab/>
      </w:r>
      <w:r>
        <w:tab/>
      </w:r>
    </w:p>
    <w:p w:rsidR="000214D8" w:rsidRPr="000214D8" w:rsidRDefault="000214D8" w:rsidP="000214D8">
      <w:pPr>
        <w:spacing w:line="240" w:lineRule="auto"/>
        <w:ind w:left="720"/>
        <w:rPr>
          <w:rFonts w:cs="Arial"/>
          <w:color w:val="000000" w:themeColor="text1"/>
          <w:szCs w:val="18"/>
        </w:rPr>
      </w:pPr>
      <w:bookmarkStart w:id="2" w:name="_Toc148507570"/>
      <w:bookmarkEnd w:id="0"/>
      <w:bookmarkEnd w:id="1"/>
      <w:r w:rsidRPr="000214D8">
        <w:rPr>
          <w:rFonts w:cs="Arial"/>
          <w:color w:val="000000" w:themeColor="text1"/>
          <w:szCs w:val="18"/>
        </w:rPr>
        <w:t>Appendix A – T2 Form of Tender</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B – NML Supplemental Condition</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C – NML Safety Guidelines for Contractors</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D – NML H&amp;S Questionnaire</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Appendix E – NML Procurement Protocol</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 xml:space="preserve">Appendix F – </w:t>
      </w:r>
      <w:r w:rsidR="00AA310E">
        <w:rPr>
          <w:rFonts w:cs="Arial"/>
          <w:color w:val="000000" w:themeColor="text1"/>
          <w:szCs w:val="18"/>
        </w:rPr>
        <w:t>Plinths drawing</w:t>
      </w:r>
      <w:r w:rsidRPr="000214D8">
        <w:rPr>
          <w:rFonts w:cs="Arial"/>
          <w:color w:val="000000" w:themeColor="text1"/>
          <w:szCs w:val="18"/>
        </w:rPr>
        <w:t xml:space="preserve"> SCHEDULE </w:t>
      </w:r>
    </w:p>
    <w:p w:rsidR="000214D8" w:rsidRPr="000214D8" w:rsidRDefault="00AA310E" w:rsidP="000214D8">
      <w:pPr>
        <w:spacing w:line="240" w:lineRule="auto"/>
        <w:ind w:left="720"/>
        <w:rPr>
          <w:rFonts w:cs="Arial"/>
          <w:color w:val="000000" w:themeColor="text1"/>
          <w:szCs w:val="18"/>
        </w:rPr>
      </w:pPr>
      <w:r>
        <w:rPr>
          <w:rFonts w:cs="Arial"/>
          <w:color w:val="000000" w:themeColor="text1"/>
          <w:szCs w:val="18"/>
        </w:rPr>
        <w:t>Appendix G – Plinths</w:t>
      </w:r>
      <w:r w:rsidR="000214D8" w:rsidRPr="000214D8">
        <w:rPr>
          <w:rFonts w:cs="Arial"/>
          <w:color w:val="000000" w:themeColor="text1"/>
          <w:szCs w:val="18"/>
        </w:rPr>
        <w:t xml:space="preserve"> BRIEF (drawings)</w:t>
      </w:r>
    </w:p>
    <w:p w:rsidR="000214D8" w:rsidRPr="000214D8" w:rsidRDefault="000214D8" w:rsidP="000214D8">
      <w:pPr>
        <w:spacing w:line="240" w:lineRule="auto"/>
        <w:ind w:left="720"/>
        <w:rPr>
          <w:rFonts w:cs="Arial"/>
          <w:color w:val="000000" w:themeColor="text1"/>
          <w:szCs w:val="18"/>
        </w:rPr>
      </w:pPr>
      <w:r w:rsidRPr="000214D8">
        <w:rPr>
          <w:rFonts w:cs="Arial"/>
          <w:color w:val="000000" w:themeColor="text1"/>
          <w:szCs w:val="18"/>
        </w:rPr>
        <w:t xml:space="preserve">Appendix H – NML </w:t>
      </w:r>
      <w:r w:rsidR="00AA310E">
        <w:rPr>
          <w:rFonts w:cs="Arial"/>
          <w:color w:val="000000" w:themeColor="text1"/>
          <w:szCs w:val="18"/>
        </w:rPr>
        <w:t>Performance Specification</w:t>
      </w:r>
    </w:p>
    <w:p w:rsidR="00A61D4E" w:rsidRPr="000214D8" w:rsidRDefault="00A61D4E" w:rsidP="00A61D4E">
      <w:pPr>
        <w:spacing w:line="240" w:lineRule="auto"/>
        <w:ind w:left="720"/>
        <w:rPr>
          <w:rFonts w:cs="Arial"/>
          <w:color w:val="000000" w:themeColor="text1"/>
          <w:szCs w:val="18"/>
        </w:rPr>
      </w:pPr>
      <w:r>
        <w:rPr>
          <w:rFonts w:cs="Arial"/>
          <w:color w:val="000000" w:themeColor="text1"/>
          <w:szCs w:val="18"/>
        </w:rPr>
        <w:t>Appendix I  – Tender Pricing Document</w:t>
      </w:r>
    </w:p>
    <w:p w:rsidR="00A61D4E" w:rsidRPr="000214D8" w:rsidRDefault="00A61D4E" w:rsidP="00A61D4E">
      <w:pPr>
        <w:spacing w:line="240" w:lineRule="auto"/>
        <w:ind w:left="720"/>
        <w:rPr>
          <w:rFonts w:cs="Arial"/>
          <w:color w:val="000000" w:themeColor="text1"/>
          <w:szCs w:val="18"/>
        </w:rPr>
      </w:pPr>
      <w:r>
        <w:rPr>
          <w:rFonts w:cs="Arial"/>
          <w:color w:val="000000" w:themeColor="text1"/>
          <w:szCs w:val="18"/>
        </w:rPr>
        <w:t>Appendix J</w:t>
      </w:r>
      <w:r w:rsidRPr="000214D8">
        <w:rPr>
          <w:rFonts w:cs="Arial"/>
          <w:color w:val="000000" w:themeColor="text1"/>
          <w:szCs w:val="18"/>
        </w:rPr>
        <w:t xml:space="preserve"> – </w:t>
      </w:r>
      <w:r>
        <w:rPr>
          <w:rFonts w:cs="Arial"/>
          <w:color w:val="000000" w:themeColor="text1"/>
          <w:szCs w:val="18"/>
        </w:rPr>
        <w:t>Change Control Process</w:t>
      </w:r>
    </w:p>
    <w:p w:rsidR="00084C2C" w:rsidRDefault="00A61D4E" w:rsidP="00A61D4E">
      <w:pPr>
        <w:spacing w:line="240" w:lineRule="auto"/>
        <w:ind w:left="720"/>
        <w:rPr>
          <w:rFonts w:cs="Arial"/>
          <w:color w:val="000000" w:themeColor="text1"/>
          <w:szCs w:val="18"/>
        </w:rPr>
      </w:pPr>
      <w:r>
        <w:rPr>
          <w:rFonts w:cs="Arial"/>
          <w:color w:val="000000" w:themeColor="text1"/>
          <w:szCs w:val="18"/>
        </w:rPr>
        <w:t>Appendix K</w:t>
      </w:r>
      <w:r w:rsidRPr="000214D8">
        <w:rPr>
          <w:rFonts w:cs="Arial"/>
          <w:color w:val="000000" w:themeColor="text1"/>
          <w:szCs w:val="18"/>
        </w:rPr>
        <w:t xml:space="preserve"> – </w:t>
      </w:r>
      <w:r w:rsidR="00990724">
        <w:rPr>
          <w:rFonts w:cs="Arial"/>
          <w:color w:val="000000" w:themeColor="text1"/>
          <w:szCs w:val="18"/>
        </w:rPr>
        <w:t>Preliminaries</w:t>
      </w:r>
    </w:p>
    <w:p w:rsidR="00990724" w:rsidRPr="00A61D4E" w:rsidRDefault="00990724" w:rsidP="00A61D4E">
      <w:pPr>
        <w:spacing w:line="240" w:lineRule="auto"/>
        <w:ind w:left="720"/>
        <w:rPr>
          <w:rFonts w:cs="Arial"/>
          <w:color w:val="000000" w:themeColor="text1"/>
          <w:szCs w:val="18"/>
        </w:rPr>
      </w:pP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organisations.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0A5E08" w:rsidRPr="00B23806" w:rsidRDefault="000A5E08" w:rsidP="00521A37">
      <w:pPr>
        <w:spacing w:line="240" w:lineRule="auto"/>
        <w:rPr>
          <w:rFonts w:cs="Arial"/>
          <w:sz w:val="22"/>
          <w:szCs w:val="22"/>
        </w:rPr>
      </w:pP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DC7F62" w:rsidRPr="005D63B3" w:rsidRDefault="00DC7F62" w:rsidP="00DC7F62">
      <w:pPr>
        <w:spacing w:line="240" w:lineRule="auto"/>
        <w:rPr>
          <w:rFonts w:cs="Arial"/>
          <w:color w:val="000000" w:themeColor="text1"/>
          <w:sz w:val="22"/>
          <w:szCs w:val="22"/>
          <w:lang w:val="en" w:eastAsia="en-GB"/>
        </w:rPr>
      </w:pPr>
      <w:r w:rsidRPr="005D63B3">
        <w:rPr>
          <w:rFonts w:cs="Arial"/>
          <w:color w:val="000000" w:themeColor="text1"/>
          <w:sz w:val="22"/>
          <w:szCs w:val="22"/>
          <w:lang w:val="en" w:eastAsia="en-GB"/>
        </w:rPr>
        <w:t>We are staging a major exhibition at World Museum from February to October 2018 which will showcase national treasures from the tomb of</w:t>
      </w:r>
      <w:r w:rsidR="002922DC">
        <w:rPr>
          <w:rFonts w:cs="Arial"/>
          <w:color w:val="000000" w:themeColor="text1"/>
          <w:sz w:val="22"/>
          <w:szCs w:val="22"/>
          <w:lang w:val="en" w:eastAsia="en-GB"/>
        </w:rPr>
        <w:t xml:space="preserve"> China’s First Emperor, Qin Shi H</w:t>
      </w:r>
      <w:r w:rsidRPr="005D63B3">
        <w:rPr>
          <w:rFonts w:cs="Arial"/>
          <w:color w:val="000000" w:themeColor="text1"/>
          <w:sz w:val="22"/>
          <w:szCs w:val="22"/>
          <w:lang w:val="en" w:eastAsia="en-GB"/>
        </w:rPr>
        <w:t>uangdi. This is the first time in more than 30 years that such an exhibition has been brought to a museum in the UK outside London.</w:t>
      </w:r>
    </w:p>
    <w:p w:rsidR="00DC7F62" w:rsidRPr="005D63B3" w:rsidRDefault="00DC7F62" w:rsidP="00DC7F62">
      <w:pPr>
        <w:spacing w:line="240" w:lineRule="auto"/>
        <w:rPr>
          <w:rFonts w:cs="Arial"/>
          <w:color w:val="000000" w:themeColor="text1"/>
          <w:sz w:val="22"/>
          <w:szCs w:val="22"/>
          <w:lang w:val="en" w:eastAsia="en-GB"/>
        </w:rPr>
      </w:pPr>
    </w:p>
    <w:p w:rsidR="00DC7F62" w:rsidRPr="005D63B3" w:rsidRDefault="00DC7F62" w:rsidP="00DC7F62">
      <w:pPr>
        <w:spacing w:line="240" w:lineRule="auto"/>
        <w:rPr>
          <w:rFonts w:cs="Arial"/>
          <w:color w:val="000000" w:themeColor="text1"/>
          <w:sz w:val="22"/>
          <w:szCs w:val="22"/>
          <w:lang w:val="en" w:eastAsia="en-GB"/>
        </w:rPr>
      </w:pPr>
      <w:r w:rsidRPr="005D63B3">
        <w:rPr>
          <w:rFonts w:cs="Arial"/>
          <w:color w:val="000000" w:themeColor="text1"/>
          <w:sz w:val="22"/>
          <w:szCs w:val="22"/>
          <w:lang w:val="en" w:eastAsia="en-GB"/>
        </w:rPr>
        <w:t>Visitors will be given a glimpse into the</w:t>
      </w:r>
      <w:r w:rsidR="002922DC">
        <w:rPr>
          <w:rFonts w:cs="Arial"/>
          <w:color w:val="000000" w:themeColor="text1"/>
          <w:sz w:val="22"/>
          <w:szCs w:val="22"/>
          <w:lang w:val="en" w:eastAsia="en-GB"/>
        </w:rPr>
        <w:t xml:space="preserve"> extraordinary story of Qin Shi H</w:t>
      </w:r>
      <w:r w:rsidRPr="005D63B3">
        <w:rPr>
          <w:rFonts w:cs="Arial"/>
          <w:color w:val="000000" w:themeColor="text1"/>
          <w:sz w:val="22"/>
          <w:szCs w:val="22"/>
          <w:lang w:val="en" w:eastAsia="en-GB"/>
        </w:rPr>
        <w:t>uangdi, the First Emperor of China (221 to 210 BC). The Emperor’s terracotta warriors will be shown alongside other spectacular artefacts dating from the 6</w:t>
      </w:r>
      <w:r w:rsidRPr="005D63B3">
        <w:rPr>
          <w:rFonts w:cs="Arial"/>
          <w:color w:val="000000" w:themeColor="text1"/>
          <w:sz w:val="22"/>
          <w:szCs w:val="22"/>
          <w:vertAlign w:val="superscript"/>
          <w:lang w:val="en" w:eastAsia="en-GB"/>
        </w:rPr>
        <w:t>th</w:t>
      </w:r>
      <w:r w:rsidRPr="005D63B3">
        <w:rPr>
          <w:rFonts w:cs="Arial"/>
          <w:color w:val="000000" w:themeColor="text1"/>
          <w:sz w:val="22"/>
          <w:szCs w:val="22"/>
          <w:lang w:val="en" w:eastAsia="en-GB"/>
        </w:rPr>
        <w:t xml:space="preserve"> century BC to the 3</w:t>
      </w:r>
      <w:r w:rsidRPr="005D63B3">
        <w:rPr>
          <w:rFonts w:cs="Arial"/>
          <w:color w:val="000000" w:themeColor="text1"/>
          <w:sz w:val="22"/>
          <w:szCs w:val="22"/>
          <w:vertAlign w:val="superscript"/>
          <w:lang w:val="en" w:eastAsia="en-GB"/>
        </w:rPr>
        <w:t>nd</w:t>
      </w:r>
      <w:r w:rsidRPr="005D63B3">
        <w:rPr>
          <w:rFonts w:cs="Arial"/>
          <w:color w:val="000000" w:themeColor="text1"/>
          <w:sz w:val="22"/>
          <w:szCs w:val="22"/>
          <w:lang w:val="en" w:eastAsia="en-GB"/>
        </w:rPr>
        <w:t xml:space="preserve"> century AD, along with remarkable new archaeological discoveries. </w:t>
      </w:r>
    </w:p>
    <w:p w:rsidR="00DC7F62" w:rsidRPr="005D63B3" w:rsidRDefault="00DC7F62" w:rsidP="00DC7F62">
      <w:pPr>
        <w:spacing w:line="240" w:lineRule="auto"/>
        <w:rPr>
          <w:rFonts w:cs="Arial"/>
          <w:color w:val="000000" w:themeColor="text1"/>
          <w:sz w:val="22"/>
          <w:szCs w:val="22"/>
          <w:lang w:val="en" w:eastAsia="en-GB"/>
        </w:rPr>
      </w:pPr>
    </w:p>
    <w:p w:rsidR="00DC7F62" w:rsidRPr="005D63B3" w:rsidRDefault="00DC7F62" w:rsidP="00DC7F62">
      <w:pPr>
        <w:spacing w:line="240" w:lineRule="auto"/>
        <w:rPr>
          <w:rFonts w:cs="Arial"/>
          <w:color w:val="000000" w:themeColor="text1"/>
          <w:sz w:val="22"/>
          <w:szCs w:val="22"/>
          <w:lang w:val="en" w:eastAsia="en-GB"/>
        </w:rPr>
      </w:pPr>
      <w:r w:rsidRPr="005D63B3">
        <w:rPr>
          <w:rFonts w:cs="Arial"/>
          <w:color w:val="000000" w:themeColor="text1"/>
          <w:sz w:val="22"/>
          <w:szCs w:val="22"/>
          <w:lang w:val="en" w:eastAsia="en-GB"/>
        </w:rPr>
        <w:t xml:space="preserve">The exhibition will be a major tourist attraction during Liverpool’s 2018 celebrations, marking 10 years since the city held the title of European Capital of Culture in 2008. </w:t>
      </w:r>
    </w:p>
    <w:p w:rsidR="00E1060D" w:rsidRPr="00515828" w:rsidRDefault="00AB6E9A" w:rsidP="00515828">
      <w:pPr>
        <w:pStyle w:val="ReportText2"/>
        <w:spacing w:line="240" w:lineRule="auto"/>
        <w:ind w:left="0"/>
        <w:rPr>
          <w:color w:val="000000" w:themeColor="text1"/>
          <w:sz w:val="22"/>
          <w:szCs w:val="22"/>
        </w:rPr>
      </w:pPr>
      <w:r w:rsidRPr="005D63B3">
        <w:rPr>
          <w:color w:val="000000" w:themeColor="text1"/>
          <w:sz w:val="22"/>
          <w:szCs w:val="22"/>
        </w:rPr>
        <w:br/>
        <w:t>We</w:t>
      </w:r>
      <w:r w:rsidR="000D53B9">
        <w:rPr>
          <w:color w:val="000000" w:themeColor="text1"/>
          <w:sz w:val="22"/>
          <w:szCs w:val="22"/>
        </w:rPr>
        <w:t xml:space="preserve"> are inviting tenders for the produ</w:t>
      </w:r>
      <w:r w:rsidR="00B75D4E">
        <w:rPr>
          <w:color w:val="000000" w:themeColor="text1"/>
          <w:sz w:val="22"/>
          <w:szCs w:val="22"/>
        </w:rPr>
        <w:t>ction and delivery</w:t>
      </w:r>
      <w:r w:rsidR="000D53B9">
        <w:rPr>
          <w:color w:val="000000" w:themeColor="text1"/>
          <w:sz w:val="22"/>
          <w:szCs w:val="22"/>
        </w:rPr>
        <w:t xml:space="preserve"> of</w:t>
      </w:r>
      <w:r w:rsidR="00515828">
        <w:rPr>
          <w:color w:val="000000" w:themeColor="text1"/>
          <w:sz w:val="22"/>
          <w:szCs w:val="22"/>
        </w:rPr>
        <w:t xml:space="preserve"> </w:t>
      </w:r>
      <w:r w:rsidR="002D0E70">
        <w:rPr>
          <w:color w:val="000000" w:themeColor="text1"/>
          <w:sz w:val="22"/>
          <w:szCs w:val="22"/>
        </w:rPr>
        <w:t>29</w:t>
      </w:r>
      <w:r w:rsidR="0090238C">
        <w:rPr>
          <w:color w:val="000000" w:themeColor="text1"/>
          <w:sz w:val="22"/>
          <w:szCs w:val="22"/>
        </w:rPr>
        <w:t xml:space="preserve"> primary</w:t>
      </w:r>
      <w:r w:rsidR="002D0E70">
        <w:rPr>
          <w:color w:val="000000" w:themeColor="text1"/>
          <w:sz w:val="22"/>
          <w:szCs w:val="22"/>
        </w:rPr>
        <w:t xml:space="preserve"> plinths</w:t>
      </w:r>
      <w:r w:rsidR="0090238C">
        <w:rPr>
          <w:color w:val="000000" w:themeColor="text1"/>
          <w:sz w:val="22"/>
          <w:szCs w:val="22"/>
        </w:rPr>
        <w:t xml:space="preserve"> and 6 secondary plinths</w:t>
      </w:r>
      <w:r w:rsidR="002D0E70">
        <w:rPr>
          <w:color w:val="000000" w:themeColor="text1"/>
          <w:sz w:val="22"/>
          <w:szCs w:val="22"/>
        </w:rPr>
        <w:t xml:space="preserve"> for display </w:t>
      </w:r>
      <w:r w:rsidR="00515828">
        <w:rPr>
          <w:color w:val="000000" w:themeColor="text1"/>
          <w:sz w:val="22"/>
          <w:szCs w:val="22"/>
        </w:rPr>
        <w:t>cases</w:t>
      </w:r>
      <w:r w:rsidR="00FA2958">
        <w:rPr>
          <w:color w:val="000000" w:themeColor="text1"/>
          <w:sz w:val="22"/>
          <w:szCs w:val="22"/>
        </w:rPr>
        <w:t>. The exhibition</w:t>
      </w:r>
      <w:r w:rsidRPr="005D63B3">
        <w:rPr>
          <w:color w:val="000000" w:themeColor="text1"/>
          <w:sz w:val="22"/>
          <w:szCs w:val="22"/>
        </w:rPr>
        <w:t xml:space="preserve"> will be located on the 2</w:t>
      </w:r>
      <w:r w:rsidRPr="005D63B3">
        <w:rPr>
          <w:color w:val="000000" w:themeColor="text1"/>
          <w:sz w:val="22"/>
          <w:szCs w:val="22"/>
          <w:vertAlign w:val="superscript"/>
        </w:rPr>
        <w:t>nd</w:t>
      </w:r>
      <w:r w:rsidRPr="005D63B3">
        <w:rPr>
          <w:color w:val="000000" w:themeColor="text1"/>
          <w:sz w:val="22"/>
          <w:szCs w:val="22"/>
        </w:rPr>
        <w:t xml:space="preserve"> floor of World Museum, William Brown Street, L3 8EN</w:t>
      </w:r>
    </w:p>
    <w:p w:rsidR="00B52659" w:rsidRPr="005D63B3" w:rsidRDefault="00B52659" w:rsidP="00521A37">
      <w:pPr>
        <w:pStyle w:val="Heading2"/>
        <w:spacing w:after="0" w:line="240" w:lineRule="auto"/>
        <w:rPr>
          <w:rFonts w:cs="Arial"/>
          <w:color w:val="000000" w:themeColor="text1"/>
          <w:sz w:val="22"/>
          <w:szCs w:val="22"/>
        </w:rPr>
      </w:pPr>
      <w:bookmarkStart w:id="4" w:name="_Toc246913813"/>
      <w:r w:rsidRPr="005D63B3">
        <w:rPr>
          <w:rFonts w:cs="Arial"/>
          <w:color w:val="000000" w:themeColor="text1"/>
          <w:sz w:val="22"/>
          <w:szCs w:val="22"/>
        </w:rPr>
        <w:lastRenderedPageBreak/>
        <w:t xml:space="preserve">High Level Overview of </w:t>
      </w:r>
      <w:bookmarkEnd w:id="4"/>
      <w:r w:rsidR="00392E27" w:rsidRPr="005D63B3">
        <w:rPr>
          <w:rFonts w:cs="Arial"/>
          <w:color w:val="000000" w:themeColor="text1"/>
          <w:sz w:val="22"/>
          <w:szCs w:val="22"/>
        </w:rPr>
        <w:t>Requirements</w:t>
      </w:r>
    </w:p>
    <w:p w:rsidR="007D2610" w:rsidRPr="005D63B3" w:rsidRDefault="003D2508" w:rsidP="00521A37">
      <w:pPr>
        <w:spacing w:line="240" w:lineRule="auto"/>
        <w:rPr>
          <w:rFonts w:cs="Arial"/>
          <w:color w:val="000000" w:themeColor="text1"/>
          <w:sz w:val="22"/>
          <w:szCs w:val="22"/>
        </w:rPr>
      </w:pPr>
      <w:r w:rsidRPr="005D63B3">
        <w:rPr>
          <w:rFonts w:cs="Arial"/>
          <w:color w:val="000000" w:themeColor="text1"/>
          <w:sz w:val="22"/>
          <w:szCs w:val="22"/>
        </w:rPr>
        <w:t>Bidder</w:t>
      </w:r>
      <w:r w:rsidR="007D2610" w:rsidRPr="005D63B3">
        <w:rPr>
          <w:rFonts w:cs="Arial"/>
          <w:color w:val="000000" w:themeColor="text1"/>
          <w:sz w:val="22"/>
          <w:szCs w:val="22"/>
        </w:rPr>
        <w:t>s are asked to submit a formal tender for the “</w:t>
      </w:r>
      <w:r w:rsidR="00DC7F62" w:rsidRPr="005D63B3">
        <w:rPr>
          <w:rFonts w:cs="Arial"/>
          <w:color w:val="000000" w:themeColor="text1"/>
          <w:sz w:val="22"/>
          <w:szCs w:val="22"/>
        </w:rPr>
        <w:t>NML Terracotta Warrior Exhibition Display Cases</w:t>
      </w:r>
      <w:r w:rsidR="001F5D89" w:rsidRPr="005D63B3">
        <w:rPr>
          <w:rFonts w:cs="Arial"/>
          <w:color w:val="000000" w:themeColor="text1"/>
          <w:sz w:val="22"/>
          <w:szCs w:val="22"/>
        </w:rPr>
        <w:t xml:space="preserve"> </w:t>
      </w:r>
      <w:r w:rsidR="002D0E70">
        <w:rPr>
          <w:rFonts w:cs="Arial"/>
          <w:color w:val="000000" w:themeColor="text1"/>
          <w:sz w:val="22"/>
          <w:szCs w:val="22"/>
        </w:rPr>
        <w:t>Plinths</w:t>
      </w:r>
      <w:r w:rsidR="00DC7F62" w:rsidRPr="005D63B3">
        <w:rPr>
          <w:rFonts w:cs="Arial"/>
          <w:color w:val="000000" w:themeColor="text1"/>
          <w:sz w:val="22"/>
          <w:szCs w:val="22"/>
        </w:rPr>
        <w:t>”.</w:t>
      </w:r>
      <w:r w:rsidR="007D2610" w:rsidRPr="005D63B3">
        <w:rPr>
          <w:rFonts w:cs="Arial"/>
          <w:color w:val="000000" w:themeColor="text1"/>
          <w:sz w:val="22"/>
          <w:szCs w:val="22"/>
        </w:rPr>
        <w:t xml:space="preserve"> </w:t>
      </w:r>
    </w:p>
    <w:p w:rsidR="007D2610" w:rsidRPr="005D63B3" w:rsidRDefault="007D2610" w:rsidP="00521A37">
      <w:pPr>
        <w:spacing w:line="240" w:lineRule="auto"/>
        <w:rPr>
          <w:rFonts w:cs="Arial"/>
          <w:color w:val="000000" w:themeColor="text1"/>
          <w:sz w:val="22"/>
          <w:szCs w:val="22"/>
        </w:rPr>
      </w:pPr>
    </w:p>
    <w:p w:rsidR="00766BA7" w:rsidRDefault="00DC7F62" w:rsidP="001F5D89">
      <w:pPr>
        <w:spacing w:line="240" w:lineRule="auto"/>
        <w:rPr>
          <w:rFonts w:cs="Arial"/>
          <w:color w:val="000000" w:themeColor="text1"/>
          <w:sz w:val="22"/>
          <w:szCs w:val="22"/>
        </w:rPr>
      </w:pPr>
      <w:r w:rsidRPr="005D63B3">
        <w:rPr>
          <w:rFonts w:cs="Arial"/>
          <w:color w:val="000000" w:themeColor="text1"/>
          <w:sz w:val="22"/>
          <w:szCs w:val="22"/>
        </w:rPr>
        <w:t xml:space="preserve">We are looking to procure </w:t>
      </w:r>
      <w:r w:rsidR="000D53B9">
        <w:rPr>
          <w:rFonts w:cs="Arial"/>
          <w:color w:val="000000" w:themeColor="text1"/>
          <w:sz w:val="22"/>
          <w:szCs w:val="22"/>
        </w:rPr>
        <w:t>the produc</w:t>
      </w:r>
      <w:r w:rsidR="00703612">
        <w:rPr>
          <w:rFonts w:cs="Arial"/>
          <w:color w:val="000000" w:themeColor="text1"/>
          <w:sz w:val="22"/>
          <w:szCs w:val="22"/>
        </w:rPr>
        <w:t>tion,</w:t>
      </w:r>
      <w:r w:rsidR="00B75D4E">
        <w:rPr>
          <w:rFonts w:cs="Arial"/>
          <w:color w:val="000000" w:themeColor="text1"/>
          <w:sz w:val="22"/>
          <w:szCs w:val="22"/>
        </w:rPr>
        <w:t xml:space="preserve"> delivery</w:t>
      </w:r>
      <w:r w:rsidR="00703612">
        <w:rPr>
          <w:rFonts w:cs="Arial"/>
          <w:color w:val="000000" w:themeColor="text1"/>
          <w:sz w:val="22"/>
          <w:szCs w:val="22"/>
        </w:rPr>
        <w:t xml:space="preserve"> and installation</w:t>
      </w:r>
      <w:r w:rsidR="00B75D4E">
        <w:rPr>
          <w:rFonts w:cs="Arial"/>
          <w:color w:val="000000" w:themeColor="text1"/>
          <w:sz w:val="22"/>
          <w:szCs w:val="22"/>
        </w:rPr>
        <w:t xml:space="preserve"> </w:t>
      </w:r>
      <w:r w:rsidR="000D53B9">
        <w:rPr>
          <w:rFonts w:cs="Arial"/>
          <w:color w:val="000000" w:themeColor="text1"/>
          <w:sz w:val="22"/>
          <w:szCs w:val="22"/>
        </w:rPr>
        <w:t xml:space="preserve">of </w:t>
      </w:r>
      <w:r w:rsidR="00515828">
        <w:rPr>
          <w:rFonts w:cs="Arial"/>
          <w:color w:val="000000" w:themeColor="text1"/>
          <w:sz w:val="22"/>
          <w:szCs w:val="22"/>
        </w:rPr>
        <w:t xml:space="preserve">29 </w:t>
      </w:r>
      <w:r w:rsidR="00EB5977">
        <w:rPr>
          <w:rFonts w:cs="Arial"/>
          <w:color w:val="000000" w:themeColor="text1"/>
          <w:sz w:val="22"/>
          <w:szCs w:val="22"/>
        </w:rPr>
        <w:t xml:space="preserve">primary </w:t>
      </w:r>
      <w:r w:rsidR="00515828">
        <w:rPr>
          <w:rFonts w:cs="Arial"/>
          <w:color w:val="000000" w:themeColor="text1"/>
          <w:sz w:val="22"/>
          <w:szCs w:val="22"/>
        </w:rPr>
        <w:t>plinths</w:t>
      </w:r>
      <w:r w:rsidR="0090238C">
        <w:rPr>
          <w:rFonts w:cs="Arial"/>
          <w:color w:val="000000" w:themeColor="text1"/>
          <w:sz w:val="22"/>
          <w:szCs w:val="22"/>
        </w:rPr>
        <w:t xml:space="preserve"> and 6 </w:t>
      </w:r>
      <w:r w:rsidR="00EB5977">
        <w:rPr>
          <w:rFonts w:cs="Arial"/>
          <w:color w:val="000000" w:themeColor="text1"/>
          <w:sz w:val="22"/>
          <w:szCs w:val="22"/>
        </w:rPr>
        <w:t>secondary plinths</w:t>
      </w:r>
      <w:r w:rsidRPr="005D63B3">
        <w:rPr>
          <w:rFonts w:cs="Arial"/>
          <w:color w:val="000000" w:themeColor="text1"/>
          <w:sz w:val="22"/>
          <w:szCs w:val="22"/>
        </w:rPr>
        <w:t xml:space="preserve"> to display a variety of archaeo</w:t>
      </w:r>
      <w:r w:rsidR="00515828">
        <w:rPr>
          <w:rFonts w:cs="Arial"/>
          <w:color w:val="000000" w:themeColor="text1"/>
          <w:sz w:val="22"/>
          <w:szCs w:val="22"/>
        </w:rPr>
        <w:t>logical finds within display cases</w:t>
      </w:r>
      <w:r w:rsidRPr="005D63B3">
        <w:rPr>
          <w:rFonts w:cs="Arial"/>
          <w:color w:val="000000" w:themeColor="text1"/>
          <w:sz w:val="22"/>
          <w:szCs w:val="22"/>
        </w:rPr>
        <w:t xml:space="preserve">. The </w:t>
      </w:r>
      <w:r w:rsidR="00515828">
        <w:rPr>
          <w:rFonts w:cs="Arial"/>
          <w:color w:val="000000" w:themeColor="text1"/>
          <w:sz w:val="22"/>
          <w:szCs w:val="22"/>
        </w:rPr>
        <w:t xml:space="preserve">plinths must meet the details specified in the NML </w:t>
      </w:r>
      <w:r w:rsidR="002D0E70">
        <w:rPr>
          <w:rFonts w:cs="Arial"/>
          <w:color w:val="000000" w:themeColor="text1"/>
          <w:sz w:val="22"/>
          <w:szCs w:val="22"/>
        </w:rPr>
        <w:t>Performance</w:t>
      </w:r>
      <w:r w:rsidR="004401F6">
        <w:rPr>
          <w:rFonts w:cs="Arial"/>
          <w:color w:val="000000" w:themeColor="text1"/>
          <w:sz w:val="22"/>
          <w:szCs w:val="22"/>
        </w:rPr>
        <w:t xml:space="preserve"> S</w:t>
      </w:r>
      <w:r w:rsidR="00515828">
        <w:rPr>
          <w:rFonts w:cs="Arial"/>
          <w:color w:val="000000" w:themeColor="text1"/>
          <w:sz w:val="22"/>
          <w:szCs w:val="22"/>
        </w:rPr>
        <w:t>pecification document</w:t>
      </w:r>
      <w:r w:rsidR="000D53B9">
        <w:rPr>
          <w:rFonts w:cs="Arial"/>
          <w:color w:val="000000" w:themeColor="text1"/>
          <w:sz w:val="22"/>
          <w:szCs w:val="22"/>
        </w:rPr>
        <w:t xml:space="preserve"> and the detailed drawings</w:t>
      </w:r>
      <w:r w:rsidR="004401F6">
        <w:rPr>
          <w:rFonts w:cs="Arial"/>
          <w:color w:val="000000" w:themeColor="text1"/>
          <w:sz w:val="22"/>
          <w:szCs w:val="22"/>
        </w:rPr>
        <w:t xml:space="preserve"> provided</w:t>
      </w:r>
      <w:r w:rsidR="00515828">
        <w:rPr>
          <w:rFonts w:cs="Arial"/>
          <w:color w:val="000000" w:themeColor="text1"/>
          <w:sz w:val="22"/>
          <w:szCs w:val="22"/>
        </w:rPr>
        <w:t>.</w:t>
      </w:r>
    </w:p>
    <w:p w:rsidR="00826EB0" w:rsidRDefault="00826EB0" w:rsidP="00826EB0">
      <w:pPr>
        <w:spacing w:line="240" w:lineRule="auto"/>
        <w:rPr>
          <w:rFonts w:cs="Arial"/>
          <w:color w:val="000000" w:themeColor="text1"/>
          <w:sz w:val="22"/>
          <w:szCs w:val="22"/>
        </w:rPr>
      </w:pPr>
    </w:p>
    <w:p w:rsidR="00826EB0" w:rsidRPr="00826EB0" w:rsidRDefault="00826EB0" w:rsidP="00826EB0">
      <w:pPr>
        <w:spacing w:line="240" w:lineRule="auto"/>
        <w:rPr>
          <w:rFonts w:cs="Arial"/>
          <w:color w:val="000000" w:themeColor="text1"/>
          <w:sz w:val="22"/>
          <w:szCs w:val="22"/>
        </w:rPr>
      </w:pPr>
      <w:r>
        <w:rPr>
          <w:rFonts w:cs="Arial"/>
          <w:color w:val="000000" w:themeColor="text1"/>
          <w:sz w:val="22"/>
          <w:szCs w:val="22"/>
        </w:rPr>
        <w:t>There are 3 options within the specification document for what materials can be used. We would like contractors to quote for the 3 options.</w:t>
      </w:r>
    </w:p>
    <w:p w:rsidR="00515828" w:rsidRDefault="00515828" w:rsidP="00521A37">
      <w:pPr>
        <w:spacing w:line="240" w:lineRule="auto"/>
        <w:rPr>
          <w:rFonts w:cs="Arial"/>
          <w:color w:val="000000" w:themeColor="text1"/>
          <w:sz w:val="22"/>
          <w:szCs w:val="22"/>
        </w:rPr>
      </w:pPr>
    </w:p>
    <w:p w:rsidR="00515828" w:rsidRDefault="00515828" w:rsidP="00822A95">
      <w:pPr>
        <w:pStyle w:val="Heading1"/>
        <w:numPr>
          <w:ilvl w:val="0"/>
          <w:numId w:val="0"/>
        </w:numPr>
        <w:spacing w:after="0" w:line="240" w:lineRule="auto"/>
        <w:rPr>
          <w:rFonts w:cs="Arial"/>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p>
    <w:p w:rsidR="006146AE" w:rsidRPr="00B23806" w:rsidRDefault="002D5594" w:rsidP="00822A95">
      <w:pPr>
        <w:pStyle w:val="Heading1"/>
        <w:numPr>
          <w:ilvl w:val="0"/>
          <w:numId w:val="0"/>
        </w:numPr>
        <w:spacing w:after="0" w:line="240" w:lineRule="auto"/>
        <w:rPr>
          <w:rFonts w:cs="Arial"/>
          <w:sz w:val="22"/>
          <w:szCs w:val="22"/>
        </w:rPr>
      </w:pPr>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p w:rsidR="00B41F88" w:rsidRDefault="00B41F88"/>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B41F88" w:rsidP="00B41F88">
                  <w:pPr>
                    <w:pStyle w:val="Heading1"/>
                    <w:numPr>
                      <w:ilvl w:val="0"/>
                      <w:numId w:val="0"/>
                    </w:numPr>
                    <w:spacing w:after="0" w:line="240" w:lineRule="auto"/>
                    <w:ind w:left="567" w:hanging="567"/>
                    <w:rPr>
                      <w:rFonts w:cs="Arial"/>
                      <w:sz w:val="22"/>
                      <w:szCs w:val="22"/>
                    </w:rPr>
                  </w:pPr>
                  <w:r>
                    <w:rPr>
                      <w:rFonts w:cs="Arial"/>
                      <w:sz w:val="22"/>
                      <w:szCs w:val="22"/>
                    </w:rPr>
                    <w:t>2.</w:t>
                  </w:r>
                  <w:r w:rsidR="007D2610" w:rsidRPr="00B23806">
                    <w:rPr>
                      <w:rFonts w:cs="Arial"/>
                      <w:sz w:val="22"/>
                      <w:szCs w:val="22"/>
                    </w:rPr>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r w:rsidR="00B41F88" w:rsidRPr="00B23806" w:rsidTr="006F0DF0">
              <w:tc>
                <w:tcPr>
                  <w:tcW w:w="2835" w:type="dxa"/>
                </w:tcPr>
                <w:p w:rsidR="00B41F88" w:rsidRDefault="00B41F88" w:rsidP="00B41F88">
                  <w:pPr>
                    <w:pStyle w:val="Heading1"/>
                    <w:numPr>
                      <w:ilvl w:val="0"/>
                      <w:numId w:val="0"/>
                    </w:numPr>
                    <w:spacing w:after="0" w:line="240" w:lineRule="auto"/>
                    <w:rPr>
                      <w:rFonts w:cs="Arial"/>
                      <w:sz w:val="22"/>
                      <w:szCs w:val="22"/>
                    </w:rPr>
                  </w:pPr>
                </w:p>
              </w:tc>
              <w:tc>
                <w:tcPr>
                  <w:tcW w:w="6067" w:type="dxa"/>
                </w:tcPr>
                <w:p w:rsidR="00B41F88" w:rsidRPr="00B23806" w:rsidRDefault="00B41F88" w:rsidP="00521A37">
                  <w:pPr>
                    <w:spacing w:line="240" w:lineRule="auto"/>
                    <w:rPr>
                      <w:rFonts w:cs="Arial"/>
                      <w:color w:val="FF0000"/>
                      <w:sz w:val="22"/>
                      <w:szCs w:val="22"/>
                    </w:rPr>
                  </w:pPr>
                </w:p>
              </w:tc>
            </w:tr>
          </w:tbl>
          <w:p w:rsidR="006110B2" w:rsidRPr="00B41F88" w:rsidRDefault="006110B2" w:rsidP="00B41F88">
            <w:pPr>
              <w:pStyle w:val="Heading2"/>
              <w:numPr>
                <w:ilvl w:val="0"/>
                <w:numId w:val="0"/>
              </w:numPr>
              <w:spacing w:after="0" w:line="240" w:lineRule="auto"/>
              <w:rPr>
                <w:rFonts w:cs="Arial"/>
                <w:sz w:val="22"/>
                <w:szCs w:val="22"/>
              </w:rPr>
            </w:pPr>
          </w:p>
        </w:tc>
      </w:tr>
      <w:bookmarkEnd w:id="13"/>
      <w:bookmarkEnd w:id="14"/>
    </w:tbl>
    <w:p w:rsidR="00B41F88" w:rsidRDefault="00B41F88" w:rsidP="00521A37">
      <w:pPr>
        <w:pStyle w:val="Heading1"/>
        <w:numPr>
          <w:ilvl w:val="0"/>
          <w:numId w:val="0"/>
        </w:numPr>
        <w:spacing w:after="0" w:line="240" w:lineRule="auto"/>
        <w:rPr>
          <w:rFonts w:cs="Arial"/>
          <w:b w:val="0"/>
          <w:sz w:val="22"/>
          <w:szCs w:val="22"/>
        </w:rPr>
      </w:pPr>
    </w:p>
    <w:p w:rsidR="00B41F88" w:rsidRPr="00F165FD" w:rsidRDefault="00B41F88" w:rsidP="00521A37">
      <w:pPr>
        <w:pStyle w:val="Heading1"/>
        <w:numPr>
          <w:ilvl w:val="0"/>
          <w:numId w:val="0"/>
        </w:numPr>
        <w:spacing w:after="0" w:line="240" w:lineRule="auto"/>
        <w:rPr>
          <w:rFonts w:cs="Arial"/>
          <w:sz w:val="22"/>
          <w:szCs w:val="22"/>
        </w:rPr>
      </w:pPr>
      <w:r w:rsidRPr="00F165FD">
        <w:rPr>
          <w:rFonts w:cs="Arial"/>
          <w:sz w:val="22"/>
          <w:szCs w:val="22"/>
        </w:rPr>
        <w:t xml:space="preserve">2.1 Introduction </w:t>
      </w:r>
    </w:p>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w:t>
      </w:r>
      <w:r w:rsidRPr="00B23806">
        <w:rPr>
          <w:rFonts w:cs="Arial"/>
          <w:sz w:val="22"/>
          <w:szCs w:val="22"/>
        </w:rPr>
        <w:lastRenderedPageBreak/>
        <w:t xml:space="preserve">inaccuracies that may become apparent. NML reserves the right, without prior notice, 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w:t>
      </w:r>
      <w:r w:rsidRPr="00944960">
        <w:rPr>
          <w:rFonts w:cs="Arial"/>
          <w:sz w:val="22"/>
          <w:szCs w:val="22"/>
        </w:rPr>
        <w:lastRenderedPageBreak/>
        <w:t xml:space="preserve">indicated in the accompanying documents, except where the bidder proposes 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5171"/>
              <w:gridCol w:w="5500"/>
            </w:tblGrid>
            <w:tr w:rsidR="006F0DF0" w:rsidRPr="00B23806" w:rsidTr="002D0E70">
              <w:tc>
                <w:tcPr>
                  <w:tcW w:w="5171" w:type="dxa"/>
                </w:tcPr>
                <w:p w:rsidR="006F0DF0" w:rsidRPr="00B23806" w:rsidRDefault="006F0DF0" w:rsidP="00B41F88">
                  <w:pPr>
                    <w:pStyle w:val="Heading1"/>
                    <w:numPr>
                      <w:ilvl w:val="0"/>
                      <w:numId w:val="42"/>
                    </w:numPr>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5500"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B23806" w:rsidRDefault="006F0DF0" w:rsidP="006F0DF0">
      <w:pPr>
        <w:pStyle w:val="ReportText2Char"/>
        <w:spacing w:after="0" w:line="240" w:lineRule="auto"/>
        <w:ind w:left="0"/>
        <w:rPr>
          <w:rFonts w:cs="Arial"/>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w:t>
      </w:r>
      <w:r w:rsidRPr="00B41F88">
        <w:rPr>
          <w:rFonts w:cs="Arial"/>
          <w:color w:val="000000" w:themeColor="text1"/>
          <w:sz w:val="22"/>
          <w:szCs w:val="22"/>
        </w:rPr>
        <w:t>ct title “</w:t>
      </w:r>
      <w:r w:rsidR="003C107C" w:rsidRPr="005D63B3">
        <w:rPr>
          <w:rFonts w:cs="Arial"/>
          <w:color w:val="000000" w:themeColor="text1"/>
          <w:sz w:val="22"/>
          <w:szCs w:val="22"/>
        </w:rPr>
        <w:t xml:space="preserve">NML Terracotta Warrior Display Case </w:t>
      </w:r>
      <w:r w:rsidR="003C107C">
        <w:rPr>
          <w:rFonts w:cs="Arial"/>
          <w:color w:val="000000" w:themeColor="text1"/>
          <w:sz w:val="22"/>
          <w:szCs w:val="22"/>
        </w:rPr>
        <w:t>Plinths</w:t>
      </w:r>
      <w:r w:rsidR="003C107C" w:rsidRPr="005D63B3">
        <w:rPr>
          <w:rFonts w:cs="Arial"/>
          <w:color w:val="000000" w:themeColor="text1"/>
          <w:sz w:val="22"/>
          <w:szCs w:val="22"/>
        </w:rPr>
        <w:t xml:space="preserve"> Tender</w:t>
      </w:r>
      <w:r w:rsidRPr="00B41F88">
        <w:rPr>
          <w:rFonts w:cs="Arial"/>
          <w:color w:val="000000" w:themeColor="text1"/>
          <w:sz w:val="22"/>
          <w:szCs w:val="22"/>
        </w:rPr>
        <w:t xml:space="preserve">”.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535C01" w:rsidRPr="00B23806" w:rsidRDefault="00535C01" w:rsidP="006F0DF0">
      <w:pPr>
        <w:pStyle w:val="ReportText1"/>
        <w:spacing w:after="0" w:line="240" w:lineRule="auto"/>
        <w:ind w:left="0"/>
        <w:rPr>
          <w:rFonts w:cs="Arial"/>
          <w:sz w:val="22"/>
          <w:szCs w:val="22"/>
        </w:rPr>
      </w:pPr>
    </w:p>
    <w:p w:rsidR="00E34909" w:rsidRPr="00B23806" w:rsidRDefault="006F0DF0" w:rsidP="00E34909">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6679A">
        <w:rPr>
          <w:rFonts w:cs="Arial"/>
          <w:sz w:val="22"/>
          <w:szCs w:val="22"/>
        </w:rPr>
        <w:t>2</w:t>
      </w:r>
      <w:r w:rsidR="00F85C7F" w:rsidRPr="00B23806">
        <w:rPr>
          <w:rFonts w:cs="Arial"/>
          <w:sz w:val="22"/>
          <w:szCs w:val="22"/>
        </w:rPr>
        <w:t xml:space="preserve"> </w:t>
      </w:r>
      <w:r w:rsidR="00E34909" w:rsidRPr="00B23806">
        <w:rPr>
          <w:rFonts w:cs="Arial"/>
          <w:sz w:val="22"/>
          <w:szCs w:val="22"/>
        </w:rPr>
        <w:t>Site Visits</w:t>
      </w:r>
    </w:p>
    <w:p w:rsidR="00E34909" w:rsidRPr="00B23806" w:rsidRDefault="00E34909" w:rsidP="00E34909">
      <w:pPr>
        <w:spacing w:line="240" w:lineRule="auto"/>
        <w:contextualSpacing/>
        <w:rPr>
          <w:rFonts w:cs="Arial"/>
          <w:bCs/>
          <w:color w:val="000000"/>
          <w:sz w:val="22"/>
          <w:szCs w:val="22"/>
        </w:rPr>
      </w:pPr>
      <w:r w:rsidRPr="00B23806">
        <w:rPr>
          <w:rFonts w:cs="Arial"/>
          <w:bCs/>
          <w:color w:val="000000"/>
          <w:sz w:val="22"/>
          <w:szCs w:val="22"/>
        </w:rPr>
        <w:t>It is advis</w:t>
      </w:r>
      <w:r>
        <w:rPr>
          <w:rFonts w:cs="Arial"/>
          <w:bCs/>
          <w:color w:val="000000"/>
          <w:sz w:val="22"/>
          <w:szCs w:val="22"/>
        </w:rPr>
        <w:t>ed that bidders visit the site. W</w:t>
      </w:r>
      <w:r w:rsidRPr="00B23806">
        <w:rPr>
          <w:rFonts w:cs="Arial"/>
          <w:bCs/>
          <w:color w:val="000000"/>
          <w:sz w:val="22"/>
          <w:szCs w:val="22"/>
        </w:rPr>
        <w:t>e would designate a day for all selected tender applicants to visit if required. This will ensure that all parties get the same information and opportu</w:t>
      </w:r>
      <w:r w:rsidR="006B5C9F">
        <w:rPr>
          <w:rFonts w:cs="Arial"/>
          <w:bCs/>
          <w:color w:val="000000"/>
          <w:sz w:val="22"/>
          <w:szCs w:val="22"/>
        </w:rPr>
        <w:t>nity. This would be arranged on</w:t>
      </w:r>
      <w:r>
        <w:rPr>
          <w:rFonts w:cs="Arial"/>
          <w:bCs/>
          <w:color w:val="000000"/>
          <w:sz w:val="22"/>
          <w:szCs w:val="22"/>
        </w:rPr>
        <w:t xml:space="preserve"> 1</w:t>
      </w:r>
      <w:r w:rsidR="006B5C9F">
        <w:rPr>
          <w:rFonts w:cs="Arial"/>
          <w:bCs/>
          <w:color w:val="000000"/>
          <w:sz w:val="22"/>
          <w:szCs w:val="22"/>
        </w:rPr>
        <w:t>0</w:t>
      </w:r>
      <w:r>
        <w:rPr>
          <w:rFonts w:cs="Arial"/>
          <w:bCs/>
          <w:color w:val="000000"/>
          <w:sz w:val="22"/>
          <w:szCs w:val="22"/>
        </w:rPr>
        <w:t xml:space="preserve"> October 2017.</w:t>
      </w:r>
      <w:r w:rsidRPr="00B23806">
        <w:rPr>
          <w:rFonts w:cs="Arial"/>
          <w:bCs/>
          <w:color w:val="00B050"/>
          <w:sz w:val="22"/>
          <w:szCs w:val="22"/>
        </w:rPr>
        <w:t xml:space="preserve"> </w:t>
      </w:r>
      <w:r w:rsidRPr="00B23806">
        <w:rPr>
          <w:rFonts w:cs="Arial"/>
          <w:bCs/>
          <w:color w:val="000000"/>
          <w:sz w:val="22"/>
          <w:szCs w:val="22"/>
        </w:rPr>
        <w:t xml:space="preserve">Please contact </w:t>
      </w:r>
      <w:hyperlink r:id="rId16" w:history="1">
        <w:r w:rsidRPr="007D4ABD">
          <w:rPr>
            <w:rStyle w:val="Hyperlink"/>
            <w:rFonts w:cs="Arial"/>
            <w:bCs/>
            <w:sz w:val="22"/>
            <w:szCs w:val="22"/>
          </w:rPr>
          <w:t>lucy.johnson@liverpoolmuseums.org.uk</w:t>
        </w:r>
      </w:hyperlink>
    </w:p>
    <w:p w:rsidR="00E34909" w:rsidRDefault="00E34909" w:rsidP="00521A37">
      <w:pPr>
        <w:pStyle w:val="Heading2"/>
        <w:numPr>
          <w:ilvl w:val="0"/>
          <w:numId w:val="0"/>
        </w:numPr>
        <w:spacing w:after="0" w:line="240" w:lineRule="auto"/>
        <w:ind w:left="567" w:hanging="567"/>
        <w:rPr>
          <w:rFonts w:cs="Arial"/>
          <w:sz w:val="22"/>
          <w:szCs w:val="22"/>
        </w:rPr>
      </w:pPr>
    </w:p>
    <w:p w:rsidR="00012C91" w:rsidRPr="00B23806" w:rsidRDefault="00E34909" w:rsidP="00E34909">
      <w:pPr>
        <w:pStyle w:val="Heading2"/>
        <w:numPr>
          <w:ilvl w:val="0"/>
          <w:numId w:val="0"/>
        </w:numPr>
        <w:spacing w:after="0" w:line="240" w:lineRule="auto"/>
        <w:rPr>
          <w:rFonts w:cs="Arial"/>
          <w:sz w:val="22"/>
          <w:szCs w:val="22"/>
        </w:rPr>
      </w:pPr>
      <w:r>
        <w:rPr>
          <w:rFonts w:cs="Arial"/>
          <w:sz w:val="22"/>
          <w:szCs w:val="22"/>
        </w:rPr>
        <w:t xml:space="preserve">3.3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BB12AD"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B12AD" w:rsidRDefault="001B53D8" w:rsidP="00521A37">
            <w:pPr>
              <w:spacing w:line="240" w:lineRule="auto"/>
              <w:rPr>
                <w:rFonts w:eastAsiaTheme="minorHAnsi" w:cs="Arial"/>
                <w:color w:val="000000" w:themeColor="text1"/>
                <w:sz w:val="22"/>
                <w:szCs w:val="22"/>
              </w:rPr>
            </w:pPr>
            <w:r w:rsidRPr="00BB12AD">
              <w:rPr>
                <w:rFonts w:cs="Arial"/>
                <w:color w:val="000000" w:themeColor="text1"/>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B12AD" w:rsidRDefault="001B53D8" w:rsidP="00521A37">
            <w:pPr>
              <w:spacing w:line="240" w:lineRule="auto"/>
              <w:rPr>
                <w:rFonts w:eastAsiaTheme="minorHAnsi" w:cs="Arial"/>
                <w:color w:val="000000" w:themeColor="text1"/>
                <w:sz w:val="22"/>
                <w:szCs w:val="22"/>
              </w:rPr>
            </w:pPr>
            <w:r w:rsidRPr="00BB12AD">
              <w:rPr>
                <w:rFonts w:cs="Arial"/>
                <w:color w:val="000000" w:themeColor="text1"/>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CB3C7B" w:rsidRDefault="00E2453E" w:rsidP="00A217FD">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0</w:t>
            </w:r>
            <w:r w:rsidR="00A217FD">
              <w:rPr>
                <w:rFonts w:eastAsiaTheme="minorHAnsi" w:cs="Arial"/>
                <w:b/>
                <w:bCs/>
                <w:color w:val="000000" w:themeColor="text1"/>
                <w:sz w:val="22"/>
                <w:szCs w:val="22"/>
              </w:rPr>
              <w:t>3</w:t>
            </w:r>
            <w:r>
              <w:rPr>
                <w:rFonts w:eastAsiaTheme="minorHAnsi" w:cs="Arial"/>
                <w:b/>
                <w:bCs/>
                <w:color w:val="000000" w:themeColor="text1"/>
                <w:sz w:val="22"/>
                <w:szCs w:val="22"/>
              </w:rPr>
              <w:t>/10</w:t>
            </w:r>
            <w:r w:rsidR="00C733D0">
              <w:rPr>
                <w:rFonts w:eastAsiaTheme="minorHAnsi" w:cs="Arial"/>
                <w:b/>
                <w:bCs/>
                <w:color w:val="000000" w:themeColor="text1"/>
                <w:sz w:val="22"/>
                <w:szCs w:val="22"/>
              </w:rPr>
              <w:t>/2017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4909" w:rsidRPr="00BB12AD" w:rsidRDefault="00E34909" w:rsidP="00116693">
            <w:pPr>
              <w:spacing w:line="240" w:lineRule="auto"/>
              <w:rPr>
                <w:rFonts w:cs="Arial"/>
                <w:color w:val="000000" w:themeColor="text1"/>
                <w:sz w:val="22"/>
                <w:szCs w:val="22"/>
              </w:rPr>
            </w:pPr>
            <w:r>
              <w:rPr>
                <w:rFonts w:cs="Arial"/>
                <w:color w:val="000000" w:themeColor="text1"/>
                <w:sz w:val="22"/>
                <w:szCs w:val="22"/>
              </w:rPr>
              <w:t>2.</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E34909" w:rsidRPr="00BB12AD" w:rsidRDefault="00E34909" w:rsidP="00116693">
            <w:pPr>
              <w:spacing w:line="240" w:lineRule="auto"/>
              <w:rPr>
                <w:rFonts w:cs="Arial"/>
                <w:color w:val="000000" w:themeColor="text1"/>
                <w:sz w:val="22"/>
                <w:szCs w:val="22"/>
              </w:rPr>
            </w:pPr>
            <w:r>
              <w:rPr>
                <w:rFonts w:cs="Arial"/>
                <w:color w:val="000000" w:themeColor="text1"/>
                <w:sz w:val="22"/>
                <w:szCs w:val="22"/>
              </w:rPr>
              <w:t>Site visit</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E34909" w:rsidRDefault="00E34909" w:rsidP="006B5C9F">
            <w:pPr>
              <w:rPr>
                <w:rFonts w:cs="Arial"/>
                <w:b/>
                <w:color w:val="000000" w:themeColor="text1"/>
                <w:sz w:val="22"/>
                <w:szCs w:val="22"/>
              </w:rPr>
            </w:pPr>
            <w:r>
              <w:rPr>
                <w:rFonts w:cs="Arial"/>
                <w:b/>
                <w:color w:val="000000" w:themeColor="text1"/>
                <w:sz w:val="22"/>
                <w:szCs w:val="22"/>
              </w:rPr>
              <w:t>1</w:t>
            </w:r>
            <w:r w:rsidR="006B5C9F">
              <w:rPr>
                <w:rFonts w:cs="Arial"/>
                <w:b/>
                <w:color w:val="000000" w:themeColor="text1"/>
                <w:sz w:val="22"/>
                <w:szCs w:val="22"/>
              </w:rPr>
              <w:t>0</w:t>
            </w:r>
            <w:r>
              <w:rPr>
                <w:rFonts w:cs="Arial"/>
                <w:b/>
                <w:color w:val="000000" w:themeColor="text1"/>
                <w:sz w:val="22"/>
                <w:szCs w:val="22"/>
              </w:rPr>
              <w:t>/10/2017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909" w:rsidRPr="00BB12AD" w:rsidRDefault="00E34909" w:rsidP="00521A37">
            <w:pPr>
              <w:spacing w:line="240" w:lineRule="auto"/>
              <w:rPr>
                <w:rFonts w:eastAsiaTheme="minorHAnsi" w:cs="Arial"/>
                <w:color w:val="000000" w:themeColor="text1"/>
                <w:sz w:val="22"/>
                <w:szCs w:val="22"/>
              </w:rPr>
            </w:pPr>
            <w:r>
              <w:rPr>
                <w:rFonts w:cs="Arial"/>
                <w:color w:val="000000" w:themeColor="text1"/>
                <w:sz w:val="22"/>
                <w:szCs w:val="22"/>
              </w:rPr>
              <w:t>3</w:t>
            </w:r>
            <w:r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BB12AD" w:rsidRDefault="00E34909" w:rsidP="009822E2">
            <w:pPr>
              <w:spacing w:line="240" w:lineRule="auto"/>
              <w:rPr>
                <w:rFonts w:eastAsiaTheme="minorHAnsi" w:cs="Arial"/>
                <w:color w:val="000000" w:themeColor="text1"/>
                <w:sz w:val="22"/>
                <w:szCs w:val="22"/>
              </w:rPr>
            </w:pPr>
            <w:r w:rsidRPr="00BB12AD">
              <w:rPr>
                <w:rFonts w:cs="Arial"/>
                <w:color w:val="000000" w:themeColor="text1"/>
                <w:sz w:val="22"/>
                <w:szCs w:val="22"/>
              </w:rPr>
              <w:t xml:space="preserve">Deadline for clarification questions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CB3C7B" w:rsidRDefault="00E34909" w:rsidP="00AB6E9A">
            <w:pPr>
              <w:rPr>
                <w:rFonts w:cs="Arial"/>
                <w:b/>
                <w:color w:val="000000" w:themeColor="text1"/>
                <w:sz w:val="22"/>
                <w:szCs w:val="22"/>
              </w:rPr>
            </w:pPr>
            <w:r>
              <w:rPr>
                <w:rFonts w:cs="Arial"/>
                <w:b/>
                <w:color w:val="000000" w:themeColor="text1"/>
                <w:sz w:val="22"/>
                <w:szCs w:val="22"/>
              </w:rPr>
              <w:t>1</w:t>
            </w:r>
            <w:r w:rsidR="006B5C9F">
              <w:rPr>
                <w:rFonts w:cs="Arial"/>
                <w:b/>
                <w:color w:val="000000" w:themeColor="text1"/>
                <w:sz w:val="22"/>
                <w:szCs w:val="22"/>
              </w:rPr>
              <w:t>1</w:t>
            </w:r>
            <w:r>
              <w:rPr>
                <w:rFonts w:cs="Arial"/>
                <w:b/>
                <w:color w:val="000000" w:themeColor="text1"/>
                <w:sz w:val="22"/>
                <w:szCs w:val="22"/>
              </w:rPr>
              <w:t>/10/2017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909" w:rsidRPr="00BB12AD" w:rsidRDefault="00E34909" w:rsidP="00521A37">
            <w:pPr>
              <w:spacing w:line="240" w:lineRule="auto"/>
              <w:rPr>
                <w:rFonts w:eastAsiaTheme="minorHAnsi" w:cs="Arial"/>
                <w:color w:val="000000" w:themeColor="text1"/>
                <w:sz w:val="22"/>
                <w:szCs w:val="22"/>
              </w:rPr>
            </w:pPr>
            <w:r>
              <w:rPr>
                <w:rFonts w:cs="Arial"/>
                <w:color w:val="000000" w:themeColor="text1"/>
                <w:sz w:val="22"/>
                <w:szCs w:val="22"/>
              </w:rPr>
              <w:t>4</w:t>
            </w:r>
            <w:r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BB12AD" w:rsidRDefault="00E34909" w:rsidP="00521A37">
            <w:pPr>
              <w:spacing w:line="240" w:lineRule="auto"/>
              <w:rPr>
                <w:rFonts w:eastAsiaTheme="minorHAnsi" w:cs="Arial"/>
                <w:color w:val="000000" w:themeColor="text1"/>
                <w:sz w:val="22"/>
                <w:szCs w:val="22"/>
              </w:rPr>
            </w:pPr>
            <w:r w:rsidRPr="00BB12AD">
              <w:rPr>
                <w:rFonts w:cs="Arial"/>
                <w:color w:val="000000" w:themeColor="text1"/>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CB3C7B" w:rsidRDefault="00E34909" w:rsidP="008B57AA">
            <w:pPr>
              <w:rPr>
                <w:rFonts w:cs="Arial"/>
                <w:b/>
                <w:color w:val="000000" w:themeColor="text1"/>
                <w:sz w:val="22"/>
                <w:szCs w:val="22"/>
              </w:rPr>
            </w:pPr>
            <w:r>
              <w:rPr>
                <w:rFonts w:cs="Arial"/>
                <w:b/>
                <w:color w:val="000000" w:themeColor="text1"/>
                <w:sz w:val="22"/>
                <w:szCs w:val="22"/>
              </w:rPr>
              <w:t>13/10/2017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909" w:rsidRPr="00BB12AD" w:rsidRDefault="00E34909" w:rsidP="00521A37">
            <w:pPr>
              <w:spacing w:line="240" w:lineRule="auto"/>
              <w:rPr>
                <w:rFonts w:eastAsiaTheme="minorHAnsi" w:cs="Arial"/>
                <w:color w:val="000000" w:themeColor="text1"/>
                <w:sz w:val="22"/>
                <w:szCs w:val="22"/>
              </w:rPr>
            </w:pPr>
            <w:r>
              <w:rPr>
                <w:rFonts w:cs="Arial"/>
                <w:color w:val="000000" w:themeColor="text1"/>
                <w:sz w:val="22"/>
                <w:szCs w:val="22"/>
              </w:rPr>
              <w:t>5</w:t>
            </w:r>
            <w:r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BB12AD" w:rsidRDefault="00E34909" w:rsidP="00083F40">
            <w:pPr>
              <w:spacing w:line="240" w:lineRule="auto"/>
              <w:rPr>
                <w:rFonts w:eastAsiaTheme="minorHAnsi" w:cs="Arial"/>
                <w:b/>
                <w:color w:val="000000" w:themeColor="text1"/>
                <w:sz w:val="22"/>
                <w:szCs w:val="22"/>
              </w:rPr>
            </w:pPr>
            <w:r w:rsidRPr="00BB12AD">
              <w:rPr>
                <w:rFonts w:cs="Arial"/>
                <w:b/>
                <w:color w:val="000000" w:themeColor="text1"/>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CB3C7B" w:rsidRDefault="00E34909" w:rsidP="00AB6E9A">
            <w:pPr>
              <w:rPr>
                <w:rFonts w:cs="Arial"/>
                <w:b/>
                <w:color w:val="000000" w:themeColor="text1"/>
                <w:sz w:val="22"/>
                <w:szCs w:val="22"/>
              </w:rPr>
            </w:pPr>
            <w:r>
              <w:rPr>
                <w:rFonts w:cs="Arial"/>
                <w:b/>
                <w:color w:val="000000" w:themeColor="text1"/>
                <w:sz w:val="22"/>
                <w:szCs w:val="22"/>
              </w:rPr>
              <w:t>16/10/2017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4909" w:rsidRPr="00BB12AD" w:rsidRDefault="00E34909" w:rsidP="00521A37">
            <w:pPr>
              <w:spacing w:line="240" w:lineRule="auto"/>
              <w:rPr>
                <w:rFonts w:cs="Arial"/>
                <w:color w:val="000000" w:themeColor="text1"/>
                <w:sz w:val="22"/>
                <w:szCs w:val="22"/>
              </w:rPr>
            </w:pPr>
            <w:r>
              <w:rPr>
                <w:rFonts w:cs="Arial"/>
                <w:color w:val="000000" w:themeColor="text1"/>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E34909" w:rsidRPr="00BB12AD" w:rsidRDefault="00E34909" w:rsidP="00532569">
            <w:pPr>
              <w:rPr>
                <w:color w:val="000000" w:themeColor="text1"/>
              </w:rPr>
            </w:pPr>
            <w:r w:rsidRPr="00BB12AD">
              <w:rPr>
                <w:color w:val="000000" w:themeColor="text1"/>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E34909" w:rsidRPr="00CB3C7B" w:rsidRDefault="00E34909">
            <w:pPr>
              <w:rPr>
                <w:rFonts w:eastAsiaTheme="minorHAnsi" w:cs="Arial"/>
                <w:b/>
                <w:bCs/>
                <w:color w:val="000000" w:themeColor="text1"/>
                <w:sz w:val="22"/>
                <w:szCs w:val="22"/>
              </w:rPr>
            </w:pPr>
            <w:r>
              <w:rPr>
                <w:rFonts w:eastAsiaTheme="minorHAnsi" w:cs="Arial"/>
                <w:b/>
                <w:bCs/>
                <w:color w:val="000000" w:themeColor="text1"/>
                <w:sz w:val="22"/>
                <w:szCs w:val="22"/>
              </w:rPr>
              <w:t>16/10/2017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909" w:rsidRPr="00BB12AD" w:rsidRDefault="00E34909" w:rsidP="009822E2">
            <w:pPr>
              <w:spacing w:line="240" w:lineRule="auto"/>
              <w:rPr>
                <w:rFonts w:eastAsiaTheme="minorHAnsi" w:cs="Arial"/>
                <w:color w:val="000000" w:themeColor="text1"/>
                <w:sz w:val="22"/>
                <w:szCs w:val="22"/>
              </w:rPr>
            </w:pPr>
            <w:r>
              <w:rPr>
                <w:rFonts w:cs="Arial"/>
                <w:color w:val="000000" w:themeColor="text1"/>
                <w:sz w:val="22"/>
                <w:szCs w:val="22"/>
              </w:rPr>
              <w:t>7</w:t>
            </w:r>
            <w:r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BB12AD" w:rsidRDefault="00E34909" w:rsidP="00521A37">
            <w:pPr>
              <w:spacing w:line="240" w:lineRule="auto"/>
              <w:rPr>
                <w:rFonts w:eastAsiaTheme="minorHAnsi" w:cs="Arial"/>
                <w:color w:val="000000" w:themeColor="text1"/>
                <w:sz w:val="22"/>
                <w:szCs w:val="22"/>
              </w:rPr>
            </w:pPr>
            <w:r w:rsidRPr="00BB12AD">
              <w:rPr>
                <w:rFonts w:cs="Arial"/>
                <w:color w:val="000000" w:themeColor="text1"/>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CB3C7B" w:rsidRDefault="00E34909">
            <w:pPr>
              <w:rPr>
                <w:rFonts w:cs="Arial"/>
                <w:b/>
                <w:color w:val="000000" w:themeColor="text1"/>
                <w:sz w:val="22"/>
                <w:szCs w:val="22"/>
              </w:rPr>
            </w:pPr>
            <w:r>
              <w:rPr>
                <w:rFonts w:cs="Arial"/>
                <w:b/>
                <w:color w:val="000000" w:themeColor="text1"/>
                <w:sz w:val="22"/>
                <w:szCs w:val="22"/>
              </w:rPr>
              <w:t>18/10/2017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909" w:rsidRPr="00BB12AD" w:rsidRDefault="00E34909" w:rsidP="009822E2">
            <w:pPr>
              <w:spacing w:line="240" w:lineRule="auto"/>
              <w:rPr>
                <w:rFonts w:eastAsiaTheme="minorHAnsi" w:cs="Arial"/>
                <w:color w:val="000000" w:themeColor="text1"/>
                <w:sz w:val="22"/>
                <w:szCs w:val="22"/>
              </w:rPr>
            </w:pPr>
            <w:r>
              <w:rPr>
                <w:rFonts w:cs="Arial"/>
                <w:color w:val="000000" w:themeColor="text1"/>
                <w:sz w:val="22"/>
                <w:szCs w:val="22"/>
              </w:rPr>
              <w:t>8</w:t>
            </w:r>
            <w:r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BB12AD" w:rsidRDefault="00E34909" w:rsidP="00521A37">
            <w:pPr>
              <w:spacing w:line="240" w:lineRule="auto"/>
              <w:rPr>
                <w:rFonts w:eastAsiaTheme="minorHAnsi" w:cs="Arial"/>
                <w:color w:val="000000" w:themeColor="text1"/>
                <w:sz w:val="22"/>
                <w:szCs w:val="22"/>
              </w:rPr>
            </w:pPr>
            <w:r w:rsidRPr="00BB12AD">
              <w:rPr>
                <w:rFonts w:cs="Arial"/>
                <w:color w:val="000000" w:themeColor="text1"/>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CB3C7B" w:rsidRDefault="00E34909">
            <w:pPr>
              <w:rPr>
                <w:rFonts w:cs="Arial"/>
                <w:b/>
                <w:color w:val="000000" w:themeColor="text1"/>
                <w:sz w:val="22"/>
                <w:szCs w:val="22"/>
              </w:rPr>
            </w:pPr>
            <w:r>
              <w:rPr>
                <w:rFonts w:cs="Arial"/>
                <w:b/>
                <w:color w:val="000000" w:themeColor="text1"/>
                <w:sz w:val="22"/>
                <w:szCs w:val="22"/>
              </w:rPr>
              <w:t>18/10/2017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34909" w:rsidRPr="00BB12AD" w:rsidRDefault="00E34909" w:rsidP="009822E2">
            <w:pPr>
              <w:spacing w:line="240" w:lineRule="auto"/>
              <w:rPr>
                <w:rFonts w:eastAsiaTheme="minorHAnsi" w:cs="Arial"/>
                <w:color w:val="000000" w:themeColor="text1"/>
                <w:sz w:val="22"/>
                <w:szCs w:val="22"/>
              </w:rPr>
            </w:pPr>
            <w:r>
              <w:rPr>
                <w:rFonts w:cs="Arial"/>
                <w:color w:val="000000" w:themeColor="text1"/>
                <w:sz w:val="22"/>
                <w:szCs w:val="22"/>
              </w:rPr>
              <w:t>9</w:t>
            </w:r>
            <w:r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BB12AD" w:rsidRDefault="00E34909" w:rsidP="00521A37">
            <w:pPr>
              <w:spacing w:line="240" w:lineRule="auto"/>
              <w:rPr>
                <w:rFonts w:eastAsiaTheme="minorHAnsi" w:cs="Arial"/>
                <w:color w:val="000000" w:themeColor="text1"/>
                <w:sz w:val="22"/>
                <w:szCs w:val="22"/>
              </w:rPr>
            </w:pPr>
            <w:r w:rsidRPr="00BB12AD">
              <w:rPr>
                <w:rFonts w:cs="Arial"/>
                <w:color w:val="000000" w:themeColor="text1"/>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E34909" w:rsidRPr="00CB3C7B" w:rsidRDefault="00A217FD" w:rsidP="00A217FD">
            <w:pPr>
              <w:rPr>
                <w:rFonts w:cs="Arial"/>
                <w:b/>
                <w:color w:val="000000" w:themeColor="text1"/>
                <w:sz w:val="22"/>
                <w:szCs w:val="22"/>
              </w:rPr>
            </w:pPr>
            <w:r>
              <w:rPr>
                <w:rFonts w:cs="Arial"/>
                <w:b/>
                <w:color w:val="000000" w:themeColor="text1"/>
                <w:sz w:val="22"/>
                <w:szCs w:val="22"/>
              </w:rPr>
              <w:t>30</w:t>
            </w:r>
            <w:r w:rsidR="00E34909" w:rsidRPr="00CB3C7B">
              <w:rPr>
                <w:rFonts w:cs="Arial"/>
                <w:b/>
                <w:color w:val="000000" w:themeColor="text1"/>
                <w:sz w:val="22"/>
                <w:szCs w:val="22"/>
              </w:rPr>
              <w:t>/10/2017</w:t>
            </w:r>
          </w:p>
        </w:tc>
      </w:tr>
      <w:tr w:rsidR="00E34909" w:rsidRPr="00BB12AD"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34909" w:rsidRPr="00BB12AD" w:rsidRDefault="00E34909" w:rsidP="009822E2">
            <w:pPr>
              <w:spacing w:line="240" w:lineRule="auto"/>
              <w:rPr>
                <w:rFonts w:cs="Arial"/>
                <w:color w:val="000000" w:themeColor="text1"/>
                <w:sz w:val="22"/>
                <w:szCs w:val="22"/>
              </w:rPr>
            </w:pPr>
            <w:r>
              <w:rPr>
                <w:rFonts w:cs="Arial"/>
                <w:color w:val="000000" w:themeColor="text1"/>
                <w:sz w:val="22"/>
                <w:szCs w:val="22"/>
              </w:rPr>
              <w:t>10</w:t>
            </w:r>
            <w:r w:rsidRPr="00BB12AD">
              <w:rPr>
                <w:rFonts w:cs="Arial"/>
                <w:color w:val="000000" w:themeColor="text1"/>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E34909" w:rsidRPr="00BB12AD" w:rsidRDefault="00E34909" w:rsidP="00521A37">
            <w:pPr>
              <w:spacing w:line="240" w:lineRule="auto"/>
              <w:rPr>
                <w:rFonts w:eastAsiaTheme="minorHAnsi" w:cs="Arial"/>
                <w:color w:val="000000" w:themeColor="text1"/>
                <w:sz w:val="22"/>
                <w:szCs w:val="22"/>
              </w:rPr>
            </w:pPr>
            <w:r>
              <w:rPr>
                <w:rFonts w:cs="Arial"/>
                <w:color w:val="000000" w:themeColor="text1"/>
                <w:sz w:val="22"/>
                <w:szCs w:val="22"/>
              </w:rPr>
              <w:t>Delivery of display case plinths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E34909" w:rsidRPr="00CB3C7B" w:rsidRDefault="00E34909" w:rsidP="0056679A">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15</w:t>
            </w:r>
            <w:r w:rsidRPr="00CB3C7B">
              <w:rPr>
                <w:rFonts w:eastAsiaTheme="minorHAnsi" w:cs="Arial"/>
                <w:b/>
                <w:bCs/>
                <w:color w:val="000000" w:themeColor="text1"/>
                <w:sz w:val="22"/>
                <w:szCs w:val="22"/>
              </w:rPr>
              <w:t>/12/2017</w:t>
            </w:r>
          </w:p>
        </w:tc>
      </w:tr>
    </w:tbl>
    <w:p w:rsidR="006C1C8D" w:rsidRPr="00BB12AD" w:rsidRDefault="006C1C8D" w:rsidP="00521A37">
      <w:pPr>
        <w:pStyle w:val="ReportText2"/>
        <w:spacing w:after="0" w:line="240" w:lineRule="auto"/>
        <w:ind w:left="0"/>
        <w:rPr>
          <w:rFonts w:cs="Arial"/>
          <w:color w:val="000000" w:themeColor="text1"/>
          <w:sz w:val="22"/>
          <w:szCs w:val="22"/>
        </w:rPr>
      </w:pPr>
    </w:p>
    <w:p w:rsidR="00687E32" w:rsidRPr="00BB12AD" w:rsidRDefault="00687E32" w:rsidP="00521A37">
      <w:pPr>
        <w:pStyle w:val="ReportText2"/>
        <w:spacing w:after="0" w:line="240" w:lineRule="auto"/>
        <w:ind w:left="0"/>
        <w:rPr>
          <w:rFonts w:cs="Arial"/>
          <w:b/>
          <w:color w:val="000000" w:themeColor="text1"/>
          <w:sz w:val="22"/>
          <w:szCs w:val="22"/>
        </w:rPr>
      </w:pPr>
      <w:r w:rsidRPr="00BB12AD">
        <w:rPr>
          <w:rFonts w:cs="Arial"/>
          <w:b/>
          <w:color w:val="000000" w:themeColor="text1"/>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3" w:name="_Toc148507584"/>
      <w:bookmarkStart w:id="54" w:name="_Toc246913829"/>
      <w:r w:rsidRPr="00B23806">
        <w:rPr>
          <w:rFonts w:cs="Arial"/>
          <w:sz w:val="22"/>
          <w:szCs w:val="22"/>
        </w:rPr>
        <w:t>3.</w:t>
      </w:r>
      <w:r w:rsidR="005D63B3">
        <w:rPr>
          <w:rFonts w:cs="Arial"/>
          <w:sz w:val="22"/>
          <w:szCs w:val="22"/>
        </w:rPr>
        <w:t>3</w:t>
      </w:r>
      <w:r w:rsidR="00F85C7F" w:rsidRPr="00B23806">
        <w:rPr>
          <w:rFonts w:cs="Arial"/>
          <w:sz w:val="22"/>
          <w:szCs w:val="22"/>
        </w:rPr>
        <w:t xml:space="preserve"> </w:t>
      </w:r>
      <w:r w:rsidR="00012C91" w:rsidRPr="00B23806">
        <w:rPr>
          <w:rFonts w:cs="Arial"/>
          <w:sz w:val="22"/>
          <w:szCs w:val="22"/>
        </w:rPr>
        <w:t>Timing and Delivery</w:t>
      </w:r>
      <w:bookmarkEnd w:id="53"/>
      <w:bookmarkEnd w:id="54"/>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5D63B3" w:rsidRDefault="00665EC7" w:rsidP="00521A37">
      <w:pPr>
        <w:pStyle w:val="ReportText1"/>
        <w:spacing w:after="0" w:line="240" w:lineRule="auto"/>
        <w:ind w:left="0"/>
        <w:rPr>
          <w:rFonts w:cs="Arial"/>
          <w:color w:val="000000" w:themeColor="text1"/>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5D63B3">
        <w:rPr>
          <w:rFonts w:cs="Arial"/>
          <w:color w:val="000000" w:themeColor="text1"/>
          <w:sz w:val="22"/>
          <w:szCs w:val="22"/>
        </w:rPr>
        <w:t>Emails should be titled “</w:t>
      </w:r>
      <w:r w:rsidR="008651CA" w:rsidRPr="005D63B3">
        <w:rPr>
          <w:rFonts w:cs="Arial"/>
          <w:color w:val="000000" w:themeColor="text1"/>
          <w:sz w:val="22"/>
          <w:szCs w:val="22"/>
        </w:rPr>
        <w:t xml:space="preserve">NML Terracotta Warrior Display Case </w:t>
      </w:r>
      <w:r w:rsidR="003C107C">
        <w:rPr>
          <w:rFonts w:cs="Arial"/>
          <w:color w:val="000000" w:themeColor="text1"/>
          <w:sz w:val="22"/>
          <w:szCs w:val="22"/>
        </w:rPr>
        <w:t>Plinths</w:t>
      </w:r>
      <w:r w:rsidR="001F5D89" w:rsidRPr="005D63B3">
        <w:rPr>
          <w:rFonts w:cs="Arial"/>
          <w:color w:val="000000" w:themeColor="text1"/>
          <w:sz w:val="22"/>
          <w:szCs w:val="22"/>
        </w:rPr>
        <w:t xml:space="preserve"> </w:t>
      </w:r>
      <w:r w:rsidR="008651CA" w:rsidRPr="005D63B3">
        <w:rPr>
          <w:rFonts w:cs="Arial"/>
          <w:color w:val="000000" w:themeColor="text1"/>
          <w:sz w:val="22"/>
          <w:szCs w:val="22"/>
        </w:rPr>
        <w:t>Tender</w:t>
      </w:r>
      <w:r w:rsidRPr="005D63B3">
        <w:rPr>
          <w:rFonts w:cs="Arial"/>
          <w:color w:val="000000" w:themeColor="text1"/>
          <w:sz w:val="22"/>
          <w:szCs w:val="22"/>
        </w:rPr>
        <w:t>”. If multiple emails are sent the header should indicate they are “Part x of xx”.</w:t>
      </w:r>
    </w:p>
    <w:p w:rsidR="00083F40" w:rsidRPr="005D63B3" w:rsidRDefault="00083F40" w:rsidP="00521A37">
      <w:pPr>
        <w:pStyle w:val="ReportText1"/>
        <w:spacing w:after="0" w:line="240" w:lineRule="auto"/>
        <w:ind w:left="0"/>
        <w:rPr>
          <w:rFonts w:cs="Arial"/>
          <w:color w:val="000000" w:themeColor="text1"/>
          <w:sz w:val="22"/>
          <w:szCs w:val="22"/>
        </w:rPr>
      </w:pPr>
    </w:p>
    <w:p w:rsidR="00665EC7" w:rsidRPr="005D63B3" w:rsidRDefault="00083F40" w:rsidP="00521A37">
      <w:pPr>
        <w:pStyle w:val="ReportText1"/>
        <w:spacing w:after="0" w:line="240" w:lineRule="auto"/>
        <w:ind w:left="0"/>
        <w:rPr>
          <w:rFonts w:cs="Arial"/>
          <w:color w:val="000000" w:themeColor="text1"/>
          <w:sz w:val="22"/>
          <w:szCs w:val="22"/>
        </w:rPr>
      </w:pPr>
      <w:r w:rsidRPr="005D63B3">
        <w:rPr>
          <w:rFonts w:cs="Arial"/>
          <w:color w:val="000000" w:themeColor="text1"/>
          <w:sz w:val="22"/>
          <w:szCs w:val="22"/>
        </w:rPr>
        <w:lastRenderedPageBreak/>
        <w:t>Bid submission</w:t>
      </w:r>
      <w:r w:rsidR="00665EC7" w:rsidRPr="005D63B3">
        <w:rPr>
          <w:rFonts w:cs="Arial"/>
          <w:color w:val="000000" w:themeColor="text1"/>
          <w:sz w:val="22"/>
          <w:szCs w:val="22"/>
        </w:rPr>
        <w:t xml:space="preserve">s must be received no later than </w:t>
      </w:r>
      <w:r w:rsidR="00665EC7" w:rsidRPr="005D63B3">
        <w:rPr>
          <w:rFonts w:cs="Arial"/>
          <w:b/>
          <w:color w:val="000000" w:themeColor="text1"/>
          <w:sz w:val="22"/>
          <w:szCs w:val="22"/>
        </w:rPr>
        <w:t xml:space="preserve">Noon on </w:t>
      </w:r>
      <w:r w:rsidR="00E2453E">
        <w:rPr>
          <w:rFonts w:cs="Arial"/>
          <w:b/>
          <w:color w:val="000000" w:themeColor="text1"/>
          <w:sz w:val="22"/>
          <w:szCs w:val="22"/>
        </w:rPr>
        <w:t>16</w:t>
      </w:r>
      <w:r w:rsidR="005D5632">
        <w:rPr>
          <w:rFonts w:cs="Arial"/>
          <w:b/>
          <w:color w:val="000000" w:themeColor="text1"/>
          <w:sz w:val="22"/>
          <w:szCs w:val="22"/>
        </w:rPr>
        <w:t xml:space="preserve"> </w:t>
      </w:r>
      <w:r w:rsidR="00B35C2C">
        <w:rPr>
          <w:rFonts w:cs="Arial"/>
          <w:b/>
          <w:color w:val="000000" w:themeColor="text1"/>
          <w:sz w:val="22"/>
          <w:szCs w:val="22"/>
        </w:rPr>
        <w:t>October</w:t>
      </w:r>
      <w:r w:rsidR="008651CA" w:rsidRPr="005D63B3">
        <w:rPr>
          <w:rFonts w:cs="Arial"/>
          <w:b/>
          <w:color w:val="000000" w:themeColor="text1"/>
          <w:sz w:val="22"/>
          <w:szCs w:val="22"/>
        </w:rPr>
        <w:t xml:space="preserve"> 2017</w:t>
      </w:r>
      <w:r w:rsidR="00665EC7" w:rsidRPr="005D63B3">
        <w:rPr>
          <w:rFonts w:cs="Arial"/>
          <w:b/>
          <w:color w:val="000000" w:themeColor="text1"/>
          <w:sz w:val="22"/>
          <w:szCs w:val="22"/>
        </w:rPr>
        <w:t>.</w:t>
      </w:r>
      <w:r w:rsidR="00665EC7" w:rsidRPr="005D63B3">
        <w:rPr>
          <w:rFonts w:cs="Arial"/>
          <w:color w:val="000000" w:themeColor="text1"/>
          <w:sz w:val="22"/>
          <w:szCs w:val="22"/>
        </w:rPr>
        <w:t xml:space="preserve"> Any response received after this date and time may be discounted from further consideration. Any requirement that the </w:t>
      </w:r>
      <w:r w:rsidR="003D2508" w:rsidRPr="005D63B3">
        <w:rPr>
          <w:rFonts w:cs="Arial"/>
          <w:color w:val="000000" w:themeColor="text1"/>
          <w:sz w:val="22"/>
          <w:szCs w:val="22"/>
        </w:rPr>
        <w:t>bidder</w:t>
      </w:r>
      <w:r w:rsidR="00665EC7" w:rsidRPr="005D63B3">
        <w:rPr>
          <w:rFonts w:cs="Arial"/>
          <w:color w:val="000000" w:themeColor="text1"/>
          <w:sz w:val="22"/>
          <w:szCs w:val="22"/>
        </w:rPr>
        <w:t xml:space="preserve"> might have for proof of delivery is at the </w:t>
      </w:r>
      <w:r w:rsidR="003D2508" w:rsidRPr="005D63B3">
        <w:rPr>
          <w:rFonts w:cs="Arial"/>
          <w:color w:val="000000" w:themeColor="text1"/>
          <w:sz w:val="22"/>
          <w:szCs w:val="22"/>
        </w:rPr>
        <w:t>bidder</w:t>
      </w:r>
      <w:r w:rsidR="00665EC7" w:rsidRPr="005D63B3">
        <w:rPr>
          <w:rFonts w:cs="Arial"/>
          <w:color w:val="000000" w:themeColor="text1"/>
          <w:sz w:val="22"/>
          <w:szCs w:val="22"/>
        </w:rPr>
        <w:t>’s discretion and cost.</w:t>
      </w:r>
    </w:p>
    <w:p w:rsidR="00083F40" w:rsidRPr="005D63B3" w:rsidRDefault="00083F40" w:rsidP="00521A37">
      <w:pPr>
        <w:pStyle w:val="ReportText1"/>
        <w:spacing w:after="0" w:line="240" w:lineRule="auto"/>
        <w:ind w:left="0"/>
        <w:rPr>
          <w:rFonts w:cs="Arial"/>
          <w:color w:val="000000" w:themeColor="text1"/>
          <w:sz w:val="22"/>
          <w:szCs w:val="22"/>
        </w:rPr>
      </w:pPr>
    </w:p>
    <w:p w:rsidR="00665EC7" w:rsidRPr="005D63B3" w:rsidRDefault="00665EC7" w:rsidP="00521A37">
      <w:pPr>
        <w:pStyle w:val="ReportText1"/>
        <w:spacing w:after="0" w:line="240" w:lineRule="auto"/>
        <w:ind w:left="0"/>
        <w:rPr>
          <w:rFonts w:cs="Arial"/>
          <w:color w:val="000000" w:themeColor="text1"/>
          <w:sz w:val="22"/>
          <w:szCs w:val="22"/>
        </w:rPr>
      </w:pPr>
      <w:r w:rsidRPr="005D63B3">
        <w:rPr>
          <w:rFonts w:cs="Arial"/>
          <w:color w:val="000000" w:themeColor="text1"/>
          <w:sz w:val="22"/>
          <w:szCs w:val="22"/>
        </w:rPr>
        <w:t xml:space="preserve">No </w:t>
      </w:r>
      <w:r w:rsidR="00083F40" w:rsidRPr="005D63B3">
        <w:rPr>
          <w:rFonts w:cs="Arial"/>
          <w:color w:val="000000" w:themeColor="text1"/>
          <w:sz w:val="22"/>
          <w:szCs w:val="22"/>
        </w:rPr>
        <w:t>bid submission</w:t>
      </w:r>
      <w:r w:rsidRPr="005D63B3">
        <w:rPr>
          <w:rFonts w:cs="Arial"/>
          <w:color w:val="000000" w:themeColor="text1"/>
          <w:sz w:val="22"/>
          <w:szCs w:val="22"/>
        </w:rPr>
        <w:t xml:space="preserve"> will be opened until the deadline of </w:t>
      </w:r>
      <w:r w:rsidRPr="005D63B3">
        <w:rPr>
          <w:rFonts w:cs="Arial"/>
          <w:b/>
          <w:color w:val="000000" w:themeColor="text1"/>
          <w:sz w:val="22"/>
          <w:szCs w:val="22"/>
        </w:rPr>
        <w:t xml:space="preserve">Noon on </w:t>
      </w:r>
      <w:r w:rsidR="00E2453E">
        <w:rPr>
          <w:rFonts w:cs="Arial"/>
          <w:b/>
          <w:color w:val="000000" w:themeColor="text1"/>
          <w:sz w:val="22"/>
          <w:szCs w:val="22"/>
        </w:rPr>
        <w:t>16</w:t>
      </w:r>
      <w:r w:rsidR="005D5632">
        <w:rPr>
          <w:rFonts w:cs="Arial"/>
          <w:b/>
          <w:color w:val="000000" w:themeColor="text1"/>
          <w:sz w:val="22"/>
          <w:szCs w:val="22"/>
        </w:rPr>
        <w:t xml:space="preserve"> </w:t>
      </w:r>
      <w:r w:rsidR="00B35C2C">
        <w:rPr>
          <w:rFonts w:cs="Arial"/>
          <w:b/>
          <w:color w:val="000000" w:themeColor="text1"/>
          <w:sz w:val="22"/>
          <w:szCs w:val="22"/>
        </w:rPr>
        <w:t>October</w:t>
      </w:r>
      <w:r w:rsidR="008651CA" w:rsidRPr="005D63B3">
        <w:rPr>
          <w:rFonts w:cs="Arial"/>
          <w:b/>
          <w:color w:val="000000" w:themeColor="text1"/>
          <w:sz w:val="22"/>
          <w:szCs w:val="22"/>
        </w:rPr>
        <w:t xml:space="preserve"> 2017</w:t>
      </w:r>
      <w:r w:rsidRPr="005D63B3">
        <w:rPr>
          <w:rFonts w:cs="Arial"/>
          <w:b/>
          <w:color w:val="000000" w:themeColor="text1"/>
          <w:sz w:val="22"/>
          <w:szCs w:val="22"/>
        </w:rPr>
        <w:t>.</w:t>
      </w:r>
    </w:p>
    <w:p w:rsidR="00083F40" w:rsidRPr="005D63B3" w:rsidRDefault="00083F40" w:rsidP="00521A37">
      <w:pPr>
        <w:pStyle w:val="ReportText1"/>
        <w:spacing w:after="0" w:line="240" w:lineRule="auto"/>
        <w:ind w:left="0"/>
        <w:rPr>
          <w:rFonts w:cs="Arial"/>
          <w:color w:val="000000" w:themeColor="text1"/>
          <w:sz w:val="22"/>
          <w:szCs w:val="22"/>
        </w:rPr>
      </w:pPr>
    </w:p>
    <w:p w:rsidR="00526D2D" w:rsidRPr="005D63B3" w:rsidRDefault="00665EC7" w:rsidP="00083F40">
      <w:pPr>
        <w:pStyle w:val="ReportText1"/>
        <w:spacing w:after="0" w:line="240" w:lineRule="auto"/>
        <w:ind w:left="0"/>
        <w:rPr>
          <w:rFonts w:cs="Arial"/>
          <w:color w:val="000000" w:themeColor="text1"/>
          <w:sz w:val="22"/>
          <w:szCs w:val="22"/>
        </w:rPr>
      </w:pPr>
      <w:r w:rsidRPr="005D63B3">
        <w:rPr>
          <w:rFonts w:cs="Arial"/>
          <w:color w:val="000000" w:themeColor="text1"/>
          <w:sz w:val="22"/>
          <w:szCs w:val="22"/>
        </w:rPr>
        <w:t>To enable an efficient and fair evaluation process this process must be strictly adhered to.</w:t>
      </w:r>
      <w:r w:rsidR="00083F40" w:rsidRPr="005D63B3">
        <w:rPr>
          <w:rFonts w:cs="Arial"/>
          <w:color w:val="000000" w:themeColor="text1"/>
          <w:sz w:val="22"/>
          <w:szCs w:val="22"/>
        </w:rPr>
        <w:t xml:space="preserve"> </w:t>
      </w:r>
      <w:r w:rsidR="00526D2D" w:rsidRPr="005D63B3">
        <w:rPr>
          <w:rFonts w:cs="Arial"/>
          <w:color w:val="000000" w:themeColor="text1"/>
          <w:sz w:val="22"/>
          <w:szCs w:val="22"/>
        </w:rPr>
        <w:t xml:space="preserve">If a bidder does not comply with the requirements contained in this Section, </w:t>
      </w:r>
      <w:r w:rsidR="00083F40" w:rsidRPr="005D63B3">
        <w:rPr>
          <w:rFonts w:cs="Arial"/>
          <w:color w:val="000000" w:themeColor="text1"/>
          <w:sz w:val="22"/>
          <w:szCs w:val="22"/>
        </w:rPr>
        <w:t>NML</w:t>
      </w:r>
      <w:r w:rsidR="00526D2D" w:rsidRPr="005D63B3">
        <w:rPr>
          <w:rFonts w:cs="Arial"/>
          <w:color w:val="000000" w:themeColor="text1"/>
          <w:sz w:val="22"/>
          <w:szCs w:val="22"/>
        </w:rPr>
        <w:t xml:space="preserve"> may (in its sole discretion) disqualify the </w:t>
      </w:r>
      <w:r w:rsidR="00083F40" w:rsidRPr="005D63B3">
        <w:rPr>
          <w:rFonts w:cs="Arial"/>
          <w:color w:val="000000" w:themeColor="text1"/>
          <w:sz w:val="22"/>
          <w:szCs w:val="22"/>
        </w:rPr>
        <w:t>b</w:t>
      </w:r>
      <w:r w:rsidR="00526D2D" w:rsidRPr="005D63B3">
        <w:rPr>
          <w:rFonts w:cs="Arial"/>
          <w:color w:val="000000" w:themeColor="text1"/>
          <w:sz w:val="22"/>
          <w:szCs w:val="22"/>
        </w:rPr>
        <w:t xml:space="preserve">idder from the competition. </w:t>
      </w:r>
    </w:p>
    <w:p w:rsidR="007B548F" w:rsidRPr="005D63B3" w:rsidRDefault="007B548F" w:rsidP="00521A37">
      <w:pPr>
        <w:pStyle w:val="ReportText1"/>
        <w:spacing w:after="0" w:line="240" w:lineRule="auto"/>
        <w:ind w:left="0"/>
        <w:rPr>
          <w:rFonts w:cs="Arial"/>
          <w:b/>
          <w:color w:val="000000" w:themeColor="text1"/>
          <w:sz w:val="22"/>
          <w:szCs w:val="22"/>
        </w:rPr>
      </w:pPr>
    </w:p>
    <w:p w:rsidR="001E04FF" w:rsidRPr="005D63B3" w:rsidRDefault="006F0DF0" w:rsidP="00521A37">
      <w:pPr>
        <w:pStyle w:val="ReportText1"/>
        <w:spacing w:after="0" w:line="240" w:lineRule="auto"/>
        <w:ind w:left="0"/>
        <w:rPr>
          <w:rFonts w:cs="Arial"/>
          <w:b/>
          <w:color w:val="000000" w:themeColor="text1"/>
          <w:sz w:val="22"/>
          <w:szCs w:val="22"/>
        </w:rPr>
      </w:pPr>
      <w:r w:rsidRPr="005D63B3">
        <w:rPr>
          <w:rFonts w:cs="Arial"/>
          <w:b/>
          <w:color w:val="000000" w:themeColor="text1"/>
          <w:sz w:val="22"/>
          <w:szCs w:val="22"/>
        </w:rPr>
        <w:t>3.</w:t>
      </w:r>
      <w:r w:rsidR="005D63B3">
        <w:rPr>
          <w:rFonts w:cs="Arial"/>
          <w:b/>
          <w:color w:val="000000" w:themeColor="text1"/>
          <w:sz w:val="22"/>
          <w:szCs w:val="22"/>
        </w:rPr>
        <w:t>4</w:t>
      </w:r>
      <w:r w:rsidR="001E04FF" w:rsidRPr="005D63B3">
        <w:rPr>
          <w:rFonts w:cs="Arial"/>
          <w:b/>
          <w:color w:val="000000" w:themeColor="text1"/>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5D63B3">
        <w:rPr>
          <w:rFonts w:cs="Arial"/>
          <w:color w:val="000000" w:themeColor="text1"/>
          <w:sz w:val="22"/>
          <w:szCs w:val="22"/>
        </w:rPr>
        <w:t xml:space="preserve">The </w:t>
      </w:r>
      <w:r w:rsidR="00083F40" w:rsidRPr="005D63B3">
        <w:rPr>
          <w:rFonts w:cs="Arial"/>
          <w:color w:val="000000" w:themeColor="text1"/>
          <w:sz w:val="22"/>
          <w:szCs w:val="22"/>
        </w:rPr>
        <w:t>bid submission</w:t>
      </w:r>
      <w:r w:rsidRPr="005D63B3">
        <w:rPr>
          <w:rFonts w:cs="Arial"/>
          <w:color w:val="000000" w:themeColor="text1"/>
          <w:sz w:val="22"/>
          <w:szCs w:val="22"/>
        </w:rPr>
        <w:t xml:space="preserve">s will be checked initially for compliance with </w:t>
      </w:r>
      <w:r w:rsidRPr="00B23806">
        <w:rPr>
          <w:rFonts w:cs="Arial"/>
          <w:sz w:val="22"/>
          <w:szCs w:val="22"/>
        </w:rPr>
        <w:t xml:space="preserve">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5D63B3" w:rsidRDefault="00B23806" w:rsidP="00521A37">
      <w:pPr>
        <w:pStyle w:val="ReportText1"/>
        <w:spacing w:after="0" w:line="240" w:lineRule="auto"/>
        <w:ind w:left="0"/>
        <w:rPr>
          <w:rFonts w:cs="Arial"/>
          <w:color w:val="000000" w:themeColor="text1"/>
          <w:sz w:val="22"/>
          <w:szCs w:val="22"/>
        </w:rPr>
      </w:pPr>
    </w:p>
    <w:p w:rsidR="00F15003" w:rsidRPr="005D63B3" w:rsidRDefault="00F15003" w:rsidP="00521A37">
      <w:pPr>
        <w:pStyle w:val="ReportText2"/>
        <w:spacing w:after="0" w:line="240" w:lineRule="auto"/>
        <w:ind w:left="0"/>
        <w:rPr>
          <w:rFonts w:cs="Arial"/>
          <w:color w:val="000000" w:themeColor="text1"/>
          <w:sz w:val="22"/>
          <w:szCs w:val="22"/>
        </w:rPr>
      </w:pPr>
      <w:r w:rsidRPr="005D63B3">
        <w:rPr>
          <w:rFonts w:cs="Arial"/>
          <w:color w:val="000000" w:themeColor="text1"/>
          <w:sz w:val="22"/>
          <w:szCs w:val="22"/>
        </w:rPr>
        <w:t xml:space="preserve">The </w:t>
      </w:r>
      <w:r w:rsidR="00083F40" w:rsidRPr="005D63B3">
        <w:rPr>
          <w:rFonts w:cs="Arial"/>
          <w:color w:val="000000" w:themeColor="text1"/>
          <w:sz w:val="22"/>
          <w:szCs w:val="22"/>
        </w:rPr>
        <w:t>bid submission</w:t>
      </w:r>
      <w:r w:rsidRPr="005D63B3">
        <w:rPr>
          <w:rFonts w:cs="Arial"/>
          <w:color w:val="000000" w:themeColor="text1"/>
          <w:sz w:val="22"/>
          <w:szCs w:val="22"/>
        </w:rPr>
        <w:t>s will be evaluated according to the following criteria, to determine the highest scoring responses. :</w:t>
      </w:r>
    </w:p>
    <w:p w:rsidR="00F15003" w:rsidRPr="005D63B3" w:rsidRDefault="00F15003" w:rsidP="00521A37">
      <w:pPr>
        <w:pStyle w:val="ReportText2"/>
        <w:spacing w:after="0" w:line="240" w:lineRule="auto"/>
        <w:ind w:left="284"/>
        <w:jc w:val="left"/>
        <w:rPr>
          <w:rFonts w:cs="Arial"/>
          <w:color w:val="000000" w:themeColor="text1"/>
          <w:sz w:val="22"/>
          <w:szCs w:val="22"/>
        </w:rPr>
      </w:pPr>
    </w:p>
    <w:tbl>
      <w:tblPr>
        <w:tblStyle w:val="TableGrid"/>
        <w:tblW w:w="0" w:type="auto"/>
        <w:tblInd w:w="284" w:type="dxa"/>
        <w:tblLook w:val="04A0" w:firstRow="1" w:lastRow="0" w:firstColumn="1" w:lastColumn="0" w:noHBand="0" w:noVBand="1"/>
      </w:tblPr>
      <w:tblGrid>
        <w:gridCol w:w="4166"/>
        <w:gridCol w:w="4078"/>
      </w:tblGrid>
      <w:tr w:rsidR="005D63B3" w:rsidRPr="005D63B3" w:rsidTr="00D277C4">
        <w:tc>
          <w:tcPr>
            <w:tcW w:w="4166" w:type="dxa"/>
          </w:tcPr>
          <w:p w:rsidR="00F15003" w:rsidRPr="005D63B3" w:rsidRDefault="00F15003" w:rsidP="00521A37">
            <w:pPr>
              <w:pStyle w:val="ReportText2"/>
              <w:spacing w:after="0" w:line="240" w:lineRule="auto"/>
              <w:ind w:left="0"/>
              <w:jc w:val="left"/>
              <w:rPr>
                <w:rFonts w:cs="Arial"/>
                <w:b/>
                <w:color w:val="000000" w:themeColor="text1"/>
                <w:sz w:val="22"/>
                <w:szCs w:val="22"/>
              </w:rPr>
            </w:pPr>
            <w:r w:rsidRPr="005D63B3">
              <w:rPr>
                <w:rFonts w:cs="Arial"/>
                <w:b/>
                <w:color w:val="000000" w:themeColor="text1"/>
                <w:sz w:val="22"/>
                <w:szCs w:val="22"/>
              </w:rPr>
              <w:t>Element of Evaluation</w:t>
            </w:r>
          </w:p>
        </w:tc>
        <w:tc>
          <w:tcPr>
            <w:tcW w:w="4078" w:type="dxa"/>
          </w:tcPr>
          <w:p w:rsidR="00F15003" w:rsidRPr="005D63B3" w:rsidRDefault="00F15003" w:rsidP="00521A37">
            <w:pPr>
              <w:pStyle w:val="ReportText2"/>
              <w:spacing w:after="0" w:line="240" w:lineRule="auto"/>
              <w:ind w:left="0"/>
              <w:jc w:val="left"/>
              <w:rPr>
                <w:rFonts w:cs="Arial"/>
                <w:b/>
                <w:color w:val="000000" w:themeColor="text1"/>
                <w:sz w:val="22"/>
                <w:szCs w:val="22"/>
              </w:rPr>
            </w:pPr>
            <w:r w:rsidRPr="005D63B3">
              <w:rPr>
                <w:rFonts w:cs="Arial"/>
                <w:b/>
                <w:color w:val="000000" w:themeColor="text1"/>
                <w:sz w:val="22"/>
                <w:szCs w:val="22"/>
              </w:rPr>
              <w:t>Max Score Available</w:t>
            </w:r>
          </w:p>
        </w:tc>
      </w:tr>
      <w:tr w:rsidR="005F1800" w:rsidRPr="005D63B3" w:rsidTr="00D277C4">
        <w:tc>
          <w:tcPr>
            <w:tcW w:w="4166" w:type="dxa"/>
          </w:tcPr>
          <w:p w:rsidR="005F1800" w:rsidRPr="00012C00" w:rsidRDefault="00AA7D7F" w:rsidP="008651CA">
            <w:pPr>
              <w:spacing w:line="240" w:lineRule="auto"/>
              <w:rPr>
                <w:rFonts w:cs="Arial"/>
                <w:i/>
                <w:color w:val="000000" w:themeColor="text1"/>
                <w:sz w:val="22"/>
                <w:szCs w:val="22"/>
              </w:rPr>
            </w:pPr>
            <w:r w:rsidRPr="00012C00">
              <w:rPr>
                <w:rFonts w:cs="Arial"/>
                <w:i/>
                <w:color w:val="000000" w:themeColor="text1"/>
                <w:sz w:val="22"/>
                <w:szCs w:val="22"/>
              </w:rPr>
              <w:t xml:space="preserve">Solution to the </w:t>
            </w:r>
            <w:r w:rsidR="00B35C2C" w:rsidRPr="00012C00">
              <w:rPr>
                <w:rFonts w:cs="Arial"/>
                <w:i/>
                <w:color w:val="000000" w:themeColor="text1"/>
                <w:sz w:val="22"/>
                <w:szCs w:val="22"/>
              </w:rPr>
              <w:t>display case plinth</w:t>
            </w:r>
            <w:r w:rsidRPr="00012C00">
              <w:rPr>
                <w:rFonts w:cs="Arial"/>
                <w:i/>
                <w:color w:val="000000" w:themeColor="text1"/>
                <w:sz w:val="22"/>
                <w:szCs w:val="22"/>
              </w:rPr>
              <w:t xml:space="preserve"> </w:t>
            </w:r>
            <w:r w:rsidR="00B35C2C" w:rsidRPr="00012C00">
              <w:rPr>
                <w:rFonts w:cs="Arial"/>
                <w:i/>
                <w:color w:val="000000" w:themeColor="text1"/>
                <w:sz w:val="22"/>
                <w:szCs w:val="22"/>
              </w:rPr>
              <w:t>b</w:t>
            </w:r>
            <w:r w:rsidR="005F1800" w:rsidRPr="00012C00">
              <w:rPr>
                <w:rFonts w:cs="Arial"/>
                <w:i/>
                <w:color w:val="000000" w:themeColor="text1"/>
                <w:sz w:val="22"/>
                <w:szCs w:val="22"/>
              </w:rPr>
              <w:t>rief</w:t>
            </w:r>
          </w:p>
          <w:p w:rsidR="005F1800" w:rsidRPr="00012C00" w:rsidRDefault="005F1800" w:rsidP="008651CA">
            <w:pPr>
              <w:spacing w:line="240" w:lineRule="auto"/>
              <w:rPr>
                <w:rFonts w:cs="Arial"/>
                <w:i/>
                <w:color w:val="000000" w:themeColor="text1"/>
                <w:sz w:val="22"/>
                <w:szCs w:val="22"/>
              </w:rPr>
            </w:pPr>
          </w:p>
        </w:tc>
        <w:tc>
          <w:tcPr>
            <w:tcW w:w="4078" w:type="dxa"/>
          </w:tcPr>
          <w:p w:rsidR="005F1800" w:rsidRPr="00012C00" w:rsidRDefault="00E2453E" w:rsidP="00521A37">
            <w:pPr>
              <w:pStyle w:val="ReportText2"/>
              <w:spacing w:after="0" w:line="240" w:lineRule="auto"/>
              <w:ind w:left="0"/>
              <w:jc w:val="left"/>
              <w:rPr>
                <w:rFonts w:cs="Arial"/>
                <w:i/>
                <w:color w:val="000000" w:themeColor="text1"/>
                <w:sz w:val="22"/>
                <w:szCs w:val="22"/>
              </w:rPr>
            </w:pPr>
            <w:r>
              <w:rPr>
                <w:rFonts w:cs="Arial"/>
                <w:i/>
                <w:color w:val="000000" w:themeColor="text1"/>
                <w:sz w:val="22"/>
                <w:szCs w:val="22"/>
              </w:rPr>
              <w:t>20</w:t>
            </w:r>
          </w:p>
        </w:tc>
      </w:tr>
      <w:tr w:rsidR="00AA7D7F" w:rsidRPr="005D63B3" w:rsidTr="00D277C4">
        <w:tc>
          <w:tcPr>
            <w:tcW w:w="4166" w:type="dxa"/>
          </w:tcPr>
          <w:p w:rsidR="00AA7D7F" w:rsidRPr="00012C00" w:rsidRDefault="00AA7D7F" w:rsidP="00AA7D7F">
            <w:pPr>
              <w:spacing w:line="240" w:lineRule="auto"/>
              <w:rPr>
                <w:rFonts w:cs="Arial"/>
                <w:i/>
                <w:color w:val="000000" w:themeColor="text1"/>
                <w:sz w:val="22"/>
                <w:szCs w:val="22"/>
              </w:rPr>
            </w:pPr>
            <w:r w:rsidRPr="00012C00">
              <w:rPr>
                <w:rFonts w:cs="Arial"/>
                <w:i/>
                <w:color w:val="000000" w:themeColor="text1"/>
                <w:sz w:val="22"/>
                <w:szCs w:val="22"/>
              </w:rPr>
              <w:t>Total cost to NML over the contract</w:t>
            </w:r>
          </w:p>
          <w:p w:rsidR="00AA7D7F" w:rsidRPr="00012C00" w:rsidRDefault="00AA7D7F" w:rsidP="00AA7D7F">
            <w:pPr>
              <w:spacing w:line="240" w:lineRule="auto"/>
              <w:rPr>
                <w:rFonts w:cs="Arial"/>
                <w:i/>
                <w:color w:val="000000" w:themeColor="text1"/>
                <w:sz w:val="22"/>
                <w:szCs w:val="22"/>
              </w:rPr>
            </w:pPr>
          </w:p>
        </w:tc>
        <w:tc>
          <w:tcPr>
            <w:tcW w:w="4078" w:type="dxa"/>
          </w:tcPr>
          <w:p w:rsidR="00AA7D7F" w:rsidRPr="00012C00" w:rsidRDefault="00E2453E" w:rsidP="00987110">
            <w:pPr>
              <w:pStyle w:val="ReportText2"/>
              <w:spacing w:after="0" w:line="240" w:lineRule="auto"/>
              <w:ind w:left="0"/>
              <w:jc w:val="left"/>
              <w:rPr>
                <w:rFonts w:cs="Arial"/>
                <w:i/>
                <w:color w:val="000000" w:themeColor="text1"/>
                <w:sz w:val="22"/>
                <w:szCs w:val="22"/>
              </w:rPr>
            </w:pPr>
            <w:r>
              <w:rPr>
                <w:rFonts w:cs="Arial"/>
                <w:i/>
                <w:color w:val="000000" w:themeColor="text1"/>
                <w:sz w:val="22"/>
                <w:szCs w:val="22"/>
              </w:rPr>
              <w:t>40</w:t>
            </w:r>
          </w:p>
        </w:tc>
      </w:tr>
      <w:tr w:rsidR="00AA7D7F" w:rsidRPr="005D63B3" w:rsidTr="00D277C4">
        <w:tc>
          <w:tcPr>
            <w:tcW w:w="4166" w:type="dxa"/>
          </w:tcPr>
          <w:p w:rsidR="00AA7D7F" w:rsidRPr="00012C00" w:rsidRDefault="00AA7D7F" w:rsidP="002A3879">
            <w:pPr>
              <w:spacing w:line="240" w:lineRule="auto"/>
              <w:rPr>
                <w:rFonts w:cs="Arial"/>
                <w:i/>
                <w:color w:val="000000" w:themeColor="text1"/>
                <w:sz w:val="22"/>
                <w:szCs w:val="22"/>
              </w:rPr>
            </w:pPr>
            <w:r w:rsidRPr="00012C00">
              <w:rPr>
                <w:rFonts w:cs="Arial"/>
                <w:i/>
                <w:color w:val="000000" w:themeColor="text1"/>
                <w:sz w:val="22"/>
                <w:szCs w:val="22"/>
              </w:rPr>
              <w:t>Installation to Timescale</w:t>
            </w:r>
          </w:p>
        </w:tc>
        <w:tc>
          <w:tcPr>
            <w:tcW w:w="4078" w:type="dxa"/>
          </w:tcPr>
          <w:p w:rsidR="00AA7D7F" w:rsidRPr="00012C00" w:rsidRDefault="00E2453E" w:rsidP="002A3879">
            <w:pPr>
              <w:pStyle w:val="ReportText2"/>
              <w:spacing w:after="0" w:line="240" w:lineRule="auto"/>
              <w:ind w:left="0"/>
              <w:jc w:val="left"/>
              <w:rPr>
                <w:rFonts w:cs="Arial"/>
                <w:i/>
                <w:color w:val="000000" w:themeColor="text1"/>
                <w:sz w:val="22"/>
                <w:szCs w:val="22"/>
              </w:rPr>
            </w:pPr>
            <w:r>
              <w:rPr>
                <w:rFonts w:cs="Arial"/>
                <w:i/>
                <w:color w:val="000000" w:themeColor="text1"/>
                <w:sz w:val="22"/>
                <w:szCs w:val="22"/>
              </w:rPr>
              <w:t>30</w:t>
            </w:r>
          </w:p>
          <w:p w:rsidR="00AA7D7F" w:rsidRPr="00012C00" w:rsidRDefault="00AA7D7F" w:rsidP="002A3879">
            <w:pPr>
              <w:pStyle w:val="ReportText2"/>
              <w:spacing w:after="0" w:line="240" w:lineRule="auto"/>
              <w:ind w:left="0"/>
              <w:jc w:val="left"/>
              <w:rPr>
                <w:rFonts w:cs="Arial"/>
                <w:i/>
                <w:color w:val="000000" w:themeColor="text1"/>
                <w:sz w:val="22"/>
                <w:szCs w:val="22"/>
              </w:rPr>
            </w:pPr>
          </w:p>
        </w:tc>
      </w:tr>
      <w:tr w:rsidR="00AA7D7F" w:rsidRPr="005D63B3" w:rsidTr="00454A62">
        <w:trPr>
          <w:trHeight w:val="901"/>
        </w:trPr>
        <w:tc>
          <w:tcPr>
            <w:tcW w:w="4166" w:type="dxa"/>
          </w:tcPr>
          <w:p w:rsidR="00AA7D7F" w:rsidRPr="00012C00" w:rsidRDefault="00AA7D7F" w:rsidP="00521A37">
            <w:pPr>
              <w:spacing w:line="240" w:lineRule="auto"/>
              <w:rPr>
                <w:rFonts w:cs="Arial"/>
                <w:i/>
                <w:color w:val="000000" w:themeColor="text1"/>
                <w:sz w:val="22"/>
                <w:szCs w:val="22"/>
              </w:rPr>
            </w:pPr>
            <w:r w:rsidRPr="00012C00">
              <w:rPr>
                <w:rFonts w:cs="Arial"/>
                <w:i/>
                <w:color w:val="000000" w:themeColor="text1"/>
                <w:sz w:val="22"/>
                <w:szCs w:val="22"/>
              </w:rPr>
              <w:t>References – evidence of supply and installation of a similar solution within the last 12 months</w:t>
            </w:r>
          </w:p>
          <w:p w:rsidR="00AA7D7F" w:rsidRPr="00012C00" w:rsidRDefault="00AA7D7F" w:rsidP="00521A37">
            <w:pPr>
              <w:spacing w:line="240" w:lineRule="auto"/>
              <w:rPr>
                <w:rFonts w:cs="Arial"/>
                <w:i/>
                <w:color w:val="000000" w:themeColor="text1"/>
                <w:sz w:val="22"/>
                <w:szCs w:val="22"/>
              </w:rPr>
            </w:pPr>
          </w:p>
        </w:tc>
        <w:tc>
          <w:tcPr>
            <w:tcW w:w="4078" w:type="dxa"/>
          </w:tcPr>
          <w:p w:rsidR="00AA7D7F" w:rsidRPr="00012C00" w:rsidRDefault="00E2453E" w:rsidP="00521A37">
            <w:pPr>
              <w:pStyle w:val="ReportText2"/>
              <w:spacing w:after="0" w:line="240" w:lineRule="auto"/>
              <w:ind w:left="0"/>
              <w:jc w:val="left"/>
              <w:rPr>
                <w:rFonts w:cs="Arial"/>
                <w:i/>
                <w:color w:val="000000" w:themeColor="text1"/>
                <w:sz w:val="22"/>
                <w:szCs w:val="22"/>
              </w:rPr>
            </w:pPr>
            <w:r>
              <w:rPr>
                <w:rFonts w:cs="Arial"/>
                <w:i/>
                <w:color w:val="000000" w:themeColor="text1"/>
                <w:sz w:val="22"/>
                <w:szCs w:val="22"/>
              </w:rPr>
              <w:t>10</w:t>
            </w:r>
          </w:p>
        </w:tc>
      </w:tr>
      <w:tr w:rsidR="00AA7D7F" w:rsidRPr="00B23806" w:rsidTr="00D277C4">
        <w:tc>
          <w:tcPr>
            <w:tcW w:w="4166" w:type="dxa"/>
          </w:tcPr>
          <w:p w:rsidR="00AA7D7F" w:rsidRPr="00B23806" w:rsidRDefault="00AA7D7F" w:rsidP="00521A37">
            <w:pPr>
              <w:pStyle w:val="ReportText2"/>
              <w:spacing w:after="0" w:line="240" w:lineRule="auto"/>
              <w:ind w:left="0"/>
              <w:jc w:val="left"/>
              <w:rPr>
                <w:rFonts w:cs="Arial"/>
                <w:b/>
                <w:sz w:val="22"/>
                <w:szCs w:val="22"/>
              </w:rPr>
            </w:pPr>
            <w:r w:rsidRPr="00B23806">
              <w:rPr>
                <w:rFonts w:cs="Arial"/>
                <w:b/>
                <w:sz w:val="22"/>
                <w:szCs w:val="22"/>
              </w:rPr>
              <w:t>Total</w:t>
            </w:r>
          </w:p>
        </w:tc>
        <w:tc>
          <w:tcPr>
            <w:tcW w:w="4078" w:type="dxa"/>
          </w:tcPr>
          <w:p w:rsidR="00AA7D7F" w:rsidRPr="00B23806" w:rsidRDefault="00AA7D7F" w:rsidP="00521A37">
            <w:pPr>
              <w:pStyle w:val="ReportText2"/>
              <w:spacing w:after="0" w:line="240" w:lineRule="auto"/>
              <w:ind w:left="0"/>
              <w:jc w:val="left"/>
              <w:rPr>
                <w:rFonts w:cs="Arial"/>
                <w:b/>
                <w:sz w:val="22"/>
                <w:szCs w:val="22"/>
              </w:rPr>
            </w:pPr>
            <w:r w:rsidRPr="00B23806">
              <w:rPr>
                <w:rFonts w:cs="Arial"/>
                <w:b/>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Pr="00763F37"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B41F88">
            <w:pPr>
              <w:pStyle w:val="Heading1"/>
              <w:numPr>
                <w:ilvl w:val="0"/>
                <w:numId w:val="42"/>
              </w:numPr>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0656EB"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921E38" w:rsidRDefault="00921E38" w:rsidP="00921E38">
      <w:pPr>
        <w:pStyle w:val="Default"/>
        <w:jc w:val="both"/>
        <w:rPr>
          <w:sz w:val="23"/>
          <w:szCs w:val="23"/>
        </w:rPr>
      </w:pP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5"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5"/>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4E0330" w:rsidRPr="00F165FD" w:rsidRDefault="00012C91" w:rsidP="00F165FD">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F165FD" w:rsidRDefault="00012C91" w:rsidP="00F165FD">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6"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6"/>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4E0330" w:rsidRPr="00687E32"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9822F9" w:rsidRPr="00687E32" w:rsidRDefault="009822F9" w:rsidP="00521A37">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w:t>
      </w:r>
      <w:r w:rsidR="003B0BC1">
        <w:rPr>
          <w:rFonts w:cs="Arial"/>
          <w:sz w:val="22"/>
          <w:szCs w:val="22"/>
        </w:rPr>
        <w:t xml:space="preserve"> </w:t>
      </w:r>
      <w:r w:rsidR="009822F9" w:rsidRPr="00687E32">
        <w:rPr>
          <w:rFonts w:cs="Arial"/>
          <w:sz w:val="22"/>
          <w:szCs w:val="22"/>
        </w:rPr>
        <w:t>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 xml:space="preserve">Please complete and return the </w:t>
      </w:r>
      <w:r w:rsidR="003B0BC1">
        <w:rPr>
          <w:rFonts w:cs="Arial"/>
          <w:sz w:val="22"/>
          <w:szCs w:val="22"/>
        </w:rPr>
        <w:t>NML H&amp;</w:t>
      </w:r>
      <w:r w:rsidRPr="00687E32">
        <w:rPr>
          <w:rFonts w:cs="Arial"/>
          <w:sz w:val="22"/>
          <w:szCs w:val="22"/>
        </w:rPr>
        <w:t>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t>4.5</w:t>
      </w:r>
      <w:r w:rsidRPr="00687E32">
        <w:rPr>
          <w:rFonts w:cs="Arial"/>
          <w:sz w:val="22"/>
          <w:szCs w:val="22"/>
        </w:rPr>
        <w:tab/>
      </w:r>
      <w:r w:rsidR="00E36462">
        <w:rPr>
          <w:rFonts w:cs="Arial"/>
          <w:sz w:val="22"/>
          <w:szCs w:val="22"/>
        </w:rPr>
        <w:t>NML Procurement Protocol</w:t>
      </w:r>
    </w:p>
    <w:p w:rsidR="001F05A4" w:rsidRPr="00687E32"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w:t>
      </w:r>
      <w:r>
        <w:rPr>
          <w:rFonts w:cs="Arial"/>
          <w:sz w:val="22"/>
          <w:szCs w:val="22"/>
        </w:rPr>
        <w:lastRenderedPageBreak/>
        <w:t xml:space="preserve">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spacing w:line="240" w:lineRule="auto"/>
        <w:ind w:left="567"/>
        <w:rPr>
          <w:rFonts w:cs="Arial"/>
          <w:sz w:val="22"/>
          <w:szCs w:val="22"/>
        </w:rPr>
      </w:pPr>
      <w:r w:rsidRPr="00687E32">
        <w:rPr>
          <w:rFonts w:cs="Arial"/>
          <w:sz w:val="22"/>
          <w:szCs w:val="22"/>
        </w:rPr>
        <w:t>i)</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pStyle w:val="Bullets1Char"/>
        <w:spacing w:line="240" w:lineRule="auto"/>
        <w:rPr>
          <w:rFonts w:cs="Arial"/>
          <w:sz w:val="22"/>
          <w:szCs w:val="22"/>
        </w:rPr>
      </w:pP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B41F88" w:rsidRDefault="004E0330" w:rsidP="00521A37">
      <w:pPr>
        <w:pStyle w:val="Heading3"/>
        <w:numPr>
          <w:ilvl w:val="0"/>
          <w:numId w:val="0"/>
        </w:numPr>
        <w:spacing w:after="0" w:line="240" w:lineRule="auto"/>
        <w:rPr>
          <w:rFonts w:cs="Arial"/>
          <w:color w:val="000000" w:themeColor="text1"/>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80253D" w:rsidRPr="00F165FD" w:rsidRDefault="0080253D" w:rsidP="00521A37">
      <w:pPr>
        <w:spacing w:line="240" w:lineRule="auto"/>
        <w:rPr>
          <w:rFonts w:cs="Arial"/>
          <w:color w:val="000000" w:themeColor="text1"/>
          <w:sz w:val="22"/>
          <w:szCs w:val="22"/>
        </w:rPr>
      </w:pPr>
      <w:r w:rsidRPr="00B41F88">
        <w:rPr>
          <w:rFonts w:cs="Arial"/>
          <w:color w:val="000000" w:themeColor="text1"/>
          <w:sz w:val="22"/>
          <w:szCs w:val="22"/>
        </w:rPr>
        <w:t xml:space="preserve">Please note that the project must be completed by </w:t>
      </w:r>
      <w:r w:rsidR="008651CA" w:rsidRPr="00B41F88">
        <w:rPr>
          <w:rFonts w:cs="Arial"/>
          <w:color w:val="000000" w:themeColor="text1"/>
          <w:sz w:val="22"/>
          <w:szCs w:val="22"/>
        </w:rPr>
        <w:t>13</w:t>
      </w:r>
      <w:r w:rsidR="004E0330" w:rsidRPr="00B41F88">
        <w:rPr>
          <w:rFonts w:cs="Arial"/>
          <w:color w:val="000000" w:themeColor="text1"/>
          <w:sz w:val="22"/>
          <w:szCs w:val="22"/>
          <w:vertAlign w:val="superscript"/>
        </w:rPr>
        <w:t>h</w:t>
      </w:r>
      <w:r w:rsidR="008651CA" w:rsidRPr="00B41F88">
        <w:rPr>
          <w:rFonts w:cs="Arial"/>
          <w:color w:val="000000" w:themeColor="text1"/>
          <w:sz w:val="22"/>
          <w:szCs w:val="22"/>
        </w:rPr>
        <w:t xml:space="preserve"> December 2017</w:t>
      </w:r>
      <w:r w:rsidRPr="00B41F88">
        <w:rPr>
          <w:rFonts w:cs="Arial"/>
          <w:color w:val="000000" w:themeColor="text1"/>
          <w:sz w:val="22"/>
          <w:szCs w:val="22"/>
        </w:rPr>
        <w:t>.</w:t>
      </w:r>
      <w:r w:rsidR="00F165FD">
        <w:rPr>
          <w:rFonts w:cs="Arial"/>
          <w:color w:val="000000" w:themeColor="text1"/>
          <w:sz w:val="22"/>
          <w:szCs w:val="22"/>
        </w:rPr>
        <w:t xml:space="preserve"> </w:t>
      </w:r>
      <w:r w:rsidR="003D2508">
        <w:rPr>
          <w:rFonts w:cs="Arial"/>
          <w:sz w:val="22"/>
          <w:szCs w:val="22"/>
        </w:rPr>
        <w:t>Bidder</w:t>
      </w:r>
      <w:r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84C2C" w:rsidRPr="00687E32" w:rsidRDefault="001F05A4" w:rsidP="00084C2C">
      <w:pPr>
        <w:spacing w:line="240" w:lineRule="auto"/>
        <w:contextualSpacing/>
        <w:rPr>
          <w:rFonts w:cs="Arial"/>
          <w:b/>
          <w:sz w:val="22"/>
          <w:szCs w:val="22"/>
        </w:rPr>
      </w:pPr>
      <w:bookmarkStart w:id="57" w:name="_Toc246913846"/>
      <w:bookmarkStart w:id="58" w:name="_Toc148507613"/>
      <w:r>
        <w:rPr>
          <w:rFonts w:cs="Arial"/>
          <w:b/>
          <w:sz w:val="22"/>
          <w:szCs w:val="22"/>
        </w:rPr>
        <w:t>4.</w:t>
      </w:r>
      <w:r w:rsidR="003B0BC1">
        <w:rPr>
          <w:rFonts w:cs="Arial"/>
          <w:b/>
          <w:sz w:val="22"/>
          <w:szCs w:val="22"/>
        </w:rPr>
        <w:t>7</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w:t>
      </w:r>
      <w:r w:rsidR="00B41F88">
        <w:rPr>
          <w:rFonts w:cs="Arial"/>
          <w:sz w:val="22"/>
          <w:szCs w:val="22"/>
        </w:rPr>
        <w:t xml:space="preserve">n of all costs is to be provided on the pricing document (Appendix </w:t>
      </w:r>
      <w:r w:rsidR="007470A4">
        <w:rPr>
          <w:rFonts w:cs="Arial"/>
          <w:sz w:val="22"/>
          <w:szCs w:val="22"/>
        </w:rPr>
        <w:t>I</w:t>
      </w:r>
      <w:r w:rsidR="00B41F88">
        <w:rPr>
          <w:rFonts w:cs="Arial"/>
          <w:sz w:val="22"/>
          <w:szCs w:val="22"/>
        </w:rPr>
        <w:t>)</w:t>
      </w:r>
      <w:r>
        <w:rPr>
          <w:rFonts w:cs="Arial"/>
          <w:sz w:val="22"/>
          <w:szCs w:val="22"/>
        </w:rPr>
        <w:t>.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A217FD">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856248" w:rsidRPr="001658AB" w:rsidRDefault="00856248" w:rsidP="00A217FD">
      <w:pPr>
        <w:spacing w:line="240" w:lineRule="auto"/>
        <w:rPr>
          <w:rFonts w:cs="Arial"/>
          <w:sz w:val="22"/>
          <w:szCs w:val="22"/>
        </w:rPr>
      </w:pPr>
    </w:p>
    <w:p w:rsidR="00A217FD" w:rsidRPr="00A217FD" w:rsidRDefault="00A217FD" w:rsidP="00A217FD">
      <w:pPr>
        <w:pStyle w:val="ListParagraph"/>
        <w:numPr>
          <w:ilvl w:val="1"/>
          <w:numId w:val="42"/>
        </w:numPr>
        <w:spacing w:line="240" w:lineRule="auto"/>
        <w:ind w:left="709" w:hanging="709"/>
        <w:rPr>
          <w:rFonts w:cs="Arial"/>
          <w:b/>
          <w:sz w:val="22"/>
          <w:szCs w:val="22"/>
        </w:rPr>
      </w:pPr>
      <w:r w:rsidRPr="00A217FD">
        <w:rPr>
          <w:rFonts w:cs="Arial"/>
          <w:b/>
          <w:sz w:val="22"/>
          <w:szCs w:val="22"/>
        </w:rPr>
        <w:t>Con</w:t>
      </w:r>
      <w:bookmarkStart w:id="59" w:name="_GoBack"/>
      <w:bookmarkEnd w:id="59"/>
      <w:r w:rsidRPr="00A217FD">
        <w:rPr>
          <w:rFonts w:cs="Arial"/>
          <w:b/>
          <w:sz w:val="22"/>
          <w:szCs w:val="22"/>
        </w:rPr>
        <w:t>tractual Considerations</w:t>
      </w:r>
    </w:p>
    <w:p w:rsidR="001658AB" w:rsidRPr="00A217FD" w:rsidRDefault="001658AB" w:rsidP="00A217FD">
      <w:pPr>
        <w:spacing w:line="240" w:lineRule="auto"/>
        <w:rPr>
          <w:rFonts w:cs="Arial"/>
          <w:b/>
          <w:bCs/>
          <w:sz w:val="22"/>
          <w:szCs w:val="22"/>
        </w:rPr>
      </w:pPr>
      <w:r w:rsidRPr="00A217FD">
        <w:rPr>
          <w:rFonts w:cs="Arial"/>
          <w:sz w:val="22"/>
          <w:szCs w:val="22"/>
        </w:rPr>
        <w:t xml:space="preserve">The </w:t>
      </w:r>
      <w:r w:rsidR="00AD52E2" w:rsidRPr="00A217FD">
        <w:rPr>
          <w:rFonts w:cs="Arial"/>
          <w:sz w:val="22"/>
          <w:szCs w:val="22"/>
        </w:rPr>
        <w:t>Interior Staging</w:t>
      </w:r>
      <w:r w:rsidRPr="00A217FD">
        <w:rPr>
          <w:rFonts w:cs="Arial"/>
          <w:sz w:val="22"/>
          <w:szCs w:val="22"/>
        </w:rPr>
        <w:t xml:space="preserve"> Manufacturer shall be appointed using the JCT Minor Works Contract 2011. This will be issued under separate cover</w:t>
      </w:r>
      <w:r w:rsidR="00130471" w:rsidRPr="00A217FD">
        <w:rPr>
          <w:rFonts w:cs="Arial"/>
          <w:sz w:val="22"/>
          <w:szCs w:val="22"/>
        </w:rPr>
        <w:t>.</w:t>
      </w:r>
    </w:p>
    <w:p w:rsidR="0056679A" w:rsidRDefault="0056679A" w:rsidP="00A217FD">
      <w:pPr>
        <w:pStyle w:val="ReportText3"/>
        <w:spacing w:after="0" w:line="240" w:lineRule="auto"/>
        <w:ind w:left="0"/>
        <w:rPr>
          <w:rFonts w:cs="Arial"/>
          <w:b/>
          <w:sz w:val="22"/>
          <w:szCs w:val="22"/>
        </w:rPr>
      </w:pPr>
    </w:p>
    <w:p w:rsidR="00856248" w:rsidRPr="00704C41" w:rsidRDefault="0056679A" w:rsidP="00A217FD">
      <w:pPr>
        <w:pStyle w:val="ReportText3"/>
        <w:spacing w:after="0" w:line="240" w:lineRule="auto"/>
        <w:ind w:left="0"/>
        <w:rPr>
          <w:rFonts w:cs="Arial"/>
          <w:b/>
          <w:sz w:val="22"/>
          <w:szCs w:val="22"/>
        </w:rPr>
      </w:pPr>
      <w:r>
        <w:rPr>
          <w:rFonts w:cs="Arial"/>
          <w:b/>
          <w:sz w:val="22"/>
          <w:szCs w:val="22"/>
        </w:rPr>
        <w:t>4.</w:t>
      </w:r>
      <w:r w:rsidRPr="00704C41">
        <w:rPr>
          <w:rFonts w:cs="Arial"/>
          <w:b/>
          <w:sz w:val="22"/>
          <w:szCs w:val="22"/>
        </w:rPr>
        <w:t xml:space="preserve">9 </w:t>
      </w:r>
      <w:r w:rsidR="00856248" w:rsidRPr="00704C41">
        <w:rPr>
          <w:rFonts w:cs="Arial"/>
          <w:b/>
          <w:sz w:val="22"/>
          <w:szCs w:val="22"/>
        </w:rPr>
        <w:t>Attachments included as part of tender documentation</w:t>
      </w:r>
    </w:p>
    <w:p w:rsidR="00A61D4E" w:rsidRPr="00A61D4E" w:rsidRDefault="00A61D4E" w:rsidP="00A217FD">
      <w:pPr>
        <w:spacing w:line="240" w:lineRule="auto"/>
        <w:ind w:left="720"/>
        <w:rPr>
          <w:rFonts w:cs="Arial"/>
          <w:color w:val="000000" w:themeColor="text1"/>
          <w:sz w:val="22"/>
          <w:szCs w:val="18"/>
        </w:rPr>
      </w:pPr>
      <w:r w:rsidRPr="00A61D4E">
        <w:rPr>
          <w:rFonts w:cs="Arial"/>
          <w:color w:val="000000" w:themeColor="text1"/>
          <w:sz w:val="22"/>
          <w:szCs w:val="18"/>
        </w:rPr>
        <w:t>Appendix A – T2 Form of Tender</w:t>
      </w:r>
    </w:p>
    <w:p w:rsidR="00A61D4E" w:rsidRPr="00A61D4E" w:rsidRDefault="00A61D4E" w:rsidP="00A217FD">
      <w:pPr>
        <w:spacing w:line="240" w:lineRule="auto"/>
        <w:ind w:left="720"/>
        <w:rPr>
          <w:rFonts w:cs="Arial"/>
          <w:color w:val="000000" w:themeColor="text1"/>
          <w:sz w:val="22"/>
          <w:szCs w:val="18"/>
        </w:rPr>
      </w:pPr>
      <w:r w:rsidRPr="00A61D4E">
        <w:rPr>
          <w:rFonts w:cs="Arial"/>
          <w:color w:val="000000" w:themeColor="text1"/>
          <w:sz w:val="22"/>
          <w:szCs w:val="18"/>
        </w:rPr>
        <w:t>Appendix B – NML Supplemental Condition</w:t>
      </w:r>
    </w:p>
    <w:p w:rsidR="00A61D4E" w:rsidRPr="00A61D4E" w:rsidRDefault="00A61D4E" w:rsidP="00A217FD">
      <w:pPr>
        <w:spacing w:line="240" w:lineRule="auto"/>
        <w:ind w:left="720"/>
        <w:rPr>
          <w:rFonts w:cs="Arial"/>
          <w:color w:val="000000" w:themeColor="text1"/>
          <w:sz w:val="22"/>
          <w:szCs w:val="18"/>
        </w:rPr>
      </w:pPr>
      <w:r w:rsidRPr="00A61D4E">
        <w:rPr>
          <w:rFonts w:cs="Arial"/>
          <w:color w:val="000000" w:themeColor="text1"/>
          <w:sz w:val="22"/>
          <w:szCs w:val="18"/>
        </w:rPr>
        <w:t>Appendix C – NML Safety Guidelines for Contractors</w:t>
      </w:r>
    </w:p>
    <w:p w:rsidR="00A61D4E" w:rsidRPr="00A61D4E" w:rsidRDefault="00A61D4E" w:rsidP="00A217FD">
      <w:pPr>
        <w:spacing w:line="240" w:lineRule="auto"/>
        <w:ind w:left="720"/>
        <w:rPr>
          <w:rFonts w:cs="Arial"/>
          <w:color w:val="000000" w:themeColor="text1"/>
          <w:sz w:val="22"/>
          <w:szCs w:val="18"/>
        </w:rPr>
      </w:pPr>
      <w:r w:rsidRPr="00A61D4E">
        <w:rPr>
          <w:rFonts w:cs="Arial"/>
          <w:color w:val="000000" w:themeColor="text1"/>
          <w:sz w:val="22"/>
          <w:szCs w:val="18"/>
        </w:rPr>
        <w:t>Appendix D – NML H&amp;S Questionnaire</w:t>
      </w:r>
    </w:p>
    <w:p w:rsidR="00A61D4E" w:rsidRPr="00A61D4E" w:rsidRDefault="00A61D4E" w:rsidP="00A61D4E">
      <w:pPr>
        <w:spacing w:line="240" w:lineRule="auto"/>
        <w:ind w:left="720"/>
        <w:rPr>
          <w:rFonts w:cs="Arial"/>
          <w:color w:val="000000" w:themeColor="text1"/>
          <w:sz w:val="22"/>
          <w:szCs w:val="18"/>
        </w:rPr>
      </w:pPr>
      <w:r w:rsidRPr="00A61D4E">
        <w:rPr>
          <w:rFonts w:cs="Arial"/>
          <w:color w:val="000000" w:themeColor="text1"/>
          <w:sz w:val="22"/>
          <w:szCs w:val="18"/>
        </w:rPr>
        <w:t>Appendix E – NML Procurement Protocol</w:t>
      </w:r>
    </w:p>
    <w:p w:rsidR="00A61D4E" w:rsidRPr="00A61D4E" w:rsidRDefault="00A61D4E" w:rsidP="00A61D4E">
      <w:pPr>
        <w:spacing w:line="240" w:lineRule="auto"/>
        <w:ind w:left="720"/>
        <w:rPr>
          <w:rFonts w:cs="Arial"/>
          <w:color w:val="000000" w:themeColor="text1"/>
          <w:sz w:val="22"/>
          <w:szCs w:val="18"/>
        </w:rPr>
      </w:pPr>
      <w:r w:rsidRPr="00A61D4E">
        <w:rPr>
          <w:rFonts w:cs="Arial"/>
          <w:color w:val="000000" w:themeColor="text1"/>
          <w:sz w:val="22"/>
          <w:szCs w:val="18"/>
        </w:rPr>
        <w:t xml:space="preserve">Appendix F – Plinths drawing SCHEDULE </w:t>
      </w:r>
    </w:p>
    <w:p w:rsidR="00A61D4E" w:rsidRPr="00A61D4E" w:rsidRDefault="00A61D4E" w:rsidP="00A61D4E">
      <w:pPr>
        <w:spacing w:line="240" w:lineRule="auto"/>
        <w:ind w:left="720"/>
        <w:rPr>
          <w:rFonts w:cs="Arial"/>
          <w:color w:val="000000" w:themeColor="text1"/>
          <w:sz w:val="22"/>
          <w:szCs w:val="18"/>
        </w:rPr>
      </w:pPr>
      <w:r w:rsidRPr="00A61D4E">
        <w:rPr>
          <w:rFonts w:cs="Arial"/>
          <w:color w:val="000000" w:themeColor="text1"/>
          <w:sz w:val="22"/>
          <w:szCs w:val="18"/>
        </w:rPr>
        <w:t>Appendix G – Plinths BRIEF (drawings)</w:t>
      </w:r>
    </w:p>
    <w:p w:rsidR="00A61D4E" w:rsidRPr="00A61D4E" w:rsidRDefault="00A61D4E" w:rsidP="00A61D4E">
      <w:pPr>
        <w:spacing w:line="240" w:lineRule="auto"/>
        <w:ind w:left="720"/>
        <w:rPr>
          <w:rFonts w:cs="Arial"/>
          <w:color w:val="000000" w:themeColor="text1"/>
          <w:sz w:val="22"/>
          <w:szCs w:val="18"/>
        </w:rPr>
      </w:pPr>
      <w:r w:rsidRPr="00A61D4E">
        <w:rPr>
          <w:rFonts w:cs="Arial"/>
          <w:color w:val="000000" w:themeColor="text1"/>
          <w:sz w:val="22"/>
          <w:szCs w:val="18"/>
        </w:rPr>
        <w:t>Appendix H – NML Performance Specification</w:t>
      </w:r>
    </w:p>
    <w:p w:rsidR="00A61D4E" w:rsidRPr="00A61D4E" w:rsidRDefault="00A61D4E" w:rsidP="00A61D4E">
      <w:pPr>
        <w:spacing w:line="240" w:lineRule="auto"/>
        <w:ind w:left="720"/>
        <w:rPr>
          <w:rFonts w:cs="Arial"/>
          <w:color w:val="000000" w:themeColor="text1"/>
          <w:sz w:val="22"/>
          <w:szCs w:val="18"/>
        </w:rPr>
      </w:pPr>
      <w:r w:rsidRPr="00A61D4E">
        <w:rPr>
          <w:rFonts w:cs="Arial"/>
          <w:color w:val="000000" w:themeColor="text1"/>
          <w:sz w:val="22"/>
          <w:szCs w:val="18"/>
        </w:rPr>
        <w:t>Appendix I  – Tender Pricing Document</w:t>
      </w:r>
    </w:p>
    <w:p w:rsidR="00A61D4E" w:rsidRPr="00A61D4E" w:rsidRDefault="00A61D4E" w:rsidP="00A61D4E">
      <w:pPr>
        <w:spacing w:line="240" w:lineRule="auto"/>
        <w:ind w:left="720"/>
        <w:rPr>
          <w:rFonts w:cs="Arial"/>
          <w:color w:val="000000" w:themeColor="text1"/>
          <w:sz w:val="22"/>
          <w:szCs w:val="18"/>
        </w:rPr>
      </w:pPr>
      <w:r w:rsidRPr="00A61D4E">
        <w:rPr>
          <w:rFonts w:cs="Arial"/>
          <w:color w:val="000000" w:themeColor="text1"/>
          <w:sz w:val="22"/>
          <w:szCs w:val="18"/>
        </w:rPr>
        <w:t>Appendix J – Change Control Process</w:t>
      </w:r>
    </w:p>
    <w:p w:rsidR="00A61D4E" w:rsidRPr="00A61D4E" w:rsidRDefault="00990724" w:rsidP="00A61D4E">
      <w:pPr>
        <w:spacing w:line="240" w:lineRule="auto"/>
        <w:ind w:left="720"/>
        <w:rPr>
          <w:rFonts w:cs="Arial"/>
          <w:color w:val="000000" w:themeColor="text1"/>
          <w:sz w:val="22"/>
          <w:szCs w:val="18"/>
        </w:rPr>
      </w:pPr>
      <w:r>
        <w:rPr>
          <w:rFonts w:cs="Arial"/>
          <w:color w:val="000000" w:themeColor="text1"/>
          <w:sz w:val="22"/>
          <w:szCs w:val="18"/>
        </w:rPr>
        <w:t>Appendix K – Preliminaries</w:t>
      </w:r>
    </w:p>
    <w:p w:rsidR="00DE618E" w:rsidRDefault="00DE618E" w:rsidP="00856248">
      <w:pPr>
        <w:spacing w:line="240" w:lineRule="auto"/>
        <w:contextualSpacing/>
        <w:rPr>
          <w:rFonts w:cs="Arial"/>
          <w:color w:val="000000" w:themeColor="text1"/>
          <w:sz w:val="22"/>
          <w:szCs w:val="22"/>
        </w:rPr>
      </w:pPr>
    </w:p>
    <w:p w:rsidR="00856248" w:rsidRPr="001F05A4" w:rsidRDefault="0056679A" w:rsidP="00856248">
      <w:pPr>
        <w:spacing w:line="240" w:lineRule="auto"/>
        <w:contextualSpacing/>
        <w:rPr>
          <w:rFonts w:cs="Arial"/>
          <w:b/>
          <w:sz w:val="22"/>
          <w:szCs w:val="22"/>
        </w:rPr>
      </w:pPr>
      <w:r>
        <w:rPr>
          <w:rFonts w:cs="Arial"/>
          <w:b/>
          <w:sz w:val="22"/>
          <w:szCs w:val="22"/>
        </w:rPr>
        <w:t>4.10</w:t>
      </w:r>
      <w:r w:rsidR="00856248" w:rsidRPr="00687E32">
        <w:rPr>
          <w:rFonts w:cs="Arial"/>
          <w:b/>
          <w:sz w:val="22"/>
          <w:szCs w:val="22"/>
        </w:rPr>
        <w:t xml:space="preserve">  </w:t>
      </w:r>
      <w:r w:rsidR="00856248" w:rsidRPr="00687E32">
        <w:rPr>
          <w:rFonts w:cs="Arial"/>
          <w:b/>
          <w:sz w:val="22"/>
          <w:szCs w:val="22"/>
        </w:rPr>
        <w:tab/>
      </w:r>
      <w:r w:rsidR="00856248" w:rsidRPr="001F05A4">
        <w:rPr>
          <w:rFonts w:cs="Arial"/>
          <w:b/>
          <w:sz w:val="22"/>
          <w:szCs w:val="22"/>
        </w:rPr>
        <w:t>Summary of Documents to be returned as part of Submission</w:t>
      </w:r>
    </w:p>
    <w:p w:rsidR="00856248" w:rsidRPr="00841D15" w:rsidRDefault="00856248" w:rsidP="005F1800">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Pr>
          <w:rFonts w:cs="Arial"/>
          <w:sz w:val="22"/>
          <w:szCs w:val="22"/>
        </w:rPr>
        <w:t>e</w:t>
      </w:r>
      <w:r w:rsidRPr="00841D15">
        <w:rPr>
          <w:rFonts w:cs="Arial"/>
          <w:sz w:val="22"/>
          <w:szCs w:val="22"/>
        </w:rPr>
        <w:t>r fails to return the below items the tender submission will be considered invalid:</w:t>
      </w:r>
    </w:p>
    <w:p w:rsidR="00856248" w:rsidRPr="00841D15" w:rsidRDefault="00856248" w:rsidP="00856248">
      <w:pPr>
        <w:pStyle w:val="ListParagraph"/>
        <w:numPr>
          <w:ilvl w:val="2"/>
          <w:numId w:val="21"/>
        </w:numPr>
        <w:spacing w:line="240" w:lineRule="auto"/>
        <w:jc w:val="left"/>
        <w:rPr>
          <w:rFonts w:cs="Arial"/>
          <w:sz w:val="22"/>
          <w:szCs w:val="22"/>
        </w:rPr>
      </w:pPr>
      <w:r w:rsidRPr="00841D15">
        <w:rPr>
          <w:rFonts w:cs="Arial"/>
          <w:sz w:val="22"/>
          <w:szCs w:val="22"/>
        </w:rPr>
        <w:t>Form of Tender</w:t>
      </w:r>
      <w:r>
        <w:rPr>
          <w:rFonts w:cs="Arial"/>
          <w:sz w:val="22"/>
          <w:szCs w:val="22"/>
        </w:rPr>
        <w:t xml:space="preserve"> (Appendix A)</w:t>
      </w:r>
    </w:p>
    <w:p w:rsidR="00856248" w:rsidRDefault="0056679A" w:rsidP="00856248">
      <w:pPr>
        <w:pStyle w:val="ListParagraph"/>
        <w:numPr>
          <w:ilvl w:val="2"/>
          <w:numId w:val="21"/>
        </w:numPr>
        <w:spacing w:line="240" w:lineRule="auto"/>
        <w:jc w:val="left"/>
        <w:rPr>
          <w:rFonts w:cs="Arial"/>
          <w:color w:val="000000" w:themeColor="text1"/>
          <w:sz w:val="22"/>
          <w:szCs w:val="22"/>
        </w:rPr>
      </w:pPr>
      <w:r>
        <w:rPr>
          <w:rFonts w:cs="Arial"/>
          <w:sz w:val="22"/>
          <w:szCs w:val="22"/>
        </w:rPr>
        <w:t>Completed p</w:t>
      </w:r>
      <w:r w:rsidR="00856248" w:rsidRPr="00841D15">
        <w:rPr>
          <w:rFonts w:cs="Arial"/>
          <w:sz w:val="22"/>
          <w:szCs w:val="22"/>
        </w:rPr>
        <w:t xml:space="preserve">ricing </w:t>
      </w:r>
      <w:r w:rsidR="00856248" w:rsidRPr="0056679A">
        <w:rPr>
          <w:rFonts w:cs="Arial"/>
          <w:color w:val="000000" w:themeColor="text1"/>
          <w:sz w:val="22"/>
          <w:szCs w:val="22"/>
        </w:rPr>
        <w:t xml:space="preserve">document - (Appendix </w:t>
      </w:r>
      <w:r w:rsidR="007470A4">
        <w:rPr>
          <w:rFonts w:cs="Arial"/>
          <w:color w:val="000000" w:themeColor="text1"/>
          <w:sz w:val="22"/>
          <w:szCs w:val="22"/>
        </w:rPr>
        <w:t>I</w:t>
      </w:r>
      <w:r w:rsidR="00856248" w:rsidRPr="0056679A">
        <w:rPr>
          <w:rFonts w:cs="Arial"/>
          <w:color w:val="000000" w:themeColor="text1"/>
          <w:sz w:val="22"/>
          <w:szCs w:val="22"/>
        </w:rPr>
        <w:t>)</w:t>
      </w:r>
    </w:p>
    <w:p w:rsidR="00430B5A" w:rsidRPr="00430B5A" w:rsidRDefault="00704C41" w:rsidP="00430B5A">
      <w:pPr>
        <w:pStyle w:val="ListParagraph"/>
        <w:numPr>
          <w:ilvl w:val="2"/>
          <w:numId w:val="21"/>
        </w:numPr>
        <w:spacing w:line="240" w:lineRule="auto"/>
        <w:jc w:val="left"/>
        <w:rPr>
          <w:rFonts w:cs="Arial"/>
          <w:sz w:val="22"/>
          <w:szCs w:val="22"/>
        </w:rPr>
      </w:pPr>
      <w:r>
        <w:rPr>
          <w:rFonts w:cs="Arial"/>
          <w:sz w:val="22"/>
          <w:szCs w:val="22"/>
        </w:rPr>
        <w:t>Mana</w:t>
      </w:r>
      <w:r w:rsidR="00430B5A" w:rsidRPr="00532569">
        <w:rPr>
          <w:rFonts w:cs="Arial"/>
          <w:sz w:val="22"/>
          <w:szCs w:val="22"/>
        </w:rPr>
        <w:t>gement summary answers (section 4.2)</w:t>
      </w:r>
    </w:p>
    <w:p w:rsidR="00856248" w:rsidRPr="0056679A" w:rsidRDefault="00856248" w:rsidP="00856248">
      <w:pPr>
        <w:pStyle w:val="ListParagraph"/>
        <w:numPr>
          <w:ilvl w:val="2"/>
          <w:numId w:val="21"/>
        </w:numPr>
        <w:spacing w:line="240" w:lineRule="auto"/>
        <w:jc w:val="left"/>
        <w:rPr>
          <w:rFonts w:cs="Arial"/>
          <w:color w:val="000000" w:themeColor="text1"/>
          <w:sz w:val="22"/>
          <w:szCs w:val="22"/>
        </w:rPr>
      </w:pPr>
      <w:r w:rsidRPr="0056679A">
        <w:rPr>
          <w:rFonts w:cs="Arial"/>
          <w:color w:val="000000" w:themeColor="text1"/>
          <w:sz w:val="22"/>
          <w:szCs w:val="22"/>
        </w:rPr>
        <w:t>All req</w:t>
      </w:r>
      <w:r w:rsidR="00430B5A">
        <w:rPr>
          <w:rFonts w:cs="Arial"/>
          <w:color w:val="000000" w:themeColor="text1"/>
          <w:sz w:val="22"/>
          <w:szCs w:val="22"/>
        </w:rPr>
        <w:t xml:space="preserve">uirements referenced in point </w:t>
      </w:r>
      <w:r w:rsidR="00F165FD">
        <w:rPr>
          <w:rFonts w:cs="Arial"/>
          <w:color w:val="000000" w:themeColor="text1"/>
          <w:sz w:val="22"/>
          <w:szCs w:val="22"/>
        </w:rPr>
        <w:t>4.3</w:t>
      </w:r>
    </w:p>
    <w:p w:rsidR="00856248" w:rsidRPr="00841D15" w:rsidRDefault="00856248" w:rsidP="00856248">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56248" w:rsidRDefault="00856248" w:rsidP="00856248">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r w:rsidR="00430B5A">
        <w:rPr>
          <w:rFonts w:cs="Arial"/>
          <w:sz w:val="22"/>
          <w:szCs w:val="22"/>
        </w:rPr>
        <w:t xml:space="preserve"> </w:t>
      </w:r>
      <w:r w:rsidR="00704C41">
        <w:rPr>
          <w:rFonts w:cs="Arial"/>
          <w:sz w:val="22"/>
          <w:szCs w:val="22"/>
        </w:rPr>
        <w:t xml:space="preserve">(Response to Appendix </w:t>
      </w:r>
      <w:r w:rsidR="00710432">
        <w:rPr>
          <w:rFonts w:cs="Arial"/>
          <w:sz w:val="22"/>
          <w:szCs w:val="22"/>
        </w:rPr>
        <w:t xml:space="preserve">F, </w:t>
      </w:r>
      <w:r w:rsidR="00704C41">
        <w:rPr>
          <w:rFonts w:cs="Arial"/>
          <w:sz w:val="22"/>
          <w:szCs w:val="22"/>
        </w:rPr>
        <w:t>G and H)</w:t>
      </w:r>
    </w:p>
    <w:p w:rsidR="00856248" w:rsidRPr="0056679A" w:rsidRDefault="00856248" w:rsidP="00856248">
      <w:pPr>
        <w:pStyle w:val="ListParagraph"/>
        <w:numPr>
          <w:ilvl w:val="2"/>
          <w:numId w:val="21"/>
        </w:numPr>
        <w:spacing w:line="240" w:lineRule="auto"/>
        <w:jc w:val="left"/>
        <w:rPr>
          <w:rFonts w:cs="Arial"/>
          <w:sz w:val="22"/>
          <w:szCs w:val="22"/>
        </w:rPr>
      </w:pPr>
      <w:r w:rsidRPr="0056679A">
        <w:rPr>
          <w:rFonts w:cs="Arial"/>
          <w:sz w:val="22"/>
          <w:szCs w:val="22"/>
        </w:rPr>
        <w:t>Completion of NML H&amp;S Questionnaire (Appendix D)</w:t>
      </w:r>
    </w:p>
    <w:p w:rsidR="00856248" w:rsidRDefault="00856248" w:rsidP="00856248">
      <w:pPr>
        <w:pStyle w:val="ListParagraph"/>
        <w:numPr>
          <w:ilvl w:val="2"/>
          <w:numId w:val="21"/>
        </w:numPr>
        <w:spacing w:line="240" w:lineRule="auto"/>
        <w:jc w:val="left"/>
        <w:rPr>
          <w:rFonts w:cs="Arial"/>
          <w:sz w:val="22"/>
          <w:szCs w:val="22"/>
        </w:rPr>
      </w:pPr>
      <w:r>
        <w:rPr>
          <w:rFonts w:cs="Arial"/>
          <w:sz w:val="22"/>
          <w:szCs w:val="22"/>
        </w:rPr>
        <w:t xml:space="preserve">Acknowledgement of </w:t>
      </w:r>
      <w:r w:rsidRPr="00532569">
        <w:rPr>
          <w:rFonts w:cs="Arial"/>
          <w:sz w:val="22"/>
          <w:szCs w:val="22"/>
        </w:rPr>
        <w:t>NML Procurement P</w:t>
      </w:r>
      <w:r>
        <w:rPr>
          <w:rFonts w:cs="Arial"/>
          <w:sz w:val="22"/>
          <w:szCs w:val="22"/>
        </w:rPr>
        <w:t>rotocol form (Appendix E)</w:t>
      </w:r>
    </w:p>
    <w:p w:rsidR="00F165FD" w:rsidRDefault="00F165FD" w:rsidP="00B41F88">
      <w:pPr>
        <w:spacing w:line="240" w:lineRule="auto"/>
        <w:jc w:val="left"/>
        <w:rPr>
          <w:rFonts w:cs="Arial"/>
          <w:b/>
          <w:bCs/>
          <w:sz w:val="22"/>
          <w:szCs w:val="22"/>
        </w:rPr>
      </w:pPr>
    </w:p>
    <w:p w:rsidR="00F165FD" w:rsidRPr="00B41F88" w:rsidRDefault="00F165FD" w:rsidP="00B41F88">
      <w:pPr>
        <w:spacing w:line="240" w:lineRule="auto"/>
        <w:jc w:val="left"/>
        <w:rPr>
          <w:rFonts w:cs="Arial"/>
          <w:b/>
          <w:bCs/>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B41F88">
            <w:pPr>
              <w:pStyle w:val="Heading1"/>
              <w:numPr>
                <w:ilvl w:val="0"/>
                <w:numId w:val="42"/>
              </w:numPr>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bookmarkEnd w:id="57"/>
    </w:tbl>
    <w:p w:rsidR="008651CA" w:rsidRPr="008651CA" w:rsidRDefault="008651CA" w:rsidP="008651CA">
      <w:pPr>
        <w:pStyle w:val="ReportText2"/>
        <w:tabs>
          <w:tab w:val="num" w:pos="0"/>
        </w:tabs>
        <w:spacing w:after="0" w:line="240" w:lineRule="auto"/>
        <w:ind w:left="0"/>
        <w:rPr>
          <w:rFonts w:cs="Arial"/>
          <w:bCs/>
          <w:color w:val="00B050"/>
          <w:sz w:val="22"/>
          <w:szCs w:val="22"/>
        </w:rPr>
      </w:pPr>
    </w:p>
    <w:p w:rsidR="00A93915" w:rsidRPr="00AE299A" w:rsidRDefault="00A93915" w:rsidP="00A93915">
      <w:pPr>
        <w:pStyle w:val="ReportText3"/>
        <w:spacing w:after="0" w:line="240" w:lineRule="auto"/>
        <w:ind w:left="0"/>
        <w:rPr>
          <w:rFonts w:cs="Arial"/>
          <w:b/>
          <w:color w:val="000000" w:themeColor="text1"/>
          <w:sz w:val="22"/>
          <w:szCs w:val="22"/>
        </w:rPr>
      </w:pPr>
      <w:r w:rsidRPr="00AE299A">
        <w:rPr>
          <w:rFonts w:cs="Arial"/>
          <w:b/>
          <w:color w:val="000000" w:themeColor="text1"/>
          <w:sz w:val="22"/>
          <w:szCs w:val="22"/>
        </w:rPr>
        <w:t>5.1</w:t>
      </w:r>
      <w:r w:rsidRPr="00AE299A">
        <w:rPr>
          <w:rFonts w:cs="Arial"/>
          <w:b/>
          <w:color w:val="000000" w:themeColor="text1"/>
          <w:sz w:val="22"/>
          <w:szCs w:val="22"/>
        </w:rPr>
        <w:tab/>
        <w:t>Requirements Description</w:t>
      </w:r>
    </w:p>
    <w:p w:rsidR="00A93915" w:rsidRDefault="00A93915" w:rsidP="00856248">
      <w:pPr>
        <w:pStyle w:val="ReportText2"/>
        <w:tabs>
          <w:tab w:val="num" w:pos="0"/>
        </w:tabs>
        <w:spacing w:after="0" w:line="240" w:lineRule="auto"/>
        <w:ind w:left="0"/>
        <w:rPr>
          <w:rFonts w:cs="Arial"/>
          <w:bCs/>
          <w:color w:val="000000" w:themeColor="text1"/>
          <w:sz w:val="22"/>
          <w:szCs w:val="22"/>
        </w:rPr>
      </w:pPr>
      <w:r w:rsidRPr="00AE299A">
        <w:rPr>
          <w:rFonts w:cs="Arial"/>
          <w:bCs/>
          <w:color w:val="000000" w:themeColor="text1"/>
          <w:sz w:val="22"/>
          <w:szCs w:val="22"/>
        </w:rPr>
        <w:t>NML requires the tender submission to detail a solution to</w:t>
      </w:r>
      <w:r w:rsidR="00703612">
        <w:rPr>
          <w:rFonts w:cs="Arial"/>
          <w:bCs/>
          <w:color w:val="000000" w:themeColor="text1"/>
          <w:sz w:val="22"/>
          <w:szCs w:val="22"/>
        </w:rPr>
        <w:t xml:space="preserve"> the production, </w:t>
      </w:r>
      <w:r w:rsidR="0006239C">
        <w:rPr>
          <w:rFonts w:cs="Arial"/>
          <w:bCs/>
          <w:color w:val="000000" w:themeColor="text1"/>
          <w:sz w:val="22"/>
          <w:szCs w:val="22"/>
        </w:rPr>
        <w:t>delivery</w:t>
      </w:r>
      <w:r w:rsidR="00703612">
        <w:rPr>
          <w:rFonts w:cs="Arial"/>
          <w:bCs/>
          <w:color w:val="000000" w:themeColor="text1"/>
          <w:sz w:val="22"/>
          <w:szCs w:val="22"/>
        </w:rPr>
        <w:t xml:space="preserve"> and installation</w:t>
      </w:r>
      <w:r w:rsidR="00B41F88">
        <w:rPr>
          <w:rFonts w:cs="Arial"/>
          <w:bCs/>
          <w:color w:val="000000" w:themeColor="text1"/>
          <w:sz w:val="22"/>
          <w:szCs w:val="22"/>
        </w:rPr>
        <w:t xml:space="preserve"> of</w:t>
      </w:r>
      <w:r w:rsidRPr="00AE299A">
        <w:rPr>
          <w:rFonts w:cs="Arial"/>
          <w:bCs/>
          <w:color w:val="000000" w:themeColor="text1"/>
          <w:sz w:val="22"/>
          <w:szCs w:val="22"/>
        </w:rPr>
        <w:t xml:space="preserve"> </w:t>
      </w:r>
      <w:r w:rsidR="0090238C">
        <w:rPr>
          <w:rFonts w:cs="Arial"/>
          <w:color w:val="000000" w:themeColor="text1"/>
          <w:sz w:val="22"/>
          <w:szCs w:val="22"/>
        </w:rPr>
        <w:t>29 primary plinths and 6 secondary plinths for display cases</w:t>
      </w:r>
      <w:r w:rsidR="00FA6120" w:rsidRPr="00AE299A">
        <w:rPr>
          <w:rFonts w:cs="Arial"/>
          <w:bCs/>
          <w:color w:val="000000" w:themeColor="text1"/>
          <w:sz w:val="22"/>
          <w:szCs w:val="22"/>
        </w:rPr>
        <w:t>.</w:t>
      </w:r>
      <w:r w:rsidR="00856248" w:rsidRPr="00AE299A">
        <w:rPr>
          <w:rFonts w:cs="Arial"/>
          <w:bCs/>
          <w:color w:val="000000" w:themeColor="text1"/>
          <w:sz w:val="22"/>
          <w:szCs w:val="22"/>
        </w:rPr>
        <w:t xml:space="preserve"> </w:t>
      </w:r>
    </w:p>
    <w:p w:rsidR="00826EB0" w:rsidRDefault="00826EB0" w:rsidP="00826EB0">
      <w:pPr>
        <w:spacing w:line="240" w:lineRule="auto"/>
        <w:rPr>
          <w:rFonts w:cs="Arial"/>
          <w:color w:val="000000" w:themeColor="text1"/>
          <w:sz w:val="22"/>
          <w:szCs w:val="22"/>
        </w:rPr>
      </w:pPr>
    </w:p>
    <w:p w:rsidR="00826EB0" w:rsidRPr="00826EB0" w:rsidRDefault="00826EB0" w:rsidP="00826EB0">
      <w:pPr>
        <w:spacing w:line="240" w:lineRule="auto"/>
        <w:rPr>
          <w:rFonts w:cs="Arial"/>
          <w:color w:val="000000" w:themeColor="text1"/>
          <w:sz w:val="22"/>
          <w:szCs w:val="22"/>
        </w:rPr>
      </w:pPr>
      <w:r>
        <w:rPr>
          <w:rFonts w:cs="Arial"/>
          <w:color w:val="000000" w:themeColor="text1"/>
          <w:sz w:val="22"/>
          <w:szCs w:val="22"/>
        </w:rPr>
        <w:t>There are 3 options within the specification document for what materials can be used. We would like contractors to quote for the 3 options.</w:t>
      </w:r>
    </w:p>
    <w:p w:rsidR="00A93915" w:rsidRPr="00AE299A" w:rsidRDefault="00A93915" w:rsidP="00A93915">
      <w:pPr>
        <w:pStyle w:val="ListParagraph"/>
        <w:spacing w:line="240" w:lineRule="auto"/>
        <w:rPr>
          <w:rFonts w:cs="Arial"/>
          <w:color w:val="000000" w:themeColor="text1"/>
          <w:sz w:val="22"/>
          <w:szCs w:val="22"/>
        </w:rPr>
      </w:pPr>
    </w:p>
    <w:p w:rsidR="000A1565" w:rsidRPr="00AE299A" w:rsidRDefault="00A93915" w:rsidP="00A93915">
      <w:pPr>
        <w:spacing w:line="240" w:lineRule="auto"/>
        <w:contextualSpacing/>
        <w:rPr>
          <w:rFonts w:cs="Arial"/>
          <w:color w:val="000000" w:themeColor="text1"/>
          <w:sz w:val="22"/>
          <w:szCs w:val="22"/>
        </w:rPr>
      </w:pPr>
      <w:r w:rsidRPr="00AE299A">
        <w:rPr>
          <w:rFonts w:cs="Arial"/>
          <w:color w:val="000000" w:themeColor="text1"/>
          <w:sz w:val="22"/>
          <w:szCs w:val="22"/>
        </w:rPr>
        <w:t xml:space="preserve">This document details baseline requirements for </w:t>
      </w:r>
      <w:r w:rsidR="0006239C">
        <w:rPr>
          <w:rFonts w:cs="Arial"/>
          <w:color w:val="000000" w:themeColor="text1"/>
          <w:sz w:val="22"/>
          <w:szCs w:val="22"/>
        </w:rPr>
        <w:t>the plinths</w:t>
      </w:r>
      <w:r w:rsidRPr="00AE299A">
        <w:rPr>
          <w:rFonts w:cs="Arial"/>
          <w:color w:val="000000" w:themeColor="text1"/>
          <w:sz w:val="22"/>
          <w:szCs w:val="22"/>
        </w:rPr>
        <w:t>. This is not meant to be an exhaustive list of requirements but it will however serve to identify suitable solutions and bidders. NML reserves the right to modify its requirements at any time.</w:t>
      </w:r>
    </w:p>
    <w:p w:rsidR="00A93915" w:rsidRPr="00AE299A" w:rsidRDefault="00A93915" w:rsidP="00A93915">
      <w:pPr>
        <w:spacing w:line="240" w:lineRule="auto"/>
        <w:jc w:val="left"/>
        <w:rPr>
          <w:rFonts w:cs="Arial"/>
          <w:color w:val="000000" w:themeColor="text1"/>
          <w:sz w:val="22"/>
          <w:szCs w:val="22"/>
        </w:rPr>
      </w:pPr>
    </w:p>
    <w:p w:rsidR="00A93915" w:rsidRPr="00AE299A" w:rsidRDefault="00A93915" w:rsidP="00A93915">
      <w:pPr>
        <w:autoSpaceDE w:val="0"/>
        <w:autoSpaceDN w:val="0"/>
        <w:adjustRightInd w:val="0"/>
        <w:spacing w:line="240" w:lineRule="auto"/>
        <w:jc w:val="left"/>
        <w:rPr>
          <w:rFonts w:cs="Arial"/>
          <w:b/>
          <w:bCs/>
          <w:color w:val="000000" w:themeColor="text1"/>
          <w:spacing w:val="0"/>
          <w:sz w:val="22"/>
          <w:szCs w:val="22"/>
          <w:lang w:eastAsia="en-GB"/>
        </w:rPr>
      </w:pPr>
      <w:r w:rsidRPr="00AE299A">
        <w:rPr>
          <w:rFonts w:cs="Arial"/>
          <w:b/>
          <w:bCs/>
          <w:color w:val="000000" w:themeColor="text1"/>
          <w:spacing w:val="0"/>
          <w:sz w:val="22"/>
          <w:szCs w:val="22"/>
          <w:lang w:eastAsia="en-GB"/>
        </w:rPr>
        <w:t xml:space="preserve">5.2 </w:t>
      </w:r>
      <w:r w:rsidRPr="00AE299A">
        <w:rPr>
          <w:rFonts w:cs="Arial"/>
          <w:b/>
          <w:bCs/>
          <w:color w:val="000000" w:themeColor="text1"/>
          <w:spacing w:val="0"/>
          <w:sz w:val="22"/>
          <w:szCs w:val="22"/>
          <w:lang w:eastAsia="en-GB"/>
        </w:rPr>
        <w:tab/>
        <w:t>Detailed specification of requirements</w:t>
      </w:r>
    </w:p>
    <w:p w:rsidR="00A93915" w:rsidRPr="00AE299A" w:rsidRDefault="00A93915" w:rsidP="00A93915">
      <w:pPr>
        <w:spacing w:line="240" w:lineRule="auto"/>
        <w:jc w:val="left"/>
        <w:rPr>
          <w:rFonts w:cs="Arial"/>
          <w:color w:val="000000" w:themeColor="text1"/>
          <w:sz w:val="22"/>
          <w:szCs w:val="22"/>
        </w:rPr>
      </w:pPr>
    </w:p>
    <w:p w:rsidR="00856248" w:rsidRPr="00AE299A" w:rsidRDefault="00856248" w:rsidP="00856248">
      <w:pPr>
        <w:pStyle w:val="ReportText2"/>
        <w:tabs>
          <w:tab w:val="num" w:pos="0"/>
        </w:tabs>
        <w:spacing w:after="0" w:line="240" w:lineRule="auto"/>
        <w:ind w:left="0"/>
        <w:rPr>
          <w:rFonts w:cs="Arial"/>
          <w:bCs/>
          <w:color w:val="000000" w:themeColor="text1"/>
          <w:sz w:val="22"/>
          <w:szCs w:val="22"/>
        </w:rPr>
      </w:pPr>
      <w:r w:rsidRPr="00AE299A">
        <w:rPr>
          <w:rFonts w:cs="Arial"/>
          <w:color w:val="000000" w:themeColor="text1"/>
          <w:sz w:val="22"/>
          <w:szCs w:val="22"/>
        </w:rPr>
        <w:t xml:space="preserve">The product specifications are detailed </w:t>
      </w:r>
      <w:r w:rsidRPr="00AE299A">
        <w:rPr>
          <w:rFonts w:cs="Arial"/>
          <w:bCs/>
          <w:color w:val="000000" w:themeColor="text1"/>
          <w:sz w:val="22"/>
          <w:szCs w:val="22"/>
        </w:rPr>
        <w:t>in Appendix F, G and H.</w:t>
      </w:r>
    </w:p>
    <w:p w:rsidR="00C1612E" w:rsidRPr="00AE299A" w:rsidRDefault="00C1612E" w:rsidP="00521A37">
      <w:pPr>
        <w:spacing w:line="240" w:lineRule="auto"/>
        <w:jc w:val="left"/>
        <w:rPr>
          <w:rFonts w:cs="Arial"/>
          <w:color w:val="000000" w:themeColor="text1"/>
          <w:sz w:val="22"/>
          <w:szCs w:val="22"/>
        </w:rPr>
      </w:pPr>
    </w:p>
    <w:p w:rsidR="00856248" w:rsidRPr="00AE299A" w:rsidRDefault="00856248" w:rsidP="00710432">
      <w:pPr>
        <w:tabs>
          <w:tab w:val="left" w:pos="720"/>
          <w:tab w:val="left" w:pos="1440"/>
          <w:tab w:val="left" w:pos="2160"/>
          <w:tab w:val="left" w:pos="2880"/>
          <w:tab w:val="left" w:pos="3600"/>
          <w:tab w:val="left" w:pos="6834"/>
        </w:tabs>
        <w:spacing w:line="240" w:lineRule="auto"/>
        <w:contextualSpacing/>
        <w:rPr>
          <w:rFonts w:cs="Arial"/>
          <w:b/>
          <w:color w:val="000000" w:themeColor="text1"/>
          <w:sz w:val="22"/>
          <w:szCs w:val="22"/>
        </w:rPr>
      </w:pPr>
      <w:r w:rsidRPr="00AE299A">
        <w:rPr>
          <w:rFonts w:cs="Arial"/>
          <w:b/>
          <w:color w:val="000000" w:themeColor="text1"/>
          <w:sz w:val="22"/>
          <w:szCs w:val="22"/>
        </w:rPr>
        <w:t xml:space="preserve">5.3 </w:t>
      </w:r>
      <w:r w:rsidRPr="00AE299A">
        <w:rPr>
          <w:rFonts w:cs="Arial"/>
          <w:b/>
          <w:color w:val="000000" w:themeColor="text1"/>
          <w:sz w:val="22"/>
          <w:szCs w:val="22"/>
        </w:rPr>
        <w:tab/>
        <w:t>Implementation / Installation</w:t>
      </w:r>
      <w:r w:rsidR="00710432">
        <w:rPr>
          <w:rFonts w:cs="Arial"/>
          <w:b/>
          <w:color w:val="000000" w:themeColor="text1"/>
          <w:sz w:val="22"/>
          <w:szCs w:val="22"/>
        </w:rPr>
        <w:tab/>
      </w:r>
    </w:p>
    <w:p w:rsidR="00856248" w:rsidRPr="00AE299A" w:rsidRDefault="00856248" w:rsidP="00856248">
      <w:pPr>
        <w:spacing w:line="240" w:lineRule="auto"/>
        <w:contextualSpacing/>
        <w:rPr>
          <w:rFonts w:cs="Arial"/>
          <w:color w:val="000000" w:themeColor="text1"/>
          <w:sz w:val="22"/>
          <w:szCs w:val="22"/>
        </w:rPr>
      </w:pPr>
    </w:p>
    <w:p w:rsidR="00856248" w:rsidRPr="00AE299A" w:rsidRDefault="00856248" w:rsidP="00856248">
      <w:pPr>
        <w:spacing w:line="240" w:lineRule="auto"/>
        <w:contextualSpacing/>
        <w:rPr>
          <w:rFonts w:cs="Arial"/>
          <w:color w:val="000000" w:themeColor="text1"/>
          <w:sz w:val="22"/>
          <w:szCs w:val="22"/>
        </w:rPr>
      </w:pPr>
      <w:r w:rsidRPr="00AE299A">
        <w:rPr>
          <w:rFonts w:cs="Arial"/>
          <w:color w:val="000000" w:themeColor="text1"/>
          <w:sz w:val="22"/>
          <w:szCs w:val="22"/>
        </w:rPr>
        <w:t>NML expects the implementation of the solution to be fully project managed, ensuring that the required delivery dates are met.</w:t>
      </w:r>
    </w:p>
    <w:p w:rsidR="00856248" w:rsidRPr="00AE299A" w:rsidRDefault="00856248" w:rsidP="00856248">
      <w:pPr>
        <w:spacing w:line="240" w:lineRule="auto"/>
        <w:contextualSpacing/>
        <w:rPr>
          <w:rFonts w:cs="Arial"/>
          <w:color w:val="000000" w:themeColor="text1"/>
          <w:sz w:val="22"/>
          <w:szCs w:val="22"/>
        </w:rPr>
      </w:pPr>
    </w:p>
    <w:p w:rsidR="00856248" w:rsidRPr="00AE299A" w:rsidRDefault="00856248" w:rsidP="00856248">
      <w:pPr>
        <w:spacing w:line="240" w:lineRule="auto"/>
        <w:contextualSpacing/>
        <w:rPr>
          <w:rFonts w:cs="Arial"/>
          <w:color w:val="000000" w:themeColor="text1"/>
          <w:sz w:val="22"/>
          <w:szCs w:val="22"/>
        </w:rPr>
      </w:pPr>
      <w:r w:rsidRPr="00AE299A">
        <w:rPr>
          <w:rFonts w:cs="Arial"/>
          <w:color w:val="000000" w:themeColor="text1"/>
          <w:sz w:val="22"/>
          <w:szCs w:val="22"/>
        </w:rPr>
        <w:t>NML also expect the implementation to include the appropriate levels of on-site presence to ensure smooth delivery of key</w:t>
      </w:r>
      <w:r w:rsidR="00F165FD">
        <w:rPr>
          <w:rFonts w:cs="Arial"/>
          <w:color w:val="000000" w:themeColor="text1"/>
          <w:sz w:val="22"/>
          <w:szCs w:val="22"/>
        </w:rPr>
        <w:t xml:space="preserve"> stages, specifically go-live. </w:t>
      </w:r>
      <w:r w:rsidRPr="00AE299A">
        <w:rPr>
          <w:rFonts w:cs="Arial"/>
          <w:color w:val="000000" w:themeColor="text1"/>
          <w:sz w:val="22"/>
          <w:szCs w:val="22"/>
        </w:rPr>
        <w:t xml:space="preserve"> </w:t>
      </w:r>
    </w:p>
    <w:p w:rsidR="000D53B9" w:rsidRPr="000D53B9" w:rsidRDefault="000D53B9" w:rsidP="000A1565">
      <w:pPr>
        <w:pStyle w:val="ReportText3"/>
        <w:spacing w:after="0" w:line="240" w:lineRule="auto"/>
        <w:ind w:left="0"/>
        <w:rPr>
          <w:rFonts w:cs="Arial"/>
          <w:b/>
          <w:sz w:val="22"/>
          <w:szCs w:val="22"/>
        </w:rPr>
      </w:pPr>
    </w:p>
    <w:p w:rsidR="000A1565" w:rsidRPr="000D53B9" w:rsidRDefault="000D53B9" w:rsidP="00521A37">
      <w:pPr>
        <w:spacing w:line="240" w:lineRule="auto"/>
        <w:jc w:val="left"/>
        <w:rPr>
          <w:rFonts w:cs="Arial"/>
          <w:sz w:val="22"/>
          <w:szCs w:val="22"/>
        </w:rPr>
      </w:pPr>
      <w:r w:rsidRPr="000D53B9">
        <w:rPr>
          <w:rFonts w:cs="Arial"/>
          <w:sz w:val="22"/>
          <w:szCs w:val="22"/>
        </w:rPr>
        <w:t>The site will be accessible for delivery from Monday to Friday 8am to 8pm. A compound in the museum car park will be made available with welfare facilities</w:t>
      </w:r>
      <w:r w:rsidR="00647C31">
        <w:rPr>
          <w:rFonts w:cs="Arial"/>
          <w:sz w:val="22"/>
          <w:szCs w:val="22"/>
        </w:rPr>
        <w:t xml:space="preserve"> for contractors.</w:t>
      </w: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FA6120" w:rsidRDefault="00FA6120"/>
    <w:bookmarkEnd w:id="58"/>
    <w:sectPr w:rsidR="00FA6120"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6E9A" w:rsidRDefault="00AB6E9A">
      <w:r>
        <w:separator/>
      </w:r>
    </w:p>
  </w:endnote>
  <w:endnote w:type="continuationSeparator" w:id="0">
    <w:p w:rsidR="00AB6E9A" w:rsidRDefault="00AB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AB6E9A" w:rsidTr="00BE66F7">
      <w:trPr>
        <w:trHeight w:val="1279"/>
      </w:trPr>
      <w:tc>
        <w:tcPr>
          <w:tcW w:w="250" w:type="dxa"/>
        </w:tcPr>
        <w:p w:rsidR="00AB6E9A" w:rsidRDefault="00AB6E9A">
          <w:pPr>
            <w:tabs>
              <w:tab w:val="left" w:pos="5792"/>
            </w:tabs>
            <w:spacing w:line="240" w:lineRule="auto"/>
            <w:rPr>
              <w:rFonts w:cs="Arial"/>
              <w:sz w:val="16"/>
            </w:rPr>
          </w:pPr>
        </w:p>
      </w:tc>
      <w:tc>
        <w:tcPr>
          <w:tcW w:w="8363" w:type="dxa"/>
        </w:tcPr>
        <w:p w:rsidR="00AB6E9A" w:rsidRPr="008669A6" w:rsidRDefault="00AB6E9A" w:rsidP="008669A6">
          <w:pPr>
            <w:tabs>
              <w:tab w:val="left" w:pos="5792"/>
            </w:tabs>
            <w:spacing w:line="240" w:lineRule="auto"/>
            <w:rPr>
              <w:rFonts w:cs="Arial"/>
              <w:b/>
              <w:bCs/>
              <w:color w:val="00001C"/>
              <w:sz w:val="15"/>
            </w:rPr>
          </w:pPr>
        </w:p>
      </w:tc>
    </w:tr>
  </w:tbl>
  <w:p w:rsidR="00AB6E9A" w:rsidRDefault="00AB6E9A">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AB6E9A">
      <w:trPr>
        <w:cantSplit/>
      </w:trPr>
      <w:tc>
        <w:tcPr>
          <w:tcW w:w="4644" w:type="dxa"/>
          <w:vAlign w:val="center"/>
        </w:tcPr>
        <w:p w:rsidR="00AB6E9A" w:rsidRDefault="00AB6E9A">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AB6E9A" w:rsidRDefault="00AB6E9A">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A217FD">
            <w:rPr>
              <w:rStyle w:val="PageNumber"/>
              <w:noProof/>
            </w:rPr>
            <w:t>14</w:t>
          </w:r>
          <w:r>
            <w:rPr>
              <w:rStyle w:val="PageNumber"/>
            </w:rPr>
            <w:fldChar w:fldCharType="end"/>
          </w:r>
        </w:p>
      </w:tc>
    </w:tr>
  </w:tbl>
  <w:p w:rsidR="00AB6E9A" w:rsidRDefault="00AB6E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6E9A" w:rsidRDefault="00AB6E9A">
      <w:r>
        <w:separator/>
      </w:r>
    </w:p>
  </w:footnote>
  <w:footnote w:type="continuationSeparator" w:id="0">
    <w:p w:rsidR="00AB6E9A" w:rsidRDefault="00AB6E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AB6E9A">
      <w:tc>
        <w:tcPr>
          <w:tcW w:w="8472" w:type="dxa"/>
          <w:tcMar>
            <w:right w:w="28" w:type="dxa"/>
          </w:tcMar>
        </w:tcPr>
        <w:p w:rsidR="00AB6E9A" w:rsidRDefault="00AB6E9A">
          <w:pPr>
            <w:tabs>
              <w:tab w:val="left" w:pos="828"/>
              <w:tab w:val="right" w:pos="9152"/>
            </w:tabs>
            <w:rPr>
              <w:rFonts w:cs="Arial"/>
              <w:sz w:val="12"/>
            </w:rPr>
          </w:pPr>
        </w:p>
      </w:tc>
    </w:tr>
  </w:tbl>
  <w:p w:rsidR="00AB6E9A" w:rsidRDefault="00AB6E9A">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9BA68BF"/>
    <w:multiLevelType w:val="hybridMultilevel"/>
    <w:tmpl w:val="337EF98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7">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3DFA4E71"/>
    <w:multiLevelType w:val="multilevel"/>
    <w:tmpl w:val="C046EE6E"/>
    <w:lvl w:ilvl="0">
      <w:start w:val="3"/>
      <w:numFmt w:val="decimal"/>
      <w:lvlText w:val="%1."/>
      <w:lvlJc w:val="left"/>
      <w:pPr>
        <w:ind w:left="720" w:hanging="360"/>
      </w:pPr>
      <w:rPr>
        <w:rFonts w:hint="default"/>
      </w:rPr>
    </w:lvl>
    <w:lvl w:ilvl="1">
      <w:start w:val="8"/>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5">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6">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7">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8">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2">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3">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4">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7">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9">
    <w:nsid w:val="7C202B4B"/>
    <w:multiLevelType w:val="hybridMultilevel"/>
    <w:tmpl w:val="725C9F6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2"/>
  </w:num>
  <w:num w:numId="3">
    <w:abstractNumId w:val="36"/>
  </w:num>
  <w:num w:numId="4">
    <w:abstractNumId w:val="38"/>
  </w:num>
  <w:num w:numId="5">
    <w:abstractNumId w:val="8"/>
  </w:num>
  <w:num w:numId="6">
    <w:abstractNumId w:val="33"/>
  </w:num>
  <w:num w:numId="7">
    <w:abstractNumId w:val="31"/>
  </w:num>
  <w:num w:numId="8">
    <w:abstractNumId w:val="19"/>
  </w:num>
  <w:num w:numId="9">
    <w:abstractNumId w:val="37"/>
  </w:num>
  <w:num w:numId="10">
    <w:abstractNumId w:val="22"/>
  </w:num>
  <w:num w:numId="11">
    <w:abstractNumId w:val="16"/>
  </w:num>
  <w:num w:numId="12">
    <w:abstractNumId w:val="14"/>
  </w:num>
  <w:num w:numId="13">
    <w:abstractNumId w:val="21"/>
  </w:num>
  <w:num w:numId="14">
    <w:abstractNumId w:val="0"/>
  </w:num>
  <w:num w:numId="15">
    <w:abstractNumId w:val="28"/>
  </w:num>
  <w:num w:numId="16">
    <w:abstractNumId w:val="25"/>
  </w:num>
  <w:num w:numId="17">
    <w:abstractNumId w:val="18"/>
  </w:num>
  <w:num w:numId="18">
    <w:abstractNumId w:val="35"/>
  </w:num>
  <w:num w:numId="19">
    <w:abstractNumId w:val="34"/>
  </w:num>
  <w:num w:numId="20">
    <w:abstractNumId w:val="9"/>
  </w:num>
  <w:num w:numId="21">
    <w:abstractNumId w:val="23"/>
  </w:num>
  <w:num w:numId="22">
    <w:abstractNumId w:val="3"/>
  </w:num>
  <w:num w:numId="23">
    <w:abstractNumId w:val="2"/>
  </w:num>
  <w:num w:numId="24">
    <w:abstractNumId w:val="10"/>
  </w:num>
  <w:num w:numId="25">
    <w:abstractNumId w:val="30"/>
  </w:num>
  <w:num w:numId="26">
    <w:abstractNumId w:val="7"/>
  </w:num>
  <w:num w:numId="27">
    <w:abstractNumId w:val="12"/>
  </w:num>
  <w:num w:numId="28">
    <w:abstractNumId w:val="17"/>
  </w:num>
  <w:num w:numId="29">
    <w:abstractNumId w:val="11"/>
  </w:num>
  <w:num w:numId="30">
    <w:abstractNumId w:val="15"/>
  </w:num>
  <w:num w:numId="31">
    <w:abstractNumId w:val="27"/>
  </w:num>
  <w:num w:numId="32">
    <w:abstractNumId w:val="4"/>
  </w:num>
  <w:num w:numId="33">
    <w:abstractNumId w:val="5"/>
  </w:num>
  <w:num w:numId="34">
    <w:abstractNumId w:val="26"/>
  </w:num>
  <w:num w:numId="35">
    <w:abstractNumId w:val="29"/>
  </w:num>
  <w:num w:numId="36">
    <w:abstractNumId w:val="20"/>
  </w:num>
  <w:num w:numId="37">
    <w:abstractNumId w:val="39"/>
  </w:num>
  <w:num w:numId="38">
    <w:abstractNumId w:val="6"/>
  </w:num>
  <w:num w:numId="39">
    <w:abstractNumId w:val="18"/>
    <w:lvlOverride w:ilvl="0">
      <w:startOverride w:val="2"/>
    </w:lvlOverride>
    <w:lvlOverride w:ilvl="1">
      <w:startOverride w:val="1"/>
    </w:lvlOverride>
  </w:num>
  <w:num w:numId="40">
    <w:abstractNumId w:val="18"/>
    <w:lvlOverride w:ilvl="0">
      <w:startOverride w:val="2"/>
    </w:lvlOverride>
    <w:lvlOverride w:ilvl="1">
      <w:startOverride w:val="1"/>
    </w:lvlOverride>
  </w:num>
  <w:num w:numId="41">
    <w:abstractNumId w:val="18"/>
    <w:lvlOverride w:ilvl="0">
      <w:startOverride w:val="2"/>
    </w:lvlOverride>
    <w:lvlOverride w:ilvl="1">
      <w:startOverride w:val="1"/>
    </w:lvlOverride>
  </w:num>
  <w:num w:numId="42">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128001">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00"/>
    <w:rsid w:val="00012C91"/>
    <w:rsid w:val="00014683"/>
    <w:rsid w:val="0001537A"/>
    <w:rsid w:val="00016E2A"/>
    <w:rsid w:val="000214D8"/>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39C"/>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1565"/>
    <w:rsid w:val="000A4836"/>
    <w:rsid w:val="000A5E08"/>
    <w:rsid w:val="000A5EBE"/>
    <w:rsid w:val="000A5F8E"/>
    <w:rsid w:val="000B7DC9"/>
    <w:rsid w:val="000C25BE"/>
    <w:rsid w:val="000C30F4"/>
    <w:rsid w:val="000D18AC"/>
    <w:rsid w:val="000D53B9"/>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471"/>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58AB"/>
    <w:rsid w:val="0016668D"/>
    <w:rsid w:val="00172B97"/>
    <w:rsid w:val="00173088"/>
    <w:rsid w:val="00173B2F"/>
    <w:rsid w:val="001802DB"/>
    <w:rsid w:val="001842BA"/>
    <w:rsid w:val="00185E9C"/>
    <w:rsid w:val="00187FF9"/>
    <w:rsid w:val="00191F65"/>
    <w:rsid w:val="0019653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B18"/>
    <w:rsid w:val="001E5B05"/>
    <w:rsid w:val="001E672A"/>
    <w:rsid w:val="001F05A4"/>
    <w:rsid w:val="001F134F"/>
    <w:rsid w:val="001F2A50"/>
    <w:rsid w:val="001F30BA"/>
    <w:rsid w:val="001F4311"/>
    <w:rsid w:val="001F4B82"/>
    <w:rsid w:val="001F4D11"/>
    <w:rsid w:val="001F5D89"/>
    <w:rsid w:val="002004FE"/>
    <w:rsid w:val="00201733"/>
    <w:rsid w:val="00202007"/>
    <w:rsid w:val="002027E5"/>
    <w:rsid w:val="00205647"/>
    <w:rsid w:val="00205EE1"/>
    <w:rsid w:val="0022572B"/>
    <w:rsid w:val="002259E4"/>
    <w:rsid w:val="00226DB5"/>
    <w:rsid w:val="00227502"/>
    <w:rsid w:val="00230353"/>
    <w:rsid w:val="002310CD"/>
    <w:rsid w:val="00231B1F"/>
    <w:rsid w:val="00235F5B"/>
    <w:rsid w:val="002412CC"/>
    <w:rsid w:val="0024561A"/>
    <w:rsid w:val="0024571D"/>
    <w:rsid w:val="002474B7"/>
    <w:rsid w:val="00247BE7"/>
    <w:rsid w:val="00251899"/>
    <w:rsid w:val="00252381"/>
    <w:rsid w:val="0025265C"/>
    <w:rsid w:val="00253EB5"/>
    <w:rsid w:val="00253FE8"/>
    <w:rsid w:val="00260F08"/>
    <w:rsid w:val="00262CE2"/>
    <w:rsid w:val="00263658"/>
    <w:rsid w:val="00264D2B"/>
    <w:rsid w:val="00270C86"/>
    <w:rsid w:val="00271229"/>
    <w:rsid w:val="0027257F"/>
    <w:rsid w:val="00276F4B"/>
    <w:rsid w:val="002838B4"/>
    <w:rsid w:val="00284D8C"/>
    <w:rsid w:val="00284F53"/>
    <w:rsid w:val="00290939"/>
    <w:rsid w:val="00290D83"/>
    <w:rsid w:val="002922DC"/>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0E70"/>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7D2"/>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0BC1"/>
    <w:rsid w:val="003B1592"/>
    <w:rsid w:val="003B2707"/>
    <w:rsid w:val="003B279F"/>
    <w:rsid w:val="003B4DFB"/>
    <w:rsid w:val="003C107C"/>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0B5A"/>
    <w:rsid w:val="004401F6"/>
    <w:rsid w:val="004403E2"/>
    <w:rsid w:val="00441883"/>
    <w:rsid w:val="0044204E"/>
    <w:rsid w:val="00443DB0"/>
    <w:rsid w:val="00443FA2"/>
    <w:rsid w:val="00444C39"/>
    <w:rsid w:val="00450155"/>
    <w:rsid w:val="00451928"/>
    <w:rsid w:val="00451C3B"/>
    <w:rsid w:val="00454A62"/>
    <w:rsid w:val="0045500C"/>
    <w:rsid w:val="00455CCB"/>
    <w:rsid w:val="00456444"/>
    <w:rsid w:val="004579CB"/>
    <w:rsid w:val="0046067F"/>
    <w:rsid w:val="0046146A"/>
    <w:rsid w:val="00461FEE"/>
    <w:rsid w:val="00470C84"/>
    <w:rsid w:val="00471F42"/>
    <w:rsid w:val="0047277A"/>
    <w:rsid w:val="00472D4F"/>
    <w:rsid w:val="004755AD"/>
    <w:rsid w:val="00476958"/>
    <w:rsid w:val="004842EE"/>
    <w:rsid w:val="0048452F"/>
    <w:rsid w:val="004932ED"/>
    <w:rsid w:val="00495761"/>
    <w:rsid w:val="00497645"/>
    <w:rsid w:val="004978FF"/>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FF0"/>
    <w:rsid w:val="004D1D9E"/>
    <w:rsid w:val="004D67CA"/>
    <w:rsid w:val="004D7061"/>
    <w:rsid w:val="004D7A8D"/>
    <w:rsid w:val="004E0330"/>
    <w:rsid w:val="004E0580"/>
    <w:rsid w:val="004E05D3"/>
    <w:rsid w:val="004E121E"/>
    <w:rsid w:val="004E5C69"/>
    <w:rsid w:val="004E6B53"/>
    <w:rsid w:val="004E6FB6"/>
    <w:rsid w:val="004F3875"/>
    <w:rsid w:val="004F4015"/>
    <w:rsid w:val="004F7E85"/>
    <w:rsid w:val="0050005A"/>
    <w:rsid w:val="00500B8B"/>
    <w:rsid w:val="00501CD2"/>
    <w:rsid w:val="00505A23"/>
    <w:rsid w:val="005065F6"/>
    <w:rsid w:val="005068E6"/>
    <w:rsid w:val="00506A49"/>
    <w:rsid w:val="005118EF"/>
    <w:rsid w:val="00512912"/>
    <w:rsid w:val="00515828"/>
    <w:rsid w:val="00515BD7"/>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6679A"/>
    <w:rsid w:val="0057041A"/>
    <w:rsid w:val="005713AE"/>
    <w:rsid w:val="005734CD"/>
    <w:rsid w:val="005735A1"/>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C16"/>
    <w:rsid w:val="005C0ACE"/>
    <w:rsid w:val="005C75C7"/>
    <w:rsid w:val="005D0AF3"/>
    <w:rsid w:val="005D2F21"/>
    <w:rsid w:val="005D5632"/>
    <w:rsid w:val="005D5C21"/>
    <w:rsid w:val="005D6282"/>
    <w:rsid w:val="005D63B3"/>
    <w:rsid w:val="005D64FE"/>
    <w:rsid w:val="005E001E"/>
    <w:rsid w:val="005E3333"/>
    <w:rsid w:val="005E43DC"/>
    <w:rsid w:val="005E4A5C"/>
    <w:rsid w:val="005E613B"/>
    <w:rsid w:val="005E7A17"/>
    <w:rsid w:val="005F1800"/>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21A2"/>
    <w:rsid w:val="00643B11"/>
    <w:rsid w:val="0064544E"/>
    <w:rsid w:val="00647C31"/>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5C9F"/>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3612"/>
    <w:rsid w:val="007044AC"/>
    <w:rsid w:val="00704690"/>
    <w:rsid w:val="00704C41"/>
    <w:rsid w:val="007053F1"/>
    <w:rsid w:val="00705635"/>
    <w:rsid w:val="00706284"/>
    <w:rsid w:val="007079ED"/>
    <w:rsid w:val="00710432"/>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793"/>
    <w:rsid w:val="00736A83"/>
    <w:rsid w:val="00736D76"/>
    <w:rsid w:val="007425C4"/>
    <w:rsid w:val="00743BAB"/>
    <w:rsid w:val="0074678E"/>
    <w:rsid w:val="00747080"/>
    <w:rsid w:val="007470A4"/>
    <w:rsid w:val="00750728"/>
    <w:rsid w:val="00751046"/>
    <w:rsid w:val="0075125B"/>
    <w:rsid w:val="00751457"/>
    <w:rsid w:val="007515BF"/>
    <w:rsid w:val="0076237C"/>
    <w:rsid w:val="00763F37"/>
    <w:rsid w:val="00764BA5"/>
    <w:rsid w:val="00766BA7"/>
    <w:rsid w:val="007715A4"/>
    <w:rsid w:val="00772518"/>
    <w:rsid w:val="007740C2"/>
    <w:rsid w:val="007755C4"/>
    <w:rsid w:val="00776DC6"/>
    <w:rsid w:val="0077721E"/>
    <w:rsid w:val="00777A0B"/>
    <w:rsid w:val="00777FEB"/>
    <w:rsid w:val="0078239A"/>
    <w:rsid w:val="00782561"/>
    <w:rsid w:val="00782CE9"/>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26EB0"/>
    <w:rsid w:val="00831258"/>
    <w:rsid w:val="0083363D"/>
    <w:rsid w:val="00833BA5"/>
    <w:rsid w:val="0083482B"/>
    <w:rsid w:val="00835004"/>
    <w:rsid w:val="00841D15"/>
    <w:rsid w:val="0084222E"/>
    <w:rsid w:val="00843169"/>
    <w:rsid w:val="00856248"/>
    <w:rsid w:val="00860643"/>
    <w:rsid w:val="00861078"/>
    <w:rsid w:val="00861F4C"/>
    <w:rsid w:val="00864B68"/>
    <w:rsid w:val="008651CA"/>
    <w:rsid w:val="008669A6"/>
    <w:rsid w:val="008671F1"/>
    <w:rsid w:val="00871501"/>
    <w:rsid w:val="008723CD"/>
    <w:rsid w:val="0087300F"/>
    <w:rsid w:val="00883149"/>
    <w:rsid w:val="00887162"/>
    <w:rsid w:val="00890309"/>
    <w:rsid w:val="008905E0"/>
    <w:rsid w:val="00890B5F"/>
    <w:rsid w:val="00893F15"/>
    <w:rsid w:val="00895E20"/>
    <w:rsid w:val="00897B31"/>
    <w:rsid w:val="008A16A1"/>
    <w:rsid w:val="008A24C5"/>
    <w:rsid w:val="008A3D3C"/>
    <w:rsid w:val="008A5368"/>
    <w:rsid w:val="008B457B"/>
    <w:rsid w:val="008B509F"/>
    <w:rsid w:val="008B57AA"/>
    <w:rsid w:val="008B6A55"/>
    <w:rsid w:val="008B7BEC"/>
    <w:rsid w:val="008C3277"/>
    <w:rsid w:val="008D1A55"/>
    <w:rsid w:val="008D288C"/>
    <w:rsid w:val="008D595C"/>
    <w:rsid w:val="008D7D6B"/>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38C"/>
    <w:rsid w:val="00902EE3"/>
    <w:rsid w:val="009030EB"/>
    <w:rsid w:val="0090396C"/>
    <w:rsid w:val="00905A5E"/>
    <w:rsid w:val="009111F0"/>
    <w:rsid w:val="00911ADF"/>
    <w:rsid w:val="009135F9"/>
    <w:rsid w:val="00915E4A"/>
    <w:rsid w:val="00921E38"/>
    <w:rsid w:val="00932098"/>
    <w:rsid w:val="009337C7"/>
    <w:rsid w:val="009367CA"/>
    <w:rsid w:val="00940E00"/>
    <w:rsid w:val="00944136"/>
    <w:rsid w:val="00944960"/>
    <w:rsid w:val="00945493"/>
    <w:rsid w:val="00955446"/>
    <w:rsid w:val="0095609D"/>
    <w:rsid w:val="00956CA3"/>
    <w:rsid w:val="00975DE8"/>
    <w:rsid w:val="00980AD4"/>
    <w:rsid w:val="009822E2"/>
    <w:rsid w:val="009822F9"/>
    <w:rsid w:val="00984C40"/>
    <w:rsid w:val="00986EB3"/>
    <w:rsid w:val="009872B1"/>
    <w:rsid w:val="00987D38"/>
    <w:rsid w:val="00990289"/>
    <w:rsid w:val="00990724"/>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36CD"/>
    <w:rsid w:val="009F4167"/>
    <w:rsid w:val="009F4CA5"/>
    <w:rsid w:val="00A00E49"/>
    <w:rsid w:val="00A02348"/>
    <w:rsid w:val="00A0751F"/>
    <w:rsid w:val="00A107F0"/>
    <w:rsid w:val="00A13A86"/>
    <w:rsid w:val="00A1640C"/>
    <w:rsid w:val="00A204DD"/>
    <w:rsid w:val="00A217FD"/>
    <w:rsid w:val="00A21C63"/>
    <w:rsid w:val="00A235E2"/>
    <w:rsid w:val="00A24462"/>
    <w:rsid w:val="00A35601"/>
    <w:rsid w:val="00A3709A"/>
    <w:rsid w:val="00A409A7"/>
    <w:rsid w:val="00A42EA2"/>
    <w:rsid w:val="00A46BEF"/>
    <w:rsid w:val="00A50FB5"/>
    <w:rsid w:val="00A5240C"/>
    <w:rsid w:val="00A525C9"/>
    <w:rsid w:val="00A530F6"/>
    <w:rsid w:val="00A60628"/>
    <w:rsid w:val="00A61D4E"/>
    <w:rsid w:val="00A63182"/>
    <w:rsid w:val="00A6383B"/>
    <w:rsid w:val="00A63D88"/>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10E"/>
    <w:rsid w:val="00AA3683"/>
    <w:rsid w:val="00AA7AFA"/>
    <w:rsid w:val="00AA7D7F"/>
    <w:rsid w:val="00AB21E0"/>
    <w:rsid w:val="00AB4A5B"/>
    <w:rsid w:val="00AB54B5"/>
    <w:rsid w:val="00AB6E9A"/>
    <w:rsid w:val="00AB7D99"/>
    <w:rsid w:val="00AC1F5D"/>
    <w:rsid w:val="00AC6B96"/>
    <w:rsid w:val="00AD52E2"/>
    <w:rsid w:val="00AD6A11"/>
    <w:rsid w:val="00AD7B9F"/>
    <w:rsid w:val="00AE1390"/>
    <w:rsid w:val="00AE299A"/>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5C2C"/>
    <w:rsid w:val="00B37D09"/>
    <w:rsid w:val="00B41DA2"/>
    <w:rsid w:val="00B41F88"/>
    <w:rsid w:val="00B44653"/>
    <w:rsid w:val="00B4780D"/>
    <w:rsid w:val="00B517C3"/>
    <w:rsid w:val="00B5256C"/>
    <w:rsid w:val="00B52659"/>
    <w:rsid w:val="00B54045"/>
    <w:rsid w:val="00B61637"/>
    <w:rsid w:val="00B62B09"/>
    <w:rsid w:val="00B64FD8"/>
    <w:rsid w:val="00B75462"/>
    <w:rsid w:val="00B75D4E"/>
    <w:rsid w:val="00B75FB2"/>
    <w:rsid w:val="00B76486"/>
    <w:rsid w:val="00B77AB5"/>
    <w:rsid w:val="00B80A1B"/>
    <w:rsid w:val="00B80CAD"/>
    <w:rsid w:val="00B83258"/>
    <w:rsid w:val="00B84D2B"/>
    <w:rsid w:val="00B91439"/>
    <w:rsid w:val="00B946A1"/>
    <w:rsid w:val="00BA0671"/>
    <w:rsid w:val="00BA5D70"/>
    <w:rsid w:val="00BA743A"/>
    <w:rsid w:val="00BB12AD"/>
    <w:rsid w:val="00BB480B"/>
    <w:rsid w:val="00BC0B87"/>
    <w:rsid w:val="00BC0CFC"/>
    <w:rsid w:val="00BC3516"/>
    <w:rsid w:val="00BC5E61"/>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40E5"/>
    <w:rsid w:val="00C464CD"/>
    <w:rsid w:val="00C52990"/>
    <w:rsid w:val="00C56499"/>
    <w:rsid w:val="00C57854"/>
    <w:rsid w:val="00C57AC6"/>
    <w:rsid w:val="00C602BF"/>
    <w:rsid w:val="00C62825"/>
    <w:rsid w:val="00C62FAD"/>
    <w:rsid w:val="00C67620"/>
    <w:rsid w:val="00C71CA0"/>
    <w:rsid w:val="00C7313A"/>
    <w:rsid w:val="00C733D0"/>
    <w:rsid w:val="00C73C13"/>
    <w:rsid w:val="00C74114"/>
    <w:rsid w:val="00C8481B"/>
    <w:rsid w:val="00C913AA"/>
    <w:rsid w:val="00C919EB"/>
    <w:rsid w:val="00C92723"/>
    <w:rsid w:val="00C94914"/>
    <w:rsid w:val="00C975A9"/>
    <w:rsid w:val="00CA230A"/>
    <w:rsid w:val="00CA637F"/>
    <w:rsid w:val="00CB152D"/>
    <w:rsid w:val="00CB325D"/>
    <w:rsid w:val="00CB3C7B"/>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3F3"/>
    <w:rsid w:val="00CF0705"/>
    <w:rsid w:val="00CF13C5"/>
    <w:rsid w:val="00CF15D6"/>
    <w:rsid w:val="00CF4ED5"/>
    <w:rsid w:val="00D0390B"/>
    <w:rsid w:val="00D0554A"/>
    <w:rsid w:val="00D12C04"/>
    <w:rsid w:val="00D149E9"/>
    <w:rsid w:val="00D17B6D"/>
    <w:rsid w:val="00D17E04"/>
    <w:rsid w:val="00D235A5"/>
    <w:rsid w:val="00D2552C"/>
    <w:rsid w:val="00D273F7"/>
    <w:rsid w:val="00D277C4"/>
    <w:rsid w:val="00D27D83"/>
    <w:rsid w:val="00D3380E"/>
    <w:rsid w:val="00D344F5"/>
    <w:rsid w:val="00D378A5"/>
    <w:rsid w:val="00D42758"/>
    <w:rsid w:val="00D44F60"/>
    <w:rsid w:val="00D45A50"/>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C7F62"/>
    <w:rsid w:val="00DD033F"/>
    <w:rsid w:val="00DD0B2B"/>
    <w:rsid w:val="00DD370D"/>
    <w:rsid w:val="00DD3F9D"/>
    <w:rsid w:val="00DD595C"/>
    <w:rsid w:val="00DE21C3"/>
    <w:rsid w:val="00DE35C4"/>
    <w:rsid w:val="00DE38F2"/>
    <w:rsid w:val="00DE584F"/>
    <w:rsid w:val="00DE618E"/>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453E"/>
    <w:rsid w:val="00E27295"/>
    <w:rsid w:val="00E32174"/>
    <w:rsid w:val="00E34909"/>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496"/>
    <w:rsid w:val="00E70CD7"/>
    <w:rsid w:val="00E71AD4"/>
    <w:rsid w:val="00E72D1C"/>
    <w:rsid w:val="00E73584"/>
    <w:rsid w:val="00E746AC"/>
    <w:rsid w:val="00E7553F"/>
    <w:rsid w:val="00E77ECC"/>
    <w:rsid w:val="00E84C6C"/>
    <w:rsid w:val="00E85048"/>
    <w:rsid w:val="00E85AFC"/>
    <w:rsid w:val="00E87B61"/>
    <w:rsid w:val="00E87D65"/>
    <w:rsid w:val="00E90B83"/>
    <w:rsid w:val="00E90F3A"/>
    <w:rsid w:val="00E910BE"/>
    <w:rsid w:val="00E91753"/>
    <w:rsid w:val="00E93DA1"/>
    <w:rsid w:val="00E95AB8"/>
    <w:rsid w:val="00EA1B61"/>
    <w:rsid w:val="00EA3789"/>
    <w:rsid w:val="00EB192B"/>
    <w:rsid w:val="00EB3E82"/>
    <w:rsid w:val="00EB43D5"/>
    <w:rsid w:val="00EB5977"/>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E7B"/>
    <w:rsid w:val="00F14ED8"/>
    <w:rsid w:val="00F15003"/>
    <w:rsid w:val="00F165FD"/>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504F"/>
    <w:rsid w:val="00F452D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2958"/>
    <w:rsid w:val="00FA6120"/>
    <w:rsid w:val="00FB1FA7"/>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51126027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lucy.johnson@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C7C25-6F86-41A7-A8A2-C1267F82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14</Pages>
  <Words>4734</Words>
  <Characters>25533</Characters>
  <Application>Microsoft Office Word</Application>
  <DocSecurity>0</DocSecurity>
  <Lines>212</Lines>
  <Paragraphs>60</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30207</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Lindsay, Ian</cp:lastModifiedBy>
  <cp:revision>63</cp:revision>
  <cp:lastPrinted>2017-10-03T07:31:00Z</cp:lastPrinted>
  <dcterms:created xsi:type="dcterms:W3CDTF">2017-08-07T12:22:00Z</dcterms:created>
  <dcterms:modified xsi:type="dcterms:W3CDTF">2017-10-03T08:43:00Z</dcterms:modified>
</cp:coreProperties>
</file>